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D00BC" w14:textId="0E70CCD9" w:rsidR="00F23581" w:rsidRDefault="00451554" w:rsidP="001B3352">
      <w:bookmarkStart w:id="0" w:name="_GoBack"/>
      <w:bookmarkEnd w:id="0"/>
      <w:r>
        <w:rPr>
          <w:noProof/>
          <w:lang w:eastAsia="en-AU"/>
        </w:rPr>
        <w:drawing>
          <wp:anchor distT="0" distB="0" distL="114300" distR="114300" simplePos="0" relativeHeight="251649536" behindDoc="1" locked="0" layoutInCell="1" allowOverlap="1" wp14:anchorId="598D98A2" wp14:editId="309C8B62">
            <wp:simplePos x="0" y="0"/>
            <wp:positionH relativeFrom="column">
              <wp:posOffset>-914400</wp:posOffset>
            </wp:positionH>
            <wp:positionV relativeFrom="paragraph">
              <wp:posOffset>-1080770</wp:posOffset>
            </wp:positionV>
            <wp:extent cx="7547610" cy="10687685"/>
            <wp:effectExtent l="0" t="0" r="0" b="0"/>
            <wp:wrapThrough wrapText="bothSides">
              <wp:wrapPolygon edited="0">
                <wp:start x="0" y="0"/>
                <wp:lineTo x="0" y="21560"/>
                <wp:lineTo x="21535" y="21560"/>
                <wp:lineTo x="21535" y="0"/>
                <wp:lineTo x="0" y="0"/>
              </wp:wrapPolygon>
            </wp:wrapThrough>
            <wp:docPr id="697" name="Picture 697" descr="C:\Users\sna\AppData\Local\Microsoft\Windows\Temporary Internet Files\Content.Outlook\03LKL2CF\Intergovernmental Review of Business Investment_Cover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na\AppData\Local\Microsoft\Windows\Temporary Internet Files\Content.Outlook\03LKL2CF\Intergovernmental Review of Business Investment_Cover_0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47610" cy="1068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1F1">
        <w:t xml:space="preserve"> </w:t>
      </w:r>
      <w:r w:rsidR="00F23581">
        <w:br w:type="page"/>
      </w:r>
    </w:p>
    <w:p w14:paraId="7E821891" w14:textId="77777777" w:rsidR="00BA0048" w:rsidRDefault="00BA0048" w:rsidP="001B3352">
      <w:r w:rsidRPr="00661BF0">
        <w:lastRenderedPageBreak/>
        <w:t xml:space="preserve">© Commonwealth of Australia </w:t>
      </w:r>
      <w:r w:rsidRPr="00B077CD">
        <w:t>20</w:t>
      </w:r>
      <w:r>
        <w:t>17</w:t>
      </w:r>
    </w:p>
    <w:p w14:paraId="5FF55E92" w14:textId="6494FA73" w:rsidR="00BA0048" w:rsidRPr="00A77711" w:rsidRDefault="00BA0048" w:rsidP="00A77711">
      <w:r w:rsidRPr="00A77711">
        <w:t xml:space="preserve">ISBN </w:t>
      </w:r>
      <w:r w:rsidR="00A77711" w:rsidRPr="00A77711">
        <w:t>978-1-925504-67-5</w:t>
      </w:r>
    </w:p>
    <w:p w14:paraId="6339F675" w14:textId="3DB1CEE0" w:rsidR="00BA0048" w:rsidRPr="00086F82" w:rsidRDefault="00BA0048" w:rsidP="001B3352">
      <w:pPr>
        <w:rPr>
          <w:rStyle w:val="A5"/>
          <w:sz w:val="24"/>
          <w:szCs w:val="24"/>
        </w:rPr>
      </w:pPr>
      <w:r w:rsidRPr="002F1BC2">
        <w:t>This publication is available for your use under a</w:t>
      </w:r>
      <w:r w:rsidRPr="00476F09">
        <w:rPr>
          <w:rStyle w:val="A5"/>
          <w:rFonts w:cstheme="minorHAnsi"/>
          <w:sz w:val="24"/>
          <w:szCs w:val="24"/>
        </w:rPr>
        <w:t xml:space="preserve"> </w:t>
      </w:r>
      <w:hyperlink r:id="rId15" w:history="1">
        <w:r w:rsidRPr="006627B4">
          <w:rPr>
            <w:rStyle w:val="Hyperlink"/>
          </w:rPr>
          <w:t xml:space="preserve">Creative Commons </w:t>
        </w:r>
        <w:r>
          <w:rPr>
            <w:rStyle w:val="Hyperlink"/>
          </w:rPr>
          <w:t xml:space="preserve">BY </w:t>
        </w:r>
        <w:r w:rsidRPr="006627B4">
          <w:rPr>
            <w:rStyle w:val="Hyperlink"/>
          </w:rPr>
          <w:t>Attribution 3</w:t>
        </w:r>
        <w:r>
          <w:rPr>
            <w:rStyle w:val="Hyperlink"/>
          </w:rPr>
          <w:t>.</w:t>
        </w:r>
        <w:r w:rsidRPr="006627B4">
          <w:rPr>
            <w:rStyle w:val="Hyperlink"/>
          </w:rPr>
          <w:t>0 Australia</w:t>
        </w:r>
      </w:hyperlink>
      <w:r w:rsidRPr="00476F09">
        <w:rPr>
          <w:rStyle w:val="A5"/>
          <w:rFonts w:cstheme="minorHAnsi"/>
          <w:sz w:val="24"/>
          <w:szCs w:val="24"/>
        </w:rPr>
        <w:t xml:space="preserve"> </w:t>
      </w:r>
      <w:r w:rsidRPr="002F1BC2">
        <w:t xml:space="preserve">licence, with the exception of the Commonwealth Coat of Arms, </w:t>
      </w:r>
      <w:r w:rsidR="008B1F9A">
        <w:t xml:space="preserve">third party content, </w:t>
      </w:r>
      <w:r w:rsidRPr="002F1BC2">
        <w:t>the Treasury logo</w:t>
      </w:r>
      <w:r>
        <w:t xml:space="preserve">, photographs, images, signatures and where otherwise stated. </w:t>
      </w:r>
      <w:r w:rsidRPr="002F1BC2">
        <w:t>The full licence terms are available from</w:t>
      </w:r>
      <w:r w:rsidRPr="00476F09">
        <w:rPr>
          <w:rStyle w:val="A5"/>
          <w:rFonts w:cstheme="minorHAnsi"/>
          <w:sz w:val="24"/>
          <w:szCs w:val="24"/>
        </w:rPr>
        <w:t xml:space="preserve"> </w:t>
      </w:r>
      <w:hyperlink r:id="rId16" w:history="1">
        <w:r w:rsidR="00323489" w:rsidRPr="00323489">
          <w:rPr>
            <w:rStyle w:val="Hyperlink"/>
          </w:rPr>
          <w:t>http://creativecommons.org/licenses/by/3.0/au/legalcode</w:t>
        </w:r>
      </w:hyperlink>
      <w:r w:rsidR="00A408FB">
        <w:rPr>
          <w:rStyle w:val="Hyperlink"/>
        </w:rPr>
        <w:t>.</w:t>
      </w:r>
    </w:p>
    <w:p w14:paraId="41B0C42A" w14:textId="77777777" w:rsidR="00BA0048" w:rsidRDefault="00BA0048" w:rsidP="001B3352">
      <w:pPr>
        <w:pStyle w:val="TableGraphic"/>
      </w:pPr>
      <w:r w:rsidRPr="00E56DFB">
        <w:rPr>
          <w:noProof/>
        </w:rPr>
        <w:drawing>
          <wp:inline distT="0" distB="0" distL="0" distR="0" wp14:anchorId="346BC9C7" wp14:editId="2628A30C">
            <wp:extent cx="809625" cy="285750"/>
            <wp:effectExtent l="19050" t="0" r="9525" b="0"/>
            <wp:docPr id="6"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5625B0C" w14:textId="7462D060" w:rsidR="00BA0048" w:rsidRPr="006627B4" w:rsidRDefault="00BA0048" w:rsidP="001B3352">
      <w:r w:rsidRPr="006627B4">
        <w:t>Use of Treasury material under a</w:t>
      </w:r>
      <w:r w:rsidRPr="00476F09">
        <w:rPr>
          <w:rFonts w:cstheme="minorHAnsi"/>
          <w:sz w:val="24"/>
          <w:szCs w:val="24"/>
        </w:rPr>
        <w:t xml:space="preserve"> </w:t>
      </w:r>
      <w:hyperlink r:id="rId18" w:history="1">
        <w:r w:rsidRPr="00BA0048">
          <w:rPr>
            <w:rStyle w:val="Hyperlink"/>
          </w:rPr>
          <w:t>Creative Commons BY Attribution 3.0 Australia</w:t>
        </w:r>
      </w:hyperlink>
      <w:r w:rsidRPr="002F1BC2">
        <w:rPr>
          <w:rStyle w:val="Hyperlink"/>
        </w:rPr>
        <w:t xml:space="preserve"> </w:t>
      </w:r>
      <w:r w:rsidRPr="006627B4">
        <w:t>licence requires you to attribute the work (but not in any way that suggests that the Treasury endorses you or your use of the work)</w:t>
      </w:r>
      <w:r w:rsidR="00A408FB">
        <w:t>.</w:t>
      </w:r>
    </w:p>
    <w:p w14:paraId="194BA265" w14:textId="77777777" w:rsidR="00BA0048" w:rsidRPr="00D366D1" w:rsidRDefault="00BA0048" w:rsidP="001B3352">
      <w:pPr>
        <w:rPr>
          <w:b/>
        </w:rPr>
      </w:pPr>
      <w:r w:rsidRPr="00D366D1">
        <w:rPr>
          <w:b/>
        </w:rPr>
        <w:t xml:space="preserve">Treasury material used </w:t>
      </w:r>
      <w:r w:rsidR="00C75909" w:rsidRPr="00D366D1">
        <w:rPr>
          <w:b/>
        </w:rPr>
        <w:t>‘</w:t>
      </w:r>
      <w:r w:rsidRPr="00D366D1">
        <w:rPr>
          <w:b/>
        </w:rPr>
        <w:t>as supplied</w:t>
      </w:r>
      <w:r w:rsidR="00C75909" w:rsidRPr="00D366D1">
        <w:rPr>
          <w:b/>
        </w:rPr>
        <w:t>’</w:t>
      </w:r>
    </w:p>
    <w:p w14:paraId="05A1B7AA" w14:textId="77777777" w:rsidR="00BA0048" w:rsidRPr="00476F09" w:rsidRDefault="00BA0048" w:rsidP="001B3352">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00A408FB">
        <w:t>he following attribution:</w:t>
      </w:r>
    </w:p>
    <w:p w14:paraId="280FA65D" w14:textId="66590F0A" w:rsidR="00BA0048" w:rsidRPr="009D7F7E" w:rsidRDefault="00BA0048" w:rsidP="009D7F7E">
      <w:pPr>
        <w:ind w:left="567"/>
        <w:rPr>
          <w:i/>
        </w:rPr>
      </w:pPr>
      <w:r w:rsidRPr="009D7F7E">
        <w:rPr>
          <w:i/>
        </w:rPr>
        <w:t>Source: The Australian Government</w:t>
      </w:r>
      <w:r w:rsidR="008B1F9A" w:rsidRPr="009D7F7E">
        <w:rPr>
          <w:i/>
        </w:rPr>
        <w:t xml:space="preserve"> and Heads of</w:t>
      </w:r>
      <w:r w:rsidRPr="009D7F7E">
        <w:rPr>
          <w:i/>
        </w:rPr>
        <w:t xml:space="preserve"> Treasur</w:t>
      </w:r>
      <w:r w:rsidR="008B1F9A" w:rsidRPr="009D7F7E">
        <w:rPr>
          <w:i/>
        </w:rPr>
        <w:t>ies</w:t>
      </w:r>
    </w:p>
    <w:p w14:paraId="7B6DFAB3" w14:textId="77777777" w:rsidR="00BA0048" w:rsidRPr="00D366D1" w:rsidRDefault="00BA0048" w:rsidP="001B3352">
      <w:pPr>
        <w:rPr>
          <w:b/>
        </w:rPr>
      </w:pPr>
      <w:r w:rsidRPr="00D366D1">
        <w:rPr>
          <w:b/>
        </w:rPr>
        <w:t>Derivative material</w:t>
      </w:r>
    </w:p>
    <w:p w14:paraId="453798B7" w14:textId="77777777" w:rsidR="00BA0048" w:rsidRPr="006627B4" w:rsidRDefault="00BA0048" w:rsidP="001B3352">
      <w:r w:rsidRPr="006627B4">
        <w:t>If you have modified or transformed Treasury material, or derived new material from those of the Treasury in any way, then Treasury pre</w:t>
      </w:r>
      <w:r w:rsidR="00A408FB">
        <w:t>fers the following attribution:</w:t>
      </w:r>
    </w:p>
    <w:p w14:paraId="00EA8FB5" w14:textId="383C74E6" w:rsidR="00BA0048" w:rsidRPr="009D7F7E" w:rsidRDefault="00BA0048" w:rsidP="009D7F7E">
      <w:pPr>
        <w:ind w:left="567"/>
        <w:rPr>
          <w:i/>
        </w:rPr>
      </w:pPr>
      <w:r w:rsidRPr="009D7F7E">
        <w:rPr>
          <w:i/>
        </w:rPr>
        <w:t xml:space="preserve">Based on The Australian Government </w:t>
      </w:r>
      <w:r w:rsidR="008B1F9A" w:rsidRPr="009D7F7E">
        <w:rPr>
          <w:i/>
        </w:rPr>
        <w:t xml:space="preserve">and Heads of Treasuries </w:t>
      </w:r>
      <w:r w:rsidRPr="009D7F7E">
        <w:rPr>
          <w:i/>
        </w:rPr>
        <w:t>data</w:t>
      </w:r>
    </w:p>
    <w:p w14:paraId="4197C375" w14:textId="77777777" w:rsidR="00BA0048" w:rsidRPr="00D366D1" w:rsidRDefault="00BA0048" w:rsidP="001B3352">
      <w:pPr>
        <w:rPr>
          <w:b/>
        </w:rPr>
      </w:pPr>
      <w:r w:rsidRPr="00D366D1">
        <w:rPr>
          <w:b/>
        </w:rPr>
        <w:t>Use of the Coat of Arms</w:t>
      </w:r>
    </w:p>
    <w:p w14:paraId="76323BE4" w14:textId="77777777" w:rsidR="00BA0048" w:rsidRPr="006627B4" w:rsidRDefault="00BA0048" w:rsidP="001B3352">
      <w:r w:rsidRPr="006627B4">
        <w:t xml:space="preserve">The terms under which the Coat of Arms can be used are set out on </w:t>
      </w:r>
      <w:r>
        <w:t>the It</w:t>
      </w:r>
      <w:r w:rsidR="00C75909">
        <w:t>’</w:t>
      </w:r>
      <w:r>
        <w:t>s an Honour website (see </w:t>
      </w:r>
      <w:hyperlink r:id="rId19" w:history="1">
        <w:r w:rsidRPr="002F1283">
          <w:rPr>
            <w:rStyle w:val="Hyperlink"/>
          </w:rPr>
          <w:t>www.itsanhonour.gov.au</w:t>
        </w:r>
      </w:hyperlink>
      <w:r w:rsidRPr="006627B4">
        <w:t>)</w:t>
      </w:r>
      <w:r>
        <w:t>.</w:t>
      </w:r>
    </w:p>
    <w:p w14:paraId="00307DB6" w14:textId="77777777" w:rsidR="00BA0048" w:rsidRPr="00D366D1" w:rsidRDefault="00BA0048" w:rsidP="001B3352">
      <w:pPr>
        <w:rPr>
          <w:b/>
        </w:rPr>
      </w:pPr>
      <w:r w:rsidRPr="00D366D1">
        <w:rPr>
          <w:b/>
        </w:rPr>
        <w:t>Other Uses</w:t>
      </w:r>
    </w:p>
    <w:p w14:paraId="5F536789" w14:textId="77777777" w:rsidR="00BA0048" w:rsidRPr="006627B4" w:rsidRDefault="00BA0048" w:rsidP="001B3352">
      <w:r w:rsidRPr="006627B4">
        <w:t>Inquiries regarding this licence and any other use of this document are welcome at:</w:t>
      </w:r>
    </w:p>
    <w:p w14:paraId="18DF427B" w14:textId="27159BF2" w:rsidR="004908D2" w:rsidRPr="00963820" w:rsidRDefault="00BA0048" w:rsidP="009D7F7E">
      <w:pPr>
        <w:ind w:left="567"/>
        <w:jc w:val="left"/>
      </w:pPr>
      <w:r w:rsidRPr="006627B4">
        <w:t>Manager</w:t>
      </w:r>
      <w:r w:rsidR="00D366D1">
        <w:br/>
      </w:r>
      <w:r w:rsidR="00A408FB">
        <w:t>Communications</w:t>
      </w:r>
      <w:r w:rsidR="00D366D1">
        <w:br/>
      </w:r>
      <w:r w:rsidRPr="006627B4">
        <w:t>The Treasury</w:t>
      </w:r>
      <w:r w:rsidR="00D366D1">
        <w:br/>
      </w:r>
      <w:r w:rsidRPr="006627B4">
        <w:t>Langton Crescent Parkes ACT 2600</w:t>
      </w:r>
      <w:r w:rsidR="00D366D1">
        <w:br/>
      </w:r>
      <w:r w:rsidRPr="006627B4">
        <w:t xml:space="preserve">Email: </w:t>
      </w:r>
      <w:hyperlink r:id="rId20" w:history="1">
        <w:r w:rsidRPr="002F1283">
          <w:rPr>
            <w:rStyle w:val="Hyperlink"/>
          </w:rPr>
          <w:t>medialiaison@treasury.gov.au</w:t>
        </w:r>
      </w:hyperlink>
    </w:p>
    <w:p w14:paraId="48063A21" w14:textId="77777777" w:rsidR="00BA0048" w:rsidRPr="006239C3" w:rsidRDefault="00BA0048" w:rsidP="001B3352"/>
    <w:p w14:paraId="31F0EED6" w14:textId="77777777" w:rsidR="00705925" w:rsidRPr="006239C3" w:rsidRDefault="00705925" w:rsidP="001B3352"/>
    <w:p w14:paraId="03076256" w14:textId="77777777" w:rsidR="00787B75" w:rsidRPr="006239C3" w:rsidRDefault="00787B75" w:rsidP="001B3352">
      <w:pPr>
        <w:sectPr w:rsidR="00787B75" w:rsidRPr="006239C3" w:rsidSect="00D21B69">
          <w:headerReference w:type="default" r:id="rId21"/>
          <w:headerReference w:type="first" r:id="rId22"/>
          <w:pgSz w:w="11906" w:h="16838"/>
          <w:pgMar w:top="1702" w:right="1440" w:bottom="1440" w:left="1440" w:header="708" w:footer="708" w:gutter="0"/>
          <w:pgNumType w:fmt="lowerRoman"/>
          <w:cols w:space="708"/>
          <w:titlePg/>
          <w:docGrid w:linePitch="360"/>
        </w:sectPr>
      </w:pPr>
    </w:p>
    <w:sdt>
      <w:sdtPr>
        <w:rPr>
          <w:rFonts w:ascii="Calibri" w:eastAsiaTheme="minorHAnsi" w:hAnsi="Calibri" w:cstheme="minorBidi"/>
          <w:b w:val="0"/>
          <w:bCs w:val="0"/>
          <w:caps w:val="0"/>
          <w:spacing w:val="0"/>
          <w:sz w:val="22"/>
          <w:szCs w:val="22"/>
          <w:lang w:val="en-AU" w:eastAsia="en-US"/>
        </w:rPr>
        <w:id w:val="1567063251"/>
        <w:docPartObj>
          <w:docPartGallery w:val="Table of Contents"/>
          <w:docPartUnique/>
        </w:docPartObj>
      </w:sdtPr>
      <w:sdtEndPr>
        <w:rPr>
          <w:noProof/>
        </w:rPr>
      </w:sdtEndPr>
      <w:sdtContent>
        <w:p w14:paraId="48897592" w14:textId="381592F6" w:rsidR="00A847EC" w:rsidRDefault="00A847EC" w:rsidP="001B3352">
          <w:pPr>
            <w:pStyle w:val="TOCHeading"/>
          </w:pPr>
          <w:r>
            <w:t>Contents</w:t>
          </w:r>
        </w:p>
        <w:p w14:paraId="7B443014" w14:textId="569A95C8" w:rsidR="00260B2F" w:rsidRDefault="00FF0F34" w:rsidP="00135D22">
          <w:pPr>
            <w:pStyle w:val="TOC1"/>
            <w:rPr>
              <w:rFonts w:asciiTheme="minorHAnsi" w:eastAsiaTheme="minorEastAsia" w:hAnsiTheme="minorHAnsi"/>
              <w:sz w:val="22"/>
              <w:lang w:eastAsia="en-AU"/>
            </w:rPr>
          </w:pPr>
          <w:r>
            <w:fldChar w:fldCharType="begin"/>
          </w:r>
          <w:r>
            <w:instrText xml:space="preserve"> TOC \o "1-3" \h \z \u </w:instrText>
          </w:r>
          <w:r>
            <w:fldChar w:fldCharType="separate"/>
          </w:r>
          <w:hyperlink w:anchor="_Toc496097048" w:history="1">
            <w:r w:rsidR="00260B2F" w:rsidRPr="00667657">
              <w:rPr>
                <w:rStyle w:val="Hyperlink"/>
              </w:rPr>
              <w:t>Summary</w:t>
            </w:r>
            <w:r w:rsidR="00260B2F">
              <w:rPr>
                <w:webHidden/>
              </w:rPr>
              <w:tab/>
            </w:r>
            <w:r w:rsidR="00260B2F">
              <w:rPr>
                <w:webHidden/>
              </w:rPr>
              <w:fldChar w:fldCharType="begin"/>
            </w:r>
            <w:r w:rsidR="00260B2F">
              <w:rPr>
                <w:webHidden/>
              </w:rPr>
              <w:instrText xml:space="preserve"> PAGEREF _Toc496097048 \h </w:instrText>
            </w:r>
            <w:r w:rsidR="00260B2F">
              <w:rPr>
                <w:webHidden/>
              </w:rPr>
            </w:r>
            <w:r w:rsidR="00260B2F">
              <w:rPr>
                <w:webHidden/>
              </w:rPr>
              <w:fldChar w:fldCharType="separate"/>
            </w:r>
            <w:r w:rsidR="00E91193">
              <w:rPr>
                <w:webHidden/>
              </w:rPr>
              <w:t>1</w:t>
            </w:r>
            <w:r w:rsidR="00260B2F">
              <w:rPr>
                <w:webHidden/>
              </w:rPr>
              <w:fldChar w:fldCharType="end"/>
            </w:r>
          </w:hyperlink>
        </w:p>
        <w:p w14:paraId="01F5795D" w14:textId="03710927" w:rsidR="00260B2F" w:rsidRDefault="003636A9" w:rsidP="00135D22">
          <w:pPr>
            <w:pStyle w:val="TOC1"/>
            <w:rPr>
              <w:rFonts w:asciiTheme="minorHAnsi" w:eastAsiaTheme="minorEastAsia" w:hAnsiTheme="minorHAnsi"/>
              <w:sz w:val="22"/>
              <w:lang w:eastAsia="en-AU"/>
            </w:rPr>
          </w:pPr>
          <w:hyperlink w:anchor="_Toc496097049" w:history="1">
            <w:r w:rsidR="00260B2F" w:rsidRPr="00667657">
              <w:rPr>
                <w:rStyle w:val="Hyperlink"/>
              </w:rPr>
              <w:t>Introduction</w:t>
            </w:r>
            <w:r w:rsidR="00260B2F">
              <w:rPr>
                <w:webHidden/>
              </w:rPr>
              <w:tab/>
            </w:r>
            <w:r w:rsidR="00260B2F">
              <w:rPr>
                <w:webHidden/>
              </w:rPr>
              <w:fldChar w:fldCharType="begin"/>
            </w:r>
            <w:r w:rsidR="00260B2F">
              <w:rPr>
                <w:webHidden/>
              </w:rPr>
              <w:instrText xml:space="preserve"> PAGEREF _Toc496097049 \h </w:instrText>
            </w:r>
            <w:r w:rsidR="00260B2F">
              <w:rPr>
                <w:webHidden/>
              </w:rPr>
            </w:r>
            <w:r w:rsidR="00260B2F">
              <w:rPr>
                <w:webHidden/>
              </w:rPr>
              <w:fldChar w:fldCharType="separate"/>
            </w:r>
            <w:r w:rsidR="00E91193">
              <w:rPr>
                <w:webHidden/>
              </w:rPr>
              <w:t>5</w:t>
            </w:r>
            <w:r w:rsidR="00260B2F">
              <w:rPr>
                <w:webHidden/>
              </w:rPr>
              <w:fldChar w:fldCharType="end"/>
            </w:r>
          </w:hyperlink>
        </w:p>
        <w:p w14:paraId="413D8F45" w14:textId="2278DB6F" w:rsidR="00260B2F" w:rsidRDefault="003636A9" w:rsidP="00135D22">
          <w:pPr>
            <w:pStyle w:val="TOC1"/>
            <w:rPr>
              <w:rFonts w:asciiTheme="minorHAnsi" w:eastAsiaTheme="minorEastAsia" w:hAnsiTheme="minorHAnsi"/>
              <w:sz w:val="22"/>
              <w:lang w:eastAsia="en-AU"/>
            </w:rPr>
          </w:pPr>
          <w:hyperlink w:anchor="_Toc496097050" w:history="1">
            <w:r w:rsidR="00260B2F" w:rsidRPr="00667657">
              <w:rPr>
                <w:rStyle w:val="Hyperlink"/>
              </w:rPr>
              <w:t>Macroeconomic factors</w:t>
            </w:r>
            <w:r w:rsidR="00260B2F">
              <w:rPr>
                <w:webHidden/>
              </w:rPr>
              <w:tab/>
            </w:r>
            <w:r w:rsidR="00260B2F">
              <w:rPr>
                <w:webHidden/>
              </w:rPr>
              <w:fldChar w:fldCharType="begin"/>
            </w:r>
            <w:r w:rsidR="00260B2F">
              <w:rPr>
                <w:webHidden/>
              </w:rPr>
              <w:instrText xml:space="preserve"> PAGEREF _Toc496097050 \h </w:instrText>
            </w:r>
            <w:r w:rsidR="00260B2F">
              <w:rPr>
                <w:webHidden/>
              </w:rPr>
            </w:r>
            <w:r w:rsidR="00260B2F">
              <w:rPr>
                <w:webHidden/>
              </w:rPr>
              <w:fldChar w:fldCharType="separate"/>
            </w:r>
            <w:r w:rsidR="00E91193">
              <w:rPr>
                <w:webHidden/>
              </w:rPr>
              <w:t>7</w:t>
            </w:r>
            <w:r w:rsidR="00260B2F">
              <w:rPr>
                <w:webHidden/>
              </w:rPr>
              <w:fldChar w:fldCharType="end"/>
            </w:r>
          </w:hyperlink>
        </w:p>
        <w:p w14:paraId="71AE2388" w14:textId="118708FE" w:rsidR="00260B2F" w:rsidRDefault="003636A9">
          <w:pPr>
            <w:pStyle w:val="TOC2"/>
            <w:rPr>
              <w:rFonts w:asciiTheme="minorHAnsi" w:eastAsiaTheme="minorEastAsia" w:hAnsiTheme="minorHAnsi"/>
              <w:color w:val="auto"/>
              <w:sz w:val="22"/>
              <w:lang w:eastAsia="en-AU"/>
            </w:rPr>
          </w:pPr>
          <w:hyperlink w:anchor="_Toc496097051" w:history="1">
            <w:r w:rsidR="00260B2F" w:rsidRPr="00667657">
              <w:rPr>
                <w:rStyle w:val="Hyperlink"/>
              </w:rPr>
              <w:t>An unusual decade</w:t>
            </w:r>
            <w:r w:rsidR="00260B2F">
              <w:rPr>
                <w:webHidden/>
              </w:rPr>
              <w:tab/>
            </w:r>
            <w:r w:rsidR="00260B2F">
              <w:rPr>
                <w:webHidden/>
              </w:rPr>
              <w:fldChar w:fldCharType="begin"/>
            </w:r>
            <w:r w:rsidR="00260B2F">
              <w:rPr>
                <w:webHidden/>
              </w:rPr>
              <w:instrText xml:space="preserve"> PAGEREF _Toc496097051 \h </w:instrText>
            </w:r>
            <w:r w:rsidR="00260B2F">
              <w:rPr>
                <w:webHidden/>
              </w:rPr>
            </w:r>
            <w:r w:rsidR="00260B2F">
              <w:rPr>
                <w:webHidden/>
              </w:rPr>
              <w:fldChar w:fldCharType="separate"/>
            </w:r>
            <w:r w:rsidR="00E91193">
              <w:rPr>
                <w:webHidden/>
              </w:rPr>
              <w:t>7</w:t>
            </w:r>
            <w:r w:rsidR="00260B2F">
              <w:rPr>
                <w:webHidden/>
              </w:rPr>
              <w:fldChar w:fldCharType="end"/>
            </w:r>
          </w:hyperlink>
        </w:p>
        <w:p w14:paraId="4096049A" w14:textId="0470BFAF" w:rsidR="00260B2F" w:rsidRDefault="003636A9">
          <w:pPr>
            <w:pStyle w:val="TOC2"/>
            <w:rPr>
              <w:rFonts w:asciiTheme="minorHAnsi" w:eastAsiaTheme="minorEastAsia" w:hAnsiTheme="minorHAnsi"/>
              <w:color w:val="auto"/>
              <w:sz w:val="22"/>
              <w:lang w:eastAsia="en-AU"/>
            </w:rPr>
          </w:pPr>
          <w:hyperlink w:anchor="_Toc496097052" w:history="1">
            <w:r w:rsidR="00260B2F" w:rsidRPr="00667657">
              <w:rPr>
                <w:rStyle w:val="Hyperlink"/>
              </w:rPr>
              <w:t>Structural factors</w:t>
            </w:r>
            <w:r w:rsidR="00260B2F">
              <w:rPr>
                <w:webHidden/>
              </w:rPr>
              <w:tab/>
            </w:r>
            <w:r w:rsidR="00260B2F">
              <w:rPr>
                <w:webHidden/>
              </w:rPr>
              <w:fldChar w:fldCharType="begin"/>
            </w:r>
            <w:r w:rsidR="00260B2F">
              <w:rPr>
                <w:webHidden/>
              </w:rPr>
              <w:instrText xml:space="preserve"> PAGEREF _Toc496097052 \h </w:instrText>
            </w:r>
            <w:r w:rsidR="00260B2F">
              <w:rPr>
                <w:webHidden/>
              </w:rPr>
            </w:r>
            <w:r w:rsidR="00260B2F">
              <w:rPr>
                <w:webHidden/>
              </w:rPr>
              <w:fldChar w:fldCharType="separate"/>
            </w:r>
            <w:r w:rsidR="00E91193">
              <w:rPr>
                <w:webHidden/>
              </w:rPr>
              <w:t>14</w:t>
            </w:r>
            <w:r w:rsidR="00260B2F">
              <w:rPr>
                <w:webHidden/>
              </w:rPr>
              <w:fldChar w:fldCharType="end"/>
            </w:r>
          </w:hyperlink>
        </w:p>
        <w:p w14:paraId="563B6CDF" w14:textId="74765405" w:rsidR="00260B2F" w:rsidRDefault="003636A9">
          <w:pPr>
            <w:pStyle w:val="TOC2"/>
            <w:rPr>
              <w:rFonts w:asciiTheme="minorHAnsi" w:eastAsiaTheme="minorEastAsia" w:hAnsiTheme="minorHAnsi"/>
              <w:color w:val="auto"/>
              <w:sz w:val="22"/>
              <w:lang w:eastAsia="en-AU"/>
            </w:rPr>
          </w:pPr>
          <w:hyperlink w:anchor="_Toc496097053" w:history="1">
            <w:r w:rsidR="00260B2F" w:rsidRPr="00667657">
              <w:rPr>
                <w:rStyle w:val="Hyperlink"/>
              </w:rPr>
              <w:t>Business strategies and risk appetite</w:t>
            </w:r>
            <w:r w:rsidR="00260B2F">
              <w:rPr>
                <w:webHidden/>
              </w:rPr>
              <w:tab/>
            </w:r>
            <w:r w:rsidR="00260B2F">
              <w:rPr>
                <w:webHidden/>
              </w:rPr>
              <w:fldChar w:fldCharType="begin"/>
            </w:r>
            <w:r w:rsidR="00260B2F">
              <w:rPr>
                <w:webHidden/>
              </w:rPr>
              <w:instrText xml:space="preserve"> PAGEREF _Toc496097053 \h </w:instrText>
            </w:r>
            <w:r w:rsidR="00260B2F">
              <w:rPr>
                <w:webHidden/>
              </w:rPr>
            </w:r>
            <w:r w:rsidR="00260B2F">
              <w:rPr>
                <w:webHidden/>
              </w:rPr>
              <w:fldChar w:fldCharType="separate"/>
            </w:r>
            <w:r w:rsidR="00E91193">
              <w:rPr>
                <w:webHidden/>
              </w:rPr>
              <w:t>16</w:t>
            </w:r>
            <w:r w:rsidR="00260B2F">
              <w:rPr>
                <w:webHidden/>
              </w:rPr>
              <w:fldChar w:fldCharType="end"/>
            </w:r>
          </w:hyperlink>
        </w:p>
        <w:p w14:paraId="40CC9A8D" w14:textId="7A822D89" w:rsidR="00260B2F" w:rsidRDefault="003636A9">
          <w:pPr>
            <w:pStyle w:val="TOC2"/>
            <w:rPr>
              <w:rFonts w:asciiTheme="minorHAnsi" w:eastAsiaTheme="minorEastAsia" w:hAnsiTheme="minorHAnsi"/>
              <w:color w:val="auto"/>
              <w:sz w:val="22"/>
              <w:lang w:eastAsia="en-AU"/>
            </w:rPr>
          </w:pPr>
          <w:hyperlink w:anchor="_Toc496097054" w:history="1">
            <w:r w:rsidR="00260B2F" w:rsidRPr="00667657">
              <w:rPr>
                <w:rStyle w:val="Hyperlink"/>
              </w:rPr>
              <w:t>Uncertainty and firm behaviour</w:t>
            </w:r>
            <w:r w:rsidR="00260B2F">
              <w:rPr>
                <w:webHidden/>
              </w:rPr>
              <w:tab/>
            </w:r>
            <w:r w:rsidR="00260B2F">
              <w:rPr>
                <w:webHidden/>
              </w:rPr>
              <w:fldChar w:fldCharType="begin"/>
            </w:r>
            <w:r w:rsidR="00260B2F">
              <w:rPr>
                <w:webHidden/>
              </w:rPr>
              <w:instrText xml:space="preserve"> PAGEREF _Toc496097054 \h </w:instrText>
            </w:r>
            <w:r w:rsidR="00260B2F">
              <w:rPr>
                <w:webHidden/>
              </w:rPr>
            </w:r>
            <w:r w:rsidR="00260B2F">
              <w:rPr>
                <w:webHidden/>
              </w:rPr>
              <w:fldChar w:fldCharType="separate"/>
            </w:r>
            <w:r w:rsidR="00E91193">
              <w:rPr>
                <w:webHidden/>
              </w:rPr>
              <w:t>18</w:t>
            </w:r>
            <w:r w:rsidR="00260B2F">
              <w:rPr>
                <w:webHidden/>
              </w:rPr>
              <w:fldChar w:fldCharType="end"/>
            </w:r>
          </w:hyperlink>
        </w:p>
        <w:p w14:paraId="0451F083" w14:textId="6F19EC5C" w:rsidR="00260B2F" w:rsidRDefault="003636A9">
          <w:pPr>
            <w:pStyle w:val="TOC2"/>
            <w:rPr>
              <w:rFonts w:asciiTheme="minorHAnsi" w:eastAsiaTheme="minorEastAsia" w:hAnsiTheme="minorHAnsi"/>
              <w:color w:val="auto"/>
              <w:sz w:val="22"/>
              <w:lang w:eastAsia="en-AU"/>
            </w:rPr>
          </w:pPr>
          <w:hyperlink w:anchor="_Toc496097055" w:history="1">
            <w:r w:rsidR="00260B2F" w:rsidRPr="00667657">
              <w:rPr>
                <w:rStyle w:val="Hyperlink"/>
              </w:rPr>
              <w:t>Ai Group survey of Chief Executive Officers</w:t>
            </w:r>
            <w:r w:rsidR="00260B2F">
              <w:rPr>
                <w:webHidden/>
              </w:rPr>
              <w:tab/>
            </w:r>
            <w:r w:rsidR="00260B2F">
              <w:rPr>
                <w:webHidden/>
              </w:rPr>
              <w:fldChar w:fldCharType="begin"/>
            </w:r>
            <w:r w:rsidR="00260B2F">
              <w:rPr>
                <w:webHidden/>
              </w:rPr>
              <w:instrText xml:space="preserve"> PAGEREF _Toc496097055 \h </w:instrText>
            </w:r>
            <w:r w:rsidR="00260B2F">
              <w:rPr>
                <w:webHidden/>
              </w:rPr>
            </w:r>
            <w:r w:rsidR="00260B2F">
              <w:rPr>
                <w:webHidden/>
              </w:rPr>
              <w:fldChar w:fldCharType="separate"/>
            </w:r>
            <w:r w:rsidR="00E91193">
              <w:rPr>
                <w:webHidden/>
              </w:rPr>
              <w:t>22</w:t>
            </w:r>
            <w:r w:rsidR="00260B2F">
              <w:rPr>
                <w:webHidden/>
              </w:rPr>
              <w:fldChar w:fldCharType="end"/>
            </w:r>
          </w:hyperlink>
        </w:p>
        <w:p w14:paraId="56848A89" w14:textId="508D6E8C" w:rsidR="00260B2F" w:rsidRDefault="003636A9" w:rsidP="00135D22">
          <w:pPr>
            <w:pStyle w:val="TOC1"/>
            <w:rPr>
              <w:rFonts w:asciiTheme="minorHAnsi" w:eastAsiaTheme="minorEastAsia" w:hAnsiTheme="minorHAnsi"/>
              <w:sz w:val="22"/>
              <w:lang w:eastAsia="en-AU"/>
            </w:rPr>
          </w:pPr>
          <w:hyperlink w:anchor="_Toc496097056" w:history="1">
            <w:r w:rsidR="00260B2F" w:rsidRPr="00667657">
              <w:rPr>
                <w:rStyle w:val="Hyperlink"/>
              </w:rPr>
              <w:t>Institutional settings and policies</w:t>
            </w:r>
            <w:r w:rsidR="00260B2F">
              <w:rPr>
                <w:webHidden/>
              </w:rPr>
              <w:tab/>
            </w:r>
            <w:r w:rsidR="00260B2F">
              <w:rPr>
                <w:webHidden/>
              </w:rPr>
              <w:fldChar w:fldCharType="begin"/>
            </w:r>
            <w:r w:rsidR="00260B2F">
              <w:rPr>
                <w:webHidden/>
              </w:rPr>
              <w:instrText xml:space="preserve"> PAGEREF _Toc496097056 \h </w:instrText>
            </w:r>
            <w:r w:rsidR="00260B2F">
              <w:rPr>
                <w:webHidden/>
              </w:rPr>
            </w:r>
            <w:r w:rsidR="00260B2F">
              <w:rPr>
                <w:webHidden/>
              </w:rPr>
              <w:fldChar w:fldCharType="separate"/>
            </w:r>
            <w:r w:rsidR="00E91193">
              <w:rPr>
                <w:webHidden/>
              </w:rPr>
              <w:t>23</w:t>
            </w:r>
            <w:r w:rsidR="00260B2F">
              <w:rPr>
                <w:webHidden/>
              </w:rPr>
              <w:fldChar w:fldCharType="end"/>
            </w:r>
          </w:hyperlink>
        </w:p>
        <w:p w14:paraId="35C38568" w14:textId="5CD6C4B4" w:rsidR="00260B2F" w:rsidRDefault="003636A9">
          <w:pPr>
            <w:pStyle w:val="TOC2"/>
            <w:rPr>
              <w:rFonts w:asciiTheme="minorHAnsi" w:eastAsiaTheme="minorEastAsia" w:hAnsiTheme="minorHAnsi"/>
              <w:color w:val="auto"/>
              <w:sz w:val="22"/>
              <w:lang w:eastAsia="en-AU"/>
            </w:rPr>
          </w:pPr>
          <w:hyperlink w:anchor="_Toc496097057" w:history="1">
            <w:r w:rsidR="00260B2F" w:rsidRPr="00667657">
              <w:rPr>
                <w:rStyle w:val="Hyperlink"/>
              </w:rPr>
              <w:t>Regulation and red tape</w:t>
            </w:r>
            <w:r w:rsidR="00260B2F">
              <w:rPr>
                <w:webHidden/>
              </w:rPr>
              <w:tab/>
            </w:r>
            <w:r w:rsidR="00260B2F">
              <w:rPr>
                <w:webHidden/>
              </w:rPr>
              <w:fldChar w:fldCharType="begin"/>
            </w:r>
            <w:r w:rsidR="00260B2F">
              <w:rPr>
                <w:webHidden/>
              </w:rPr>
              <w:instrText xml:space="preserve"> PAGEREF _Toc496097057 \h </w:instrText>
            </w:r>
            <w:r w:rsidR="00260B2F">
              <w:rPr>
                <w:webHidden/>
              </w:rPr>
            </w:r>
            <w:r w:rsidR="00260B2F">
              <w:rPr>
                <w:webHidden/>
              </w:rPr>
              <w:fldChar w:fldCharType="separate"/>
            </w:r>
            <w:r w:rsidR="00E91193">
              <w:rPr>
                <w:webHidden/>
              </w:rPr>
              <w:t>25</w:t>
            </w:r>
            <w:r w:rsidR="00260B2F">
              <w:rPr>
                <w:webHidden/>
              </w:rPr>
              <w:fldChar w:fldCharType="end"/>
            </w:r>
          </w:hyperlink>
        </w:p>
        <w:p w14:paraId="28E1C63E" w14:textId="3645110C" w:rsidR="00260B2F" w:rsidRDefault="003636A9">
          <w:pPr>
            <w:pStyle w:val="TOC2"/>
            <w:rPr>
              <w:rFonts w:asciiTheme="minorHAnsi" w:eastAsiaTheme="minorEastAsia" w:hAnsiTheme="minorHAnsi"/>
              <w:color w:val="auto"/>
              <w:sz w:val="22"/>
              <w:lang w:eastAsia="en-AU"/>
            </w:rPr>
          </w:pPr>
          <w:hyperlink w:anchor="_Toc496097058" w:history="1">
            <w:r w:rsidR="00260B2F" w:rsidRPr="00667657">
              <w:rPr>
                <w:rStyle w:val="Hyperlink"/>
              </w:rPr>
              <w:t>Competition</w:t>
            </w:r>
            <w:r w:rsidR="00260B2F">
              <w:rPr>
                <w:webHidden/>
              </w:rPr>
              <w:tab/>
            </w:r>
            <w:r w:rsidR="00260B2F">
              <w:rPr>
                <w:webHidden/>
              </w:rPr>
              <w:fldChar w:fldCharType="begin"/>
            </w:r>
            <w:r w:rsidR="00260B2F">
              <w:rPr>
                <w:webHidden/>
              </w:rPr>
              <w:instrText xml:space="preserve"> PAGEREF _Toc496097058 \h </w:instrText>
            </w:r>
            <w:r w:rsidR="00260B2F">
              <w:rPr>
                <w:webHidden/>
              </w:rPr>
            </w:r>
            <w:r w:rsidR="00260B2F">
              <w:rPr>
                <w:webHidden/>
              </w:rPr>
              <w:fldChar w:fldCharType="separate"/>
            </w:r>
            <w:r w:rsidR="00E91193">
              <w:rPr>
                <w:webHidden/>
              </w:rPr>
              <w:t>28</w:t>
            </w:r>
            <w:r w:rsidR="00260B2F">
              <w:rPr>
                <w:webHidden/>
              </w:rPr>
              <w:fldChar w:fldCharType="end"/>
            </w:r>
          </w:hyperlink>
        </w:p>
        <w:p w14:paraId="787EFBBB" w14:textId="12ABC32B" w:rsidR="00260B2F" w:rsidRDefault="003636A9">
          <w:pPr>
            <w:pStyle w:val="TOC3"/>
            <w:rPr>
              <w:rFonts w:asciiTheme="minorHAnsi" w:eastAsiaTheme="minorEastAsia" w:hAnsiTheme="minorHAnsi"/>
              <w:sz w:val="22"/>
              <w:lang w:eastAsia="en-AU"/>
            </w:rPr>
          </w:pPr>
          <w:hyperlink w:anchor="_Toc496097059" w:history="1">
            <w:r w:rsidR="00260B2F" w:rsidRPr="00667657">
              <w:rPr>
                <w:rStyle w:val="Hyperlink"/>
              </w:rPr>
              <w:t>Supplier payment times</w:t>
            </w:r>
            <w:r w:rsidR="00260B2F">
              <w:rPr>
                <w:webHidden/>
              </w:rPr>
              <w:tab/>
            </w:r>
            <w:r w:rsidR="00260B2F">
              <w:rPr>
                <w:webHidden/>
              </w:rPr>
              <w:fldChar w:fldCharType="begin"/>
            </w:r>
            <w:r w:rsidR="00260B2F">
              <w:rPr>
                <w:webHidden/>
              </w:rPr>
              <w:instrText xml:space="preserve"> PAGEREF _Toc496097059 \h </w:instrText>
            </w:r>
            <w:r w:rsidR="00260B2F">
              <w:rPr>
                <w:webHidden/>
              </w:rPr>
            </w:r>
            <w:r w:rsidR="00260B2F">
              <w:rPr>
                <w:webHidden/>
              </w:rPr>
              <w:fldChar w:fldCharType="separate"/>
            </w:r>
            <w:r w:rsidR="00E91193">
              <w:rPr>
                <w:webHidden/>
              </w:rPr>
              <w:t>29</w:t>
            </w:r>
            <w:r w:rsidR="00260B2F">
              <w:rPr>
                <w:webHidden/>
              </w:rPr>
              <w:fldChar w:fldCharType="end"/>
            </w:r>
          </w:hyperlink>
        </w:p>
        <w:p w14:paraId="3A8C3284" w14:textId="626AF8E0" w:rsidR="00260B2F" w:rsidRDefault="003636A9">
          <w:pPr>
            <w:pStyle w:val="TOC3"/>
            <w:rPr>
              <w:rFonts w:asciiTheme="minorHAnsi" w:eastAsiaTheme="minorEastAsia" w:hAnsiTheme="minorHAnsi"/>
              <w:sz w:val="22"/>
              <w:lang w:eastAsia="en-AU"/>
            </w:rPr>
          </w:pPr>
          <w:hyperlink w:anchor="_Toc496097060" w:history="1">
            <w:r w:rsidR="00260B2F" w:rsidRPr="00667657">
              <w:rPr>
                <w:rStyle w:val="Hyperlink"/>
              </w:rPr>
              <w:t>Small business finance</w:t>
            </w:r>
            <w:r w:rsidR="00260B2F">
              <w:rPr>
                <w:webHidden/>
              </w:rPr>
              <w:tab/>
            </w:r>
            <w:r w:rsidR="00260B2F">
              <w:rPr>
                <w:webHidden/>
              </w:rPr>
              <w:fldChar w:fldCharType="begin"/>
            </w:r>
            <w:r w:rsidR="00260B2F">
              <w:rPr>
                <w:webHidden/>
              </w:rPr>
              <w:instrText xml:space="preserve"> PAGEREF _Toc496097060 \h </w:instrText>
            </w:r>
            <w:r w:rsidR="00260B2F">
              <w:rPr>
                <w:webHidden/>
              </w:rPr>
            </w:r>
            <w:r w:rsidR="00260B2F">
              <w:rPr>
                <w:webHidden/>
              </w:rPr>
              <w:fldChar w:fldCharType="separate"/>
            </w:r>
            <w:r w:rsidR="00E91193">
              <w:rPr>
                <w:webHidden/>
              </w:rPr>
              <w:t>29</w:t>
            </w:r>
            <w:r w:rsidR="00260B2F">
              <w:rPr>
                <w:webHidden/>
              </w:rPr>
              <w:fldChar w:fldCharType="end"/>
            </w:r>
          </w:hyperlink>
        </w:p>
        <w:p w14:paraId="2F7AB5EA" w14:textId="3CDA8251" w:rsidR="00260B2F" w:rsidRDefault="003636A9">
          <w:pPr>
            <w:pStyle w:val="TOC2"/>
            <w:rPr>
              <w:rFonts w:asciiTheme="minorHAnsi" w:eastAsiaTheme="minorEastAsia" w:hAnsiTheme="minorHAnsi"/>
              <w:color w:val="auto"/>
              <w:sz w:val="22"/>
              <w:lang w:eastAsia="en-AU"/>
            </w:rPr>
          </w:pPr>
          <w:hyperlink w:anchor="_Toc496097061" w:history="1">
            <w:r w:rsidR="00260B2F" w:rsidRPr="00667657">
              <w:rPr>
                <w:rStyle w:val="Hyperlink"/>
              </w:rPr>
              <w:t>Energy</w:t>
            </w:r>
            <w:r w:rsidR="00260B2F">
              <w:rPr>
                <w:webHidden/>
              </w:rPr>
              <w:tab/>
            </w:r>
            <w:r w:rsidR="00260B2F">
              <w:rPr>
                <w:webHidden/>
              </w:rPr>
              <w:fldChar w:fldCharType="begin"/>
            </w:r>
            <w:r w:rsidR="00260B2F">
              <w:rPr>
                <w:webHidden/>
              </w:rPr>
              <w:instrText xml:space="preserve"> PAGEREF _Toc496097061 \h </w:instrText>
            </w:r>
            <w:r w:rsidR="00260B2F">
              <w:rPr>
                <w:webHidden/>
              </w:rPr>
            </w:r>
            <w:r w:rsidR="00260B2F">
              <w:rPr>
                <w:webHidden/>
              </w:rPr>
              <w:fldChar w:fldCharType="separate"/>
            </w:r>
            <w:r w:rsidR="00E91193">
              <w:rPr>
                <w:webHidden/>
              </w:rPr>
              <w:t>31</w:t>
            </w:r>
            <w:r w:rsidR="00260B2F">
              <w:rPr>
                <w:webHidden/>
              </w:rPr>
              <w:fldChar w:fldCharType="end"/>
            </w:r>
          </w:hyperlink>
        </w:p>
        <w:p w14:paraId="11A1A22F" w14:textId="25C62835" w:rsidR="00260B2F" w:rsidRDefault="003636A9">
          <w:pPr>
            <w:pStyle w:val="TOC2"/>
            <w:rPr>
              <w:rFonts w:asciiTheme="minorHAnsi" w:eastAsiaTheme="minorEastAsia" w:hAnsiTheme="minorHAnsi"/>
              <w:color w:val="auto"/>
              <w:sz w:val="22"/>
              <w:lang w:eastAsia="en-AU"/>
            </w:rPr>
          </w:pPr>
          <w:hyperlink w:anchor="_Toc496097062" w:history="1">
            <w:r w:rsidR="00260B2F" w:rsidRPr="00667657">
              <w:rPr>
                <w:rStyle w:val="Hyperlink"/>
              </w:rPr>
              <w:t>Taxation</w:t>
            </w:r>
            <w:r w:rsidR="00260B2F">
              <w:rPr>
                <w:webHidden/>
              </w:rPr>
              <w:tab/>
            </w:r>
            <w:r w:rsidR="00260B2F">
              <w:rPr>
                <w:webHidden/>
              </w:rPr>
              <w:fldChar w:fldCharType="begin"/>
            </w:r>
            <w:r w:rsidR="00260B2F">
              <w:rPr>
                <w:webHidden/>
              </w:rPr>
              <w:instrText xml:space="preserve"> PAGEREF _Toc496097062 \h </w:instrText>
            </w:r>
            <w:r w:rsidR="00260B2F">
              <w:rPr>
                <w:webHidden/>
              </w:rPr>
            </w:r>
            <w:r w:rsidR="00260B2F">
              <w:rPr>
                <w:webHidden/>
              </w:rPr>
              <w:fldChar w:fldCharType="separate"/>
            </w:r>
            <w:r w:rsidR="00E91193">
              <w:rPr>
                <w:webHidden/>
              </w:rPr>
              <w:t>33</w:t>
            </w:r>
            <w:r w:rsidR="00260B2F">
              <w:rPr>
                <w:webHidden/>
              </w:rPr>
              <w:fldChar w:fldCharType="end"/>
            </w:r>
          </w:hyperlink>
        </w:p>
        <w:p w14:paraId="00D7A631" w14:textId="3E01375F" w:rsidR="00260B2F" w:rsidRDefault="003636A9">
          <w:pPr>
            <w:pStyle w:val="TOC2"/>
            <w:rPr>
              <w:rFonts w:asciiTheme="minorHAnsi" w:eastAsiaTheme="minorEastAsia" w:hAnsiTheme="minorHAnsi"/>
              <w:color w:val="auto"/>
              <w:sz w:val="22"/>
              <w:lang w:eastAsia="en-AU"/>
            </w:rPr>
          </w:pPr>
          <w:hyperlink w:anchor="_Toc496097063" w:history="1">
            <w:r w:rsidR="00260B2F" w:rsidRPr="00667657">
              <w:rPr>
                <w:rStyle w:val="Hyperlink"/>
              </w:rPr>
              <w:t>Policies to support a transitioning economy</w:t>
            </w:r>
            <w:r w:rsidR="00260B2F">
              <w:rPr>
                <w:webHidden/>
              </w:rPr>
              <w:tab/>
            </w:r>
            <w:r w:rsidR="00260B2F">
              <w:rPr>
                <w:webHidden/>
              </w:rPr>
              <w:fldChar w:fldCharType="begin"/>
            </w:r>
            <w:r w:rsidR="00260B2F">
              <w:rPr>
                <w:webHidden/>
              </w:rPr>
              <w:instrText xml:space="preserve"> PAGEREF _Toc496097063 \h </w:instrText>
            </w:r>
            <w:r w:rsidR="00260B2F">
              <w:rPr>
                <w:webHidden/>
              </w:rPr>
            </w:r>
            <w:r w:rsidR="00260B2F">
              <w:rPr>
                <w:webHidden/>
              </w:rPr>
              <w:fldChar w:fldCharType="separate"/>
            </w:r>
            <w:r w:rsidR="00E91193">
              <w:rPr>
                <w:webHidden/>
              </w:rPr>
              <w:t>34</w:t>
            </w:r>
            <w:r w:rsidR="00260B2F">
              <w:rPr>
                <w:webHidden/>
              </w:rPr>
              <w:fldChar w:fldCharType="end"/>
            </w:r>
          </w:hyperlink>
        </w:p>
        <w:p w14:paraId="6C0F535B" w14:textId="4FB6013E" w:rsidR="00260B2F" w:rsidRDefault="003636A9">
          <w:pPr>
            <w:pStyle w:val="TOC3"/>
            <w:rPr>
              <w:rFonts w:asciiTheme="minorHAnsi" w:eastAsiaTheme="minorEastAsia" w:hAnsiTheme="minorHAnsi"/>
              <w:sz w:val="22"/>
              <w:lang w:eastAsia="en-AU"/>
            </w:rPr>
          </w:pPr>
          <w:hyperlink w:anchor="_Toc496097064" w:history="1">
            <w:r w:rsidR="00260B2F" w:rsidRPr="00667657">
              <w:rPr>
                <w:rStyle w:val="Hyperlink"/>
              </w:rPr>
              <w:t>Innovation</w:t>
            </w:r>
            <w:r w:rsidR="00260B2F">
              <w:rPr>
                <w:webHidden/>
              </w:rPr>
              <w:tab/>
            </w:r>
            <w:r w:rsidR="00260B2F">
              <w:rPr>
                <w:webHidden/>
              </w:rPr>
              <w:fldChar w:fldCharType="begin"/>
            </w:r>
            <w:r w:rsidR="00260B2F">
              <w:rPr>
                <w:webHidden/>
              </w:rPr>
              <w:instrText xml:space="preserve"> PAGEREF _Toc496097064 \h </w:instrText>
            </w:r>
            <w:r w:rsidR="00260B2F">
              <w:rPr>
                <w:webHidden/>
              </w:rPr>
            </w:r>
            <w:r w:rsidR="00260B2F">
              <w:rPr>
                <w:webHidden/>
              </w:rPr>
              <w:fldChar w:fldCharType="separate"/>
            </w:r>
            <w:r w:rsidR="00E91193">
              <w:rPr>
                <w:webHidden/>
              </w:rPr>
              <w:t>34</w:t>
            </w:r>
            <w:r w:rsidR="00260B2F">
              <w:rPr>
                <w:webHidden/>
              </w:rPr>
              <w:fldChar w:fldCharType="end"/>
            </w:r>
          </w:hyperlink>
        </w:p>
        <w:p w14:paraId="22FDB4AF" w14:textId="145A772D" w:rsidR="00260B2F" w:rsidRDefault="003636A9">
          <w:pPr>
            <w:pStyle w:val="TOC3"/>
            <w:rPr>
              <w:rFonts w:asciiTheme="minorHAnsi" w:eastAsiaTheme="minorEastAsia" w:hAnsiTheme="minorHAnsi"/>
              <w:sz w:val="22"/>
              <w:lang w:eastAsia="en-AU"/>
            </w:rPr>
          </w:pPr>
          <w:hyperlink w:anchor="_Toc496097065" w:history="1">
            <w:r w:rsidR="00260B2F" w:rsidRPr="00667657">
              <w:rPr>
                <w:rStyle w:val="Hyperlink"/>
              </w:rPr>
              <w:t>Skills and the labour market</w:t>
            </w:r>
            <w:r w:rsidR="00260B2F">
              <w:rPr>
                <w:webHidden/>
              </w:rPr>
              <w:tab/>
            </w:r>
            <w:r w:rsidR="00260B2F">
              <w:rPr>
                <w:webHidden/>
              </w:rPr>
              <w:fldChar w:fldCharType="begin"/>
            </w:r>
            <w:r w:rsidR="00260B2F">
              <w:rPr>
                <w:webHidden/>
              </w:rPr>
              <w:instrText xml:space="preserve"> PAGEREF _Toc496097065 \h </w:instrText>
            </w:r>
            <w:r w:rsidR="00260B2F">
              <w:rPr>
                <w:webHidden/>
              </w:rPr>
            </w:r>
            <w:r w:rsidR="00260B2F">
              <w:rPr>
                <w:webHidden/>
              </w:rPr>
              <w:fldChar w:fldCharType="separate"/>
            </w:r>
            <w:r w:rsidR="00E91193">
              <w:rPr>
                <w:webHidden/>
              </w:rPr>
              <w:t>36</w:t>
            </w:r>
            <w:r w:rsidR="00260B2F">
              <w:rPr>
                <w:webHidden/>
              </w:rPr>
              <w:fldChar w:fldCharType="end"/>
            </w:r>
          </w:hyperlink>
        </w:p>
        <w:p w14:paraId="7A096EB8" w14:textId="6D9AB00B" w:rsidR="00260B2F" w:rsidRDefault="003636A9">
          <w:pPr>
            <w:pStyle w:val="TOC3"/>
            <w:rPr>
              <w:rFonts w:asciiTheme="minorHAnsi" w:eastAsiaTheme="minorEastAsia" w:hAnsiTheme="minorHAnsi"/>
              <w:sz w:val="22"/>
              <w:lang w:eastAsia="en-AU"/>
            </w:rPr>
          </w:pPr>
          <w:hyperlink w:anchor="_Toc496097066" w:history="1">
            <w:r w:rsidR="00260B2F" w:rsidRPr="00667657">
              <w:rPr>
                <w:rStyle w:val="Hyperlink"/>
              </w:rPr>
              <w:t>Infrastructure</w:t>
            </w:r>
            <w:r w:rsidR="00260B2F">
              <w:rPr>
                <w:webHidden/>
              </w:rPr>
              <w:tab/>
            </w:r>
            <w:r w:rsidR="00260B2F">
              <w:rPr>
                <w:webHidden/>
              </w:rPr>
              <w:fldChar w:fldCharType="begin"/>
            </w:r>
            <w:r w:rsidR="00260B2F">
              <w:rPr>
                <w:webHidden/>
              </w:rPr>
              <w:instrText xml:space="preserve"> PAGEREF _Toc496097066 \h </w:instrText>
            </w:r>
            <w:r w:rsidR="00260B2F">
              <w:rPr>
                <w:webHidden/>
              </w:rPr>
            </w:r>
            <w:r w:rsidR="00260B2F">
              <w:rPr>
                <w:webHidden/>
              </w:rPr>
              <w:fldChar w:fldCharType="separate"/>
            </w:r>
            <w:r w:rsidR="00E91193">
              <w:rPr>
                <w:webHidden/>
              </w:rPr>
              <w:t>37</w:t>
            </w:r>
            <w:r w:rsidR="00260B2F">
              <w:rPr>
                <w:webHidden/>
              </w:rPr>
              <w:fldChar w:fldCharType="end"/>
            </w:r>
          </w:hyperlink>
        </w:p>
        <w:p w14:paraId="56E97E2E" w14:textId="626086C3" w:rsidR="00260B2F" w:rsidRDefault="003636A9" w:rsidP="00135D22">
          <w:pPr>
            <w:pStyle w:val="TOC1"/>
            <w:rPr>
              <w:rFonts w:asciiTheme="minorHAnsi" w:eastAsiaTheme="minorEastAsia" w:hAnsiTheme="minorHAnsi"/>
              <w:sz w:val="22"/>
              <w:lang w:eastAsia="en-AU"/>
            </w:rPr>
          </w:pPr>
          <w:hyperlink w:anchor="_Toc496097067" w:history="1">
            <w:r w:rsidR="00260B2F" w:rsidRPr="00667657">
              <w:rPr>
                <w:rStyle w:val="Hyperlink"/>
              </w:rPr>
              <w:t>Appendix A: stakeholders consulted</w:t>
            </w:r>
            <w:r w:rsidR="00260B2F">
              <w:rPr>
                <w:webHidden/>
              </w:rPr>
              <w:tab/>
            </w:r>
            <w:r w:rsidR="00260B2F">
              <w:rPr>
                <w:webHidden/>
              </w:rPr>
              <w:fldChar w:fldCharType="begin"/>
            </w:r>
            <w:r w:rsidR="00260B2F">
              <w:rPr>
                <w:webHidden/>
              </w:rPr>
              <w:instrText xml:space="preserve"> PAGEREF _Toc496097067 \h </w:instrText>
            </w:r>
            <w:r w:rsidR="00260B2F">
              <w:rPr>
                <w:webHidden/>
              </w:rPr>
            </w:r>
            <w:r w:rsidR="00260B2F">
              <w:rPr>
                <w:webHidden/>
              </w:rPr>
              <w:fldChar w:fldCharType="separate"/>
            </w:r>
            <w:r w:rsidR="00E91193">
              <w:rPr>
                <w:webHidden/>
              </w:rPr>
              <w:t>39</w:t>
            </w:r>
            <w:r w:rsidR="00260B2F">
              <w:rPr>
                <w:webHidden/>
              </w:rPr>
              <w:fldChar w:fldCharType="end"/>
            </w:r>
          </w:hyperlink>
        </w:p>
        <w:p w14:paraId="5C7040AC" w14:textId="3DBA3E22" w:rsidR="00A847EC" w:rsidRDefault="00FF0F34" w:rsidP="001B3352">
          <w:r>
            <w:rPr>
              <w:rFonts w:ascii="Arial Narrow" w:hAnsi="Arial Narrow"/>
              <w:b/>
              <w:caps/>
              <w:noProof/>
              <w:sz w:val="24"/>
            </w:rPr>
            <w:fldChar w:fldCharType="end"/>
          </w:r>
        </w:p>
      </w:sdtContent>
    </w:sdt>
    <w:p w14:paraId="1559EDFF" w14:textId="77777777" w:rsidR="00787B75" w:rsidRPr="00F85775" w:rsidRDefault="00787B75" w:rsidP="001B3352"/>
    <w:p w14:paraId="360C007E" w14:textId="77777777" w:rsidR="00F85775" w:rsidRPr="00F85775" w:rsidRDefault="00F85775" w:rsidP="001B3352">
      <w:pPr>
        <w:sectPr w:rsidR="00F85775" w:rsidRPr="00F85775" w:rsidSect="008F2DDF">
          <w:headerReference w:type="even" r:id="rId23"/>
          <w:headerReference w:type="default" r:id="rId24"/>
          <w:footerReference w:type="even" r:id="rId25"/>
          <w:footerReference w:type="default" r:id="rId26"/>
          <w:headerReference w:type="first" r:id="rId27"/>
          <w:footerReference w:type="first" r:id="rId28"/>
          <w:type w:val="oddPage"/>
          <w:pgSz w:w="11906" w:h="16838"/>
          <w:pgMar w:top="1701" w:right="1440" w:bottom="1440" w:left="1440" w:header="709" w:footer="552" w:gutter="0"/>
          <w:pgNumType w:fmt="lowerRoman"/>
          <w:cols w:space="708"/>
          <w:titlePg/>
          <w:docGrid w:linePitch="360"/>
        </w:sectPr>
      </w:pPr>
    </w:p>
    <w:p w14:paraId="558F3A61" w14:textId="6E3A6062" w:rsidR="003A7847" w:rsidRDefault="00EC45F9" w:rsidP="00F10913">
      <w:pPr>
        <w:pStyle w:val="Heading1"/>
        <w:spacing w:after="440"/>
      </w:pPr>
      <w:bookmarkStart w:id="1" w:name="_Toc489864464"/>
      <w:bookmarkStart w:id="2" w:name="_Toc489351232"/>
      <w:bookmarkStart w:id="3" w:name="_Toc489370829"/>
      <w:bookmarkStart w:id="4" w:name="_Toc491081794"/>
      <w:bookmarkStart w:id="5" w:name="_Toc491108191"/>
      <w:bookmarkStart w:id="6" w:name="_Toc491168308"/>
      <w:bookmarkStart w:id="7" w:name="_Toc491704022"/>
      <w:bookmarkStart w:id="8" w:name="_Toc491705738"/>
      <w:bookmarkStart w:id="9" w:name="_Toc492465356"/>
      <w:bookmarkStart w:id="10" w:name="_Toc492571377"/>
      <w:bookmarkStart w:id="11" w:name="_Toc492902179"/>
      <w:bookmarkStart w:id="12" w:name="_Toc496095474"/>
      <w:bookmarkStart w:id="13" w:name="_Toc496097048"/>
      <w:bookmarkStart w:id="14" w:name="_Toc489864466"/>
      <w:bookmarkEnd w:id="1"/>
      <w:bookmarkEnd w:id="2"/>
      <w:bookmarkEnd w:id="3"/>
      <w:r>
        <w:t>S</w:t>
      </w:r>
      <w:r w:rsidR="003A7847">
        <w:t>ummary</w:t>
      </w:r>
      <w:bookmarkEnd w:id="4"/>
      <w:bookmarkEnd w:id="5"/>
      <w:bookmarkEnd w:id="6"/>
      <w:bookmarkEnd w:id="7"/>
      <w:bookmarkEnd w:id="8"/>
      <w:bookmarkEnd w:id="9"/>
      <w:bookmarkEnd w:id="10"/>
      <w:bookmarkEnd w:id="11"/>
      <w:bookmarkEnd w:id="12"/>
      <w:bookmarkEnd w:id="13"/>
    </w:p>
    <w:p w14:paraId="6215D034" w14:textId="7D7440D9" w:rsidR="00691261" w:rsidRPr="001B7CFB" w:rsidRDefault="00691261" w:rsidP="001B7CFB">
      <w:pPr>
        <w:spacing w:line="320" w:lineRule="exact"/>
        <w:rPr>
          <w:rFonts w:ascii="Arial Narrow" w:hAnsi="Arial Narrow"/>
          <w:spacing w:val="-2"/>
          <w:sz w:val="27"/>
          <w:szCs w:val="27"/>
        </w:rPr>
        <w:sectPr w:rsidR="00691261" w:rsidRPr="001B7CFB" w:rsidSect="00D366D1">
          <w:headerReference w:type="even" r:id="rId29"/>
          <w:headerReference w:type="default" r:id="rId30"/>
          <w:headerReference w:type="first" r:id="rId31"/>
          <w:footerReference w:type="first" r:id="rId32"/>
          <w:type w:val="oddPage"/>
          <w:pgSz w:w="11906" w:h="16838"/>
          <w:pgMar w:top="1701" w:right="1440" w:bottom="1440" w:left="1440" w:header="737" w:footer="567" w:gutter="0"/>
          <w:pgNumType w:start="1"/>
          <w:cols w:space="708"/>
          <w:titlePg/>
          <w:docGrid w:linePitch="360"/>
        </w:sectPr>
      </w:pPr>
    </w:p>
    <w:p w14:paraId="54B0ED88" w14:textId="5A0695EE" w:rsidR="009F0061" w:rsidRDefault="00F56F53" w:rsidP="008E2D7B">
      <w:pPr>
        <w:pStyle w:val="Normal-ColumnText"/>
      </w:pPr>
      <w:r>
        <w:rPr>
          <w:noProof/>
          <w:lang w:eastAsia="en-AU"/>
        </w:rPr>
        <mc:AlternateContent>
          <mc:Choice Requires="wps">
            <w:drawing>
              <wp:anchor distT="0" distB="0" distL="114300" distR="114300" simplePos="0" relativeHeight="251645440" behindDoc="0" locked="0" layoutInCell="1" allowOverlap="1" wp14:anchorId="3C56CBD3" wp14:editId="6010B2B4">
                <wp:simplePos x="0" y="0"/>
                <wp:positionH relativeFrom="column">
                  <wp:posOffset>2977515</wp:posOffset>
                </wp:positionH>
                <wp:positionV relativeFrom="paragraph">
                  <wp:posOffset>47625</wp:posOffset>
                </wp:positionV>
                <wp:extent cx="2771775" cy="7793990"/>
                <wp:effectExtent l="0" t="0" r="9525"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7793990"/>
                        </a:xfrm>
                        <a:prstGeom prst="rect">
                          <a:avLst/>
                        </a:prstGeom>
                        <a:solidFill>
                          <a:srgbClr val="4FA4DA"/>
                        </a:solidFill>
                        <a:ln w="9525">
                          <a:noFill/>
                          <a:miter lim="800000"/>
                          <a:headEnd/>
                          <a:tailEnd/>
                        </a:ln>
                      </wps:spPr>
                      <wps:txbx>
                        <w:txbxContent>
                          <w:p w14:paraId="1807F89B" w14:textId="77777777" w:rsidR="00485AED" w:rsidRPr="00135D22" w:rsidRDefault="00485AED" w:rsidP="00135D22">
                            <w:pPr>
                              <w:pStyle w:val="Normal-SummaryFeatureTitle"/>
                            </w:pPr>
                            <w:r w:rsidRPr="00135D22">
                              <w:t>Business investment, which is critical to economic growth,</w:t>
                            </w:r>
                            <w:r w:rsidRPr="00135D22">
                              <w:br/>
                              <w:t>has been underperforming in</w:t>
                            </w:r>
                            <w:r w:rsidRPr="00135D22">
                              <w:br/>
                              <w:t>recent years.</w:t>
                            </w:r>
                          </w:p>
                          <w:p w14:paraId="04D91B25" w14:textId="77777777" w:rsidR="00485AED" w:rsidRPr="00135D22" w:rsidRDefault="00485AED" w:rsidP="00135D22">
                            <w:pPr>
                              <w:pStyle w:val="Normal-SummaryFeatureTitleSub"/>
                            </w:pPr>
                            <w:r w:rsidRPr="00135D22">
                              <w:t>Why is this the case?</w:t>
                            </w:r>
                          </w:p>
                          <w:p w14:paraId="17F2FCD6" w14:textId="77777777" w:rsidR="00485AED" w:rsidRPr="00135D22" w:rsidRDefault="00485AED" w:rsidP="00135D22">
                            <w:pPr>
                              <w:pStyle w:val="Normal-SummaryFeatureNormalText"/>
                            </w:pPr>
                            <w:r w:rsidRPr="00135D22">
                              <w:t>Our consultations reveal a complex mix of factors:</w:t>
                            </w:r>
                          </w:p>
                          <w:p w14:paraId="5FDA5F87" w14:textId="77777777" w:rsidR="00485AED" w:rsidRPr="00B92083" w:rsidRDefault="00485AED" w:rsidP="009C46D2">
                            <w:pPr>
                              <w:pStyle w:val="Normal-SummaryFeatureNormal-Bullet"/>
                            </w:pPr>
                            <w:r w:rsidRPr="00B92083">
                              <w:t>Positive and negative spill overs from the mining boom</w:t>
                            </w:r>
                          </w:p>
                          <w:p w14:paraId="578FAA50" w14:textId="77777777" w:rsidR="00485AED" w:rsidRPr="00B92083" w:rsidRDefault="00485AED" w:rsidP="009C46D2">
                            <w:pPr>
                              <w:pStyle w:val="Normal-SummaryFeatureNormal-Bullet"/>
                            </w:pPr>
                            <w:r w:rsidRPr="00B92083">
                              <w:t>Slow recovery of confidence from the global financial crisis</w:t>
                            </w:r>
                          </w:p>
                          <w:p w14:paraId="3D85AAF6" w14:textId="77777777" w:rsidR="00485AED" w:rsidRPr="00135D22" w:rsidRDefault="00485AED" w:rsidP="00135D22">
                            <w:pPr>
                              <w:pStyle w:val="Normal-SummaryFeatureNormal-Bullet"/>
                            </w:pPr>
                            <w:r w:rsidRPr="00135D22">
                              <w:t>Evolving technological landscape and shifts in demand to less capital intensive sectors</w:t>
                            </w:r>
                          </w:p>
                          <w:p w14:paraId="4BFC686C" w14:textId="77777777" w:rsidR="00485AED" w:rsidRPr="00B92083" w:rsidRDefault="00485AED" w:rsidP="009C46D2">
                            <w:pPr>
                              <w:pStyle w:val="Normal-SummaryFeatureNormal-Bullet"/>
                            </w:pPr>
                            <w:r w:rsidRPr="00B92083">
                              <w:t>Changing business strategies and low appetite for risk</w:t>
                            </w:r>
                          </w:p>
                          <w:p w14:paraId="2D3ED4E5" w14:textId="77777777" w:rsidR="00485AED" w:rsidRPr="00B92083" w:rsidRDefault="00485AED" w:rsidP="009C46D2">
                            <w:pPr>
                              <w:pStyle w:val="Normal-SummaryFeatureNormal-Bullet"/>
                            </w:pPr>
                            <w:r w:rsidRPr="00B92083">
                              <w:t>Elevated uncertainty: technological innovations, macroeconomic, geo</w:t>
                            </w:r>
                            <w:r w:rsidRPr="00B92083">
                              <w:noBreakHyphen/>
                              <w:t xml:space="preserve">political and domestic policy </w:t>
                            </w:r>
                          </w:p>
                          <w:p w14:paraId="5E7A30FA" w14:textId="77777777" w:rsidR="00485AED" w:rsidRPr="00B92083" w:rsidRDefault="00485AED" w:rsidP="009C46D2">
                            <w:pPr>
                              <w:pStyle w:val="Normal-SummaryFeatureNormal-Bullet"/>
                            </w:pPr>
                            <w:r w:rsidRPr="00B92083">
                              <w:t>High regulatory and tax burden</w:t>
                            </w:r>
                          </w:p>
                          <w:p w14:paraId="10B5D438" w14:textId="77777777" w:rsidR="00485AED" w:rsidRPr="00B92083" w:rsidRDefault="00485AED" w:rsidP="009C46D2">
                            <w:pPr>
                              <w:pStyle w:val="Normal-SummaryFeatureNormal-Bullet"/>
                            </w:pPr>
                            <w:r w:rsidRPr="00B92083">
                              <w:t>Energy affordability and reliability</w:t>
                            </w:r>
                          </w:p>
                          <w:p w14:paraId="2A9B2350" w14:textId="77777777" w:rsidR="00485AED" w:rsidRPr="00B92083" w:rsidRDefault="00485AED" w:rsidP="009C46D2">
                            <w:pPr>
                              <w:pStyle w:val="Normal-SummaryFeatureNormal-Bullet"/>
                            </w:pPr>
                            <w:r w:rsidRPr="00B92083">
                              <w:t>Working capital constraints for small and medium</w:t>
                            </w:r>
                            <w:r w:rsidRPr="00B92083">
                              <w:noBreakHyphen/>
                              <w:t>sized enterprises.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4.45pt;margin-top:3.75pt;width:218.25pt;height:61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" fillcolor="#4fa4da" stroked="f">
                <v:textbox>
                  <w:txbxContent>
                    <w:p w14:paraId="1807F89B" w14:textId="77777777" w:rsidR="00485AED" w:rsidRPr="00135D22" w:rsidRDefault="00485AED" w:rsidP="00135D22">
                      <w:pPr>
                        <w:pStyle w:val="Normal-SummaryFeatureTitle"/>
                      </w:pPr>
                      <w:r w:rsidRPr="00135D22">
                        <w:t>Business investment, which is critical to economic growth</w:t>
                      </w:r>
                      <w:proofErr w:type="gramStart"/>
                      <w:r w:rsidRPr="00135D22">
                        <w:t>,</w:t>
                      </w:r>
                      <w:proofErr w:type="gramEnd"/>
                      <w:r w:rsidRPr="00135D22">
                        <w:br/>
                        <w:t>has been underperforming in</w:t>
                      </w:r>
                      <w:r w:rsidRPr="00135D22">
                        <w:br/>
                        <w:t>recent years.</w:t>
                      </w:r>
                    </w:p>
                    <w:p w14:paraId="04D91B25" w14:textId="77777777" w:rsidR="00485AED" w:rsidRPr="00135D22" w:rsidRDefault="00485AED" w:rsidP="00135D22">
                      <w:pPr>
                        <w:pStyle w:val="Normal-SummaryFeatureTitleSub"/>
                      </w:pPr>
                      <w:r w:rsidRPr="00135D22">
                        <w:t>Why is this the case?</w:t>
                      </w:r>
                    </w:p>
                    <w:p w14:paraId="17F2FCD6" w14:textId="77777777" w:rsidR="00485AED" w:rsidRPr="00135D22" w:rsidRDefault="00485AED" w:rsidP="00135D22">
                      <w:pPr>
                        <w:pStyle w:val="Normal-SummaryFeatureNormalText"/>
                      </w:pPr>
                      <w:r w:rsidRPr="00135D22">
                        <w:t>Our consultations reveal a complex mix of factors:</w:t>
                      </w:r>
                    </w:p>
                    <w:p w14:paraId="5FDA5F87" w14:textId="77777777" w:rsidR="00485AED" w:rsidRPr="00B92083" w:rsidRDefault="00485AED" w:rsidP="009C46D2">
                      <w:pPr>
                        <w:pStyle w:val="Normal-SummaryFeatureNormal-Bullet"/>
                      </w:pPr>
                      <w:r w:rsidRPr="00B92083">
                        <w:t>Positive and negative spill overs from the mining boom</w:t>
                      </w:r>
                    </w:p>
                    <w:p w14:paraId="578FAA50" w14:textId="77777777" w:rsidR="00485AED" w:rsidRPr="00B92083" w:rsidRDefault="00485AED" w:rsidP="009C46D2">
                      <w:pPr>
                        <w:pStyle w:val="Normal-SummaryFeatureNormal-Bullet"/>
                      </w:pPr>
                      <w:r w:rsidRPr="00B92083">
                        <w:t>Slow recovery of confidence from the global financial crisis</w:t>
                      </w:r>
                    </w:p>
                    <w:p w14:paraId="3D85AAF6" w14:textId="77777777" w:rsidR="00485AED" w:rsidRPr="00135D22" w:rsidRDefault="00485AED" w:rsidP="00135D22">
                      <w:pPr>
                        <w:pStyle w:val="Normal-SummaryFeatureNormal-Bullet"/>
                      </w:pPr>
                      <w:r w:rsidRPr="00135D22">
                        <w:t>Evolving technological landscape and shifts in demand to less capital intensive sectors</w:t>
                      </w:r>
                    </w:p>
                    <w:p w14:paraId="4BFC686C" w14:textId="77777777" w:rsidR="00485AED" w:rsidRPr="00B92083" w:rsidRDefault="00485AED" w:rsidP="009C46D2">
                      <w:pPr>
                        <w:pStyle w:val="Normal-SummaryFeatureNormal-Bullet"/>
                      </w:pPr>
                      <w:r w:rsidRPr="00B92083">
                        <w:t>Changing business strategies and low appetite for risk</w:t>
                      </w:r>
                    </w:p>
                    <w:p w14:paraId="2D3ED4E5" w14:textId="77777777" w:rsidR="00485AED" w:rsidRPr="00B92083" w:rsidRDefault="00485AED" w:rsidP="009C46D2">
                      <w:pPr>
                        <w:pStyle w:val="Normal-SummaryFeatureNormal-Bullet"/>
                      </w:pPr>
                      <w:r w:rsidRPr="00B92083">
                        <w:t>Elevated uncertainty: technological innovations, macroeconomic, geo</w:t>
                      </w:r>
                      <w:r w:rsidRPr="00B92083">
                        <w:noBreakHyphen/>
                        <w:t xml:space="preserve">political and domestic policy </w:t>
                      </w:r>
                    </w:p>
                    <w:p w14:paraId="5E7A30FA" w14:textId="77777777" w:rsidR="00485AED" w:rsidRPr="00B92083" w:rsidRDefault="00485AED" w:rsidP="009C46D2">
                      <w:pPr>
                        <w:pStyle w:val="Normal-SummaryFeatureNormal-Bullet"/>
                      </w:pPr>
                      <w:r w:rsidRPr="00B92083">
                        <w:t>High regulatory and tax burden</w:t>
                      </w:r>
                    </w:p>
                    <w:p w14:paraId="10B5D438" w14:textId="77777777" w:rsidR="00485AED" w:rsidRPr="00B92083" w:rsidRDefault="00485AED" w:rsidP="009C46D2">
                      <w:pPr>
                        <w:pStyle w:val="Normal-SummaryFeatureNormal-Bullet"/>
                      </w:pPr>
                      <w:r w:rsidRPr="00B92083">
                        <w:t>Energy affordability and reliability</w:t>
                      </w:r>
                    </w:p>
                    <w:p w14:paraId="2A9B2350" w14:textId="77777777" w:rsidR="00485AED" w:rsidRPr="00B92083" w:rsidRDefault="00485AED" w:rsidP="009C46D2">
                      <w:pPr>
                        <w:pStyle w:val="Normal-SummaryFeatureNormal-Bullet"/>
                      </w:pPr>
                      <w:r w:rsidRPr="00B92083">
                        <w:t>Working capital constraints for small and medium</w:t>
                      </w:r>
                      <w:r w:rsidRPr="00B92083">
                        <w:noBreakHyphen/>
                        <w:t>sized enterprises.</w:t>
                      </w:r>
                    </w:p>
                  </w:txbxContent>
                </v:textbox>
                <w10:wrap type="topAndBottom"/>
              </v:shape>
            </w:pict>
          </mc:Fallback>
        </mc:AlternateContent>
      </w:r>
      <w:r w:rsidR="008E2D7B" w:rsidRPr="001B7CFB">
        <w:t xml:space="preserve">In recent years, business investment in Australia, outside the mining sector, has underperformed relative to expectations given the trajectory of the broader economy. This has been of concern to Australian governments because business investment is critical to economic growth. </w:t>
      </w:r>
      <w:r w:rsidR="009F0061" w:rsidRPr="001B7CFB">
        <w:t>In December 2016</w:t>
      </w:r>
      <w:r w:rsidR="009F0061">
        <w:t>,</w:t>
      </w:r>
      <w:r w:rsidR="009F0061" w:rsidRPr="001B7CFB">
        <w:t xml:space="preserve"> the Council on Federal Financial Relations tasked Heads of Treasuries with exploring factors that might be impeding a broader recovery in business investment. To investigate this, Heads of Treasuries consulted widely with industry over several months during 2017 and prepared this report of observations for the </w:t>
      </w:r>
      <w:r w:rsidR="009F0061">
        <w:t xml:space="preserve">consideration of the </w:t>
      </w:r>
      <w:r w:rsidR="009F0061" w:rsidRPr="001B7CFB">
        <w:t xml:space="preserve">Council on Federal Financial Relations. </w:t>
      </w:r>
    </w:p>
    <w:p w14:paraId="3A2ED4BE" w14:textId="2295706C" w:rsidR="008E2D7B" w:rsidRPr="001B7CFB" w:rsidRDefault="008E2D7B" w:rsidP="008E2D7B">
      <w:pPr>
        <w:pStyle w:val="Normal-ColumnText"/>
      </w:pPr>
      <w:r w:rsidRPr="001B7CFB">
        <w:t xml:space="preserve">Investing in new productive capacity creates employment, raises future incomes and both creates and embodies new innovation. While lacklustre business investment is not a problem unique to Australia, it is important to understand what is happening in our domestic context. Already over the past year </w:t>
      </w:r>
      <w:r w:rsidR="00D80D0E">
        <w:t xml:space="preserve">Australian </w:t>
      </w:r>
      <w:r w:rsidRPr="001B7CFB">
        <w:t xml:space="preserve">business investment data has been more positive and </w:t>
      </w:r>
      <w:r w:rsidR="003B2FBC">
        <w:t>are</w:t>
      </w:r>
      <w:r w:rsidRPr="001B7CFB">
        <w:t xml:space="preserve"> showing promising signs of a recovery. Business investment has grown in the </w:t>
      </w:r>
      <w:r w:rsidR="00D80D0E">
        <w:t>p</w:t>
      </w:r>
      <w:r w:rsidRPr="001B7CFB">
        <w:t>ast three quarters after a prolonged period of weakness.</w:t>
      </w:r>
    </w:p>
    <w:p w14:paraId="2754B1EA" w14:textId="0E1BE83C" w:rsidR="006F1884" w:rsidRPr="001B7CFB" w:rsidRDefault="006F1884" w:rsidP="001B7CFB">
      <w:pPr>
        <w:pStyle w:val="Normal-ColumnText"/>
      </w:pPr>
      <w:r w:rsidRPr="001B7CFB">
        <w:t xml:space="preserve">The environment for business investment in Australia has been influenced in the past decade by a mix of cyclical and structural factors. </w:t>
      </w:r>
      <w:r w:rsidR="000E0E9E" w:rsidRPr="001B7CFB">
        <w:t>An</w:t>
      </w:r>
      <w:r w:rsidR="005136DC" w:rsidRPr="001B7CFB">
        <w:t xml:space="preserve"> </w:t>
      </w:r>
      <w:r w:rsidRPr="001B7CFB" w:rsidDel="005136DC">
        <w:t>important factor for Australia’s aggregate economic performance during this time has been the rise in demand for minerals and energy from large emerging economies like China.</w:t>
      </w:r>
      <w:r w:rsidRPr="001B7CFB">
        <w:t xml:space="preserve"> </w:t>
      </w:r>
      <w:r w:rsidR="000E0E9E" w:rsidRPr="001B7CFB">
        <w:t xml:space="preserve">In response to higher prices, </w:t>
      </w:r>
      <w:r w:rsidRPr="001B7CFB">
        <w:t xml:space="preserve">Australia’s mining sector experienced </w:t>
      </w:r>
      <w:r w:rsidR="000E0E9E" w:rsidRPr="001B7CFB">
        <w:t>a once-in-a-hundred year investment boom to build new supply capacity. The rise in income generated through this sector</w:t>
      </w:r>
      <w:r w:rsidRPr="001B7CFB">
        <w:t xml:space="preserve"> had many positive impacts on the</w:t>
      </w:r>
      <w:r w:rsidR="00512768">
        <w:t xml:space="preserve"> </w:t>
      </w:r>
      <w:r w:rsidRPr="001B7CFB">
        <w:t>resource</w:t>
      </w:r>
      <w:r w:rsidR="005136DC" w:rsidRPr="001B7CFB">
        <w:t>-</w:t>
      </w:r>
      <w:r w:rsidRPr="001B7CFB">
        <w:t xml:space="preserve">rich ‘mining’ </w:t>
      </w:r>
      <w:r w:rsidR="0050677C" w:rsidRPr="001B7CFB">
        <w:t>S</w:t>
      </w:r>
      <w:r w:rsidRPr="001B7CFB">
        <w:t>tates during the boom</w:t>
      </w:r>
      <w:r w:rsidR="000E0E9E" w:rsidRPr="001B7CFB">
        <w:t>. M</w:t>
      </w:r>
      <w:r w:rsidRPr="001B7CFB">
        <w:t>ore recently the</w:t>
      </w:r>
      <w:r w:rsidR="000E0E9E" w:rsidRPr="001B7CFB">
        <w:t xml:space="preserve"> income</w:t>
      </w:r>
      <w:r w:rsidRPr="001B7CFB">
        <w:t xml:space="preserve"> spill</w:t>
      </w:r>
      <w:r w:rsidR="002B1FE9">
        <w:t>-</w:t>
      </w:r>
      <w:r w:rsidRPr="001B7CFB">
        <w:t>overs have been operating in reverse</w:t>
      </w:r>
      <w:r w:rsidR="000E0E9E" w:rsidRPr="001B7CFB">
        <w:t xml:space="preserve"> as prices have moved lower</w:t>
      </w:r>
      <w:r w:rsidR="003569DD" w:rsidRPr="001B7CFB">
        <w:t>.</w:t>
      </w:r>
    </w:p>
    <w:p w14:paraId="773A38D1" w14:textId="4F79506D" w:rsidR="006F1884" w:rsidRPr="001B7CFB" w:rsidRDefault="006F1884" w:rsidP="001B7CFB">
      <w:pPr>
        <w:pStyle w:val="Normal-ColumnText"/>
      </w:pPr>
      <w:r w:rsidRPr="001B7CFB" w:rsidDel="005136DC">
        <w:t xml:space="preserve">The trend in business investment in sectors outside of mining has been less encouraging over the </w:t>
      </w:r>
      <w:r w:rsidR="00390B82" w:rsidRPr="001B7CFB">
        <w:t xml:space="preserve">past </w:t>
      </w:r>
      <w:r w:rsidRPr="001B7CFB">
        <w:t xml:space="preserve">decade. </w:t>
      </w:r>
      <w:r w:rsidR="00390B82" w:rsidRPr="001B7CFB">
        <w:t>Initially the spill</w:t>
      </w:r>
      <w:r w:rsidR="002B1FE9">
        <w:t>-</w:t>
      </w:r>
      <w:r w:rsidR="00390B82" w:rsidRPr="001B7CFB">
        <w:t xml:space="preserve">overs from the mining sector put upward pressure on the exchange rate and labour costs, </w:t>
      </w:r>
      <w:r w:rsidR="00B841C0" w:rsidRPr="001B7CFB">
        <w:t xml:space="preserve">and </w:t>
      </w:r>
      <w:r w:rsidR="00390B82" w:rsidRPr="001B7CFB">
        <w:t>creat</w:t>
      </w:r>
      <w:r w:rsidR="00B841C0" w:rsidRPr="001B7CFB">
        <w:t>ed</w:t>
      </w:r>
      <w:r w:rsidR="00390B82" w:rsidRPr="001B7CFB">
        <w:t xml:space="preserve"> challenges for businesses outside of the mining industry. Separate from the commodity cycle there was weak international demand as advanced economies slowly recovered from the global financial crisis</w:t>
      </w:r>
      <w:r w:rsidR="00526527" w:rsidRPr="001B7CFB">
        <w:t xml:space="preserve"> (GFC)</w:t>
      </w:r>
      <w:r w:rsidR="00390B82" w:rsidRPr="001B7CFB">
        <w:t>. As commodity prices subsequently fell, slow national income growth has dampened domestic demand.</w:t>
      </w:r>
      <w:r w:rsidR="000F482F" w:rsidRPr="001B7CFB">
        <w:t xml:space="preserve"> The</w:t>
      </w:r>
      <w:r w:rsidRPr="001B7CFB">
        <w:t xml:space="preserve"> continued low interest rates, a pick</w:t>
      </w:r>
      <w:r w:rsidR="000F482F" w:rsidRPr="001B7CFB">
        <w:t>-</w:t>
      </w:r>
      <w:r w:rsidRPr="001B7CFB">
        <w:t xml:space="preserve">up in international demand and a lower exchange rate </w:t>
      </w:r>
      <w:r w:rsidR="000F482F" w:rsidRPr="001B7CFB">
        <w:t>in recent years have</w:t>
      </w:r>
      <w:r w:rsidR="00390B82" w:rsidRPr="001B7CFB">
        <w:t xml:space="preserve"> </w:t>
      </w:r>
      <w:r w:rsidRPr="001B7CFB">
        <w:t>not translated into the expected increase in</w:t>
      </w:r>
      <w:r w:rsidR="00DB5F30" w:rsidRPr="001B7CFB">
        <w:t xml:space="preserve"> </w:t>
      </w:r>
      <w:r w:rsidRPr="001B7CFB">
        <w:t>non-mining business investment</w:t>
      </w:r>
      <w:r w:rsidR="000F482F" w:rsidRPr="001B7CFB">
        <w:t>, though there have been promis</w:t>
      </w:r>
      <w:r w:rsidR="003569DD" w:rsidRPr="001B7CFB">
        <w:t>ing signs of recovery recently.</w:t>
      </w:r>
    </w:p>
    <w:p w14:paraId="6EC929FB" w14:textId="73B097A2" w:rsidR="00323CAD" w:rsidRPr="001B7CFB" w:rsidRDefault="00323CAD" w:rsidP="001B7CFB">
      <w:pPr>
        <w:pStyle w:val="Normal-ColumnText"/>
      </w:pPr>
      <w:r w:rsidRPr="001B7CFB">
        <w:t>Structural factors explain some of the weakness in</w:t>
      </w:r>
      <w:r w:rsidR="002B1FE9">
        <w:br/>
      </w:r>
      <w:r w:rsidRPr="001B7CFB">
        <w:t>non-mining business investment. There is a global trend, particularly in advanced economies like Australia, towards less capital intensive services as a larger share of the economy. Th</w:t>
      </w:r>
      <w:r w:rsidR="00390B82" w:rsidRPr="001B7CFB">
        <w:t>is ongoing shift,</w:t>
      </w:r>
      <w:r w:rsidRPr="001B7CFB">
        <w:t xml:space="preserve"> combined with new technology</w:t>
      </w:r>
      <w:r w:rsidR="00390B82" w:rsidRPr="001B7CFB">
        <w:t>,</w:t>
      </w:r>
      <w:r w:rsidRPr="001B7CFB">
        <w:t xml:space="preserve"> means </w:t>
      </w:r>
      <w:r w:rsidR="00390B82" w:rsidRPr="001B7CFB">
        <w:t>there is</w:t>
      </w:r>
      <w:r w:rsidRPr="001B7CFB">
        <w:t xml:space="preserve"> a greater role for the skills of the labour force. </w:t>
      </w:r>
      <w:r w:rsidR="00D31932" w:rsidRPr="001B7CFB">
        <w:t>Not all human capital investment is captured in business investment</w:t>
      </w:r>
      <w:r w:rsidR="00390B82" w:rsidRPr="001B7CFB">
        <w:t xml:space="preserve"> measures</w:t>
      </w:r>
      <w:r w:rsidR="00D31932" w:rsidRPr="001B7CFB">
        <w:t xml:space="preserve">. </w:t>
      </w:r>
      <w:r w:rsidRPr="001B7CFB">
        <w:t>Meanwhile the rapidly evolving digital landscape is creating as much cause for concern for exist</w:t>
      </w:r>
      <w:r w:rsidR="005129C7" w:rsidRPr="001B7CFB">
        <w:t>ing businesses as are</w:t>
      </w:r>
      <w:r w:rsidRPr="001B7CFB">
        <w:t xml:space="preserve"> the opportunit</w:t>
      </w:r>
      <w:r w:rsidR="00390B82" w:rsidRPr="001B7CFB">
        <w:t>ies for new businesses</w:t>
      </w:r>
      <w:r w:rsidRPr="001B7CFB">
        <w:t xml:space="preserve">. </w:t>
      </w:r>
      <w:r w:rsidR="00390B82" w:rsidRPr="001B7CFB">
        <w:t>Technological</w:t>
      </w:r>
      <w:r w:rsidRPr="001B7CFB">
        <w:t xml:space="preserve"> disruption </w:t>
      </w:r>
      <w:r w:rsidR="00390B82" w:rsidRPr="001B7CFB">
        <w:t>is</w:t>
      </w:r>
      <w:r w:rsidRPr="001B7CFB">
        <w:t xml:space="preserve"> happening at a rapid pace, transforming industries</w:t>
      </w:r>
      <w:r w:rsidR="003569DD" w:rsidRPr="001B7CFB">
        <w:t xml:space="preserve"> and the competitive landscape.</w:t>
      </w:r>
    </w:p>
    <w:p w14:paraId="12A4B3E3" w14:textId="55C0528B" w:rsidR="000F0119" w:rsidRDefault="00F10913" w:rsidP="001B7CFB">
      <w:pPr>
        <w:pStyle w:val="Normal-ColumnText"/>
      </w:pPr>
      <w:r w:rsidRPr="00F10913">
        <w:t>Our consultations with businesses found that growth is not broad based, with variable sectoral and regional outlooks for demand. While some businesses indicated strong investment intentions and strategies to expand and grow their businesses, others indicated that business investment is increasingly being targeted at reducing costs and increasing operational efficiency. Other defensive business strategies evident include aggressive capital management approaches such as increasing debt to equity ratios, increasing dividend payout ratios, share buybacks and expansion via mergers, acquisitions and other brownfield investment strategies. A persistent theme from contacts was a lower risk appetite from both corporate boards of directors and investors.</w:t>
      </w:r>
      <w:r w:rsidR="00A32E24" w:rsidRPr="00A32E24">
        <w:t xml:space="preserve"> </w:t>
      </w:r>
      <w:r w:rsidR="00A32E24" w:rsidRPr="00C43A8C">
        <w:t xml:space="preserve">Over time, investors have expressed </w:t>
      </w:r>
      <w:r w:rsidR="001B7CFB" w:rsidRPr="00C43A8C">
        <w:t>a preference for solid, steady returns over potentially higher returns due to the associated risk of volatility with the latter.</w:t>
      </w:r>
    </w:p>
    <w:p w14:paraId="181B4D49" w14:textId="18903CBB" w:rsidR="00C61F77" w:rsidRDefault="00C61F77" w:rsidP="001B7CFB">
      <w:pPr>
        <w:pStyle w:val="Normal-ColumnText"/>
      </w:pPr>
      <w:r w:rsidRPr="00A32E24">
        <w:t>Our consultations highlighted the prominence of a sense of elevated uncertainty. There was almost universal feedback that uncertainty has been elevated for the past decade and that this is impacting firm behaviour – both business strategy and investment decisions.</w:t>
      </w:r>
      <w:r>
        <w:t xml:space="preserve"> </w:t>
      </w:r>
      <w:r w:rsidRPr="00A32E24">
        <w:t>Sources of uncertainty of concern to businesses included the impact of technological innovations and disruption in the economy, global economic uncertainty,</w:t>
      </w:r>
      <w:r>
        <w:t xml:space="preserve"> </w:t>
      </w:r>
      <w:r w:rsidRPr="00A32E24">
        <w:t>geo-political uncertainty and domestic policy continuity at all levels of government.</w:t>
      </w:r>
      <w:r>
        <w:t xml:space="preserve"> </w:t>
      </w:r>
      <w:r w:rsidRPr="00A32E24">
        <w:t>There is a strong view that coming out of the financial downturn, the psychological impacts described as the ‘scars’ of the GFC on business decision</w:t>
      </w:r>
      <w:r w:rsidRPr="00A32E24">
        <w:noBreakHyphen/>
        <w:t>makers, are deeper and more extensive than we had originally expected.</w:t>
      </w:r>
    </w:p>
    <w:p w14:paraId="3704380F" w14:textId="64767DC4" w:rsidR="00B400F2" w:rsidRDefault="001F5EE3" w:rsidP="001F5EE3">
      <w:pPr>
        <w:pStyle w:val="TableGraphic"/>
      </w:pPr>
      <w:r>
        <w:rPr>
          <w:noProof/>
        </w:rPr>
        <w:drawing>
          <wp:inline distT="0" distB="0" distL="0" distR="0" wp14:anchorId="5ABE74A4" wp14:editId="5B97912A">
            <wp:extent cx="2681492" cy="784948"/>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27" r="618"/>
                    <a:stretch/>
                  </pic:blipFill>
                  <pic:spPr bwMode="auto">
                    <a:xfrm>
                      <a:off x="0" y="0"/>
                      <a:ext cx="2687698" cy="786765"/>
                    </a:xfrm>
                    <a:prstGeom prst="rect">
                      <a:avLst/>
                    </a:prstGeom>
                    <a:noFill/>
                    <a:ln>
                      <a:noFill/>
                    </a:ln>
                    <a:extLst>
                      <a:ext uri="{53640926-AAD7-44D8-BBD7-CCE9431645EC}">
                        <a14:shadowObscured xmlns:a14="http://schemas.microsoft.com/office/drawing/2010/main"/>
                      </a:ext>
                    </a:extLst>
                  </pic:spPr>
                </pic:pic>
              </a:graphicData>
            </a:graphic>
          </wp:inline>
        </w:drawing>
      </w:r>
    </w:p>
    <w:p w14:paraId="0A02810B" w14:textId="77777777" w:rsidR="00C61F77" w:rsidRDefault="00C61F77" w:rsidP="00F56F53">
      <w:pPr>
        <w:pStyle w:val="Normal-ColumnText"/>
        <w:spacing w:after="0"/>
      </w:pPr>
    </w:p>
    <w:p w14:paraId="37E76C58" w14:textId="1D1D3F64" w:rsidR="00B400F2" w:rsidRPr="00A32E24" w:rsidRDefault="00B400F2" w:rsidP="00B400F2">
      <w:pPr>
        <w:pStyle w:val="Normal-ColumnText"/>
      </w:pPr>
      <w:r w:rsidRPr="00A32E24">
        <w:t>The GFC introduced new risk premia for advanced economies – meaning tail events, that is, low probability, high impact events, now weigh on the minds of business leaders and financial managers. It was suggested that this is reducing the risk appetite for sections of the business community. Businesses consulted were clear that, while much of the uncertainty is outside the control of Australian governments, the focus for governments should be on reducing their contribution to uncertainty.</w:t>
      </w:r>
    </w:p>
    <w:p w14:paraId="7C80F100" w14:textId="77777777" w:rsidR="001F5EE3" w:rsidRPr="00221FF9" w:rsidRDefault="001F5EE3" w:rsidP="001F5EE3">
      <w:pPr>
        <w:pStyle w:val="Normal-ColumnText"/>
      </w:pPr>
      <w:r w:rsidRPr="00221FF9">
        <w:t>The energy sector was raised as an example where appropriate regulatory and policy settings are vital for investment decisions. Affordable and reliable energy is crucial for investment decisions by small and large businesses across Australia as energy is a ubiquitous expense for all businesses and households. Resolution of uncertainty around energy policy is critical to build confidence in electricity affordability and reliability. Signals for new long-term generation investments require a nationally agreed and widely supported policy framework.</w:t>
      </w:r>
    </w:p>
    <w:p w14:paraId="79AA7AB1" w14:textId="6FE5CA4E" w:rsidR="001F5EE3" w:rsidRPr="00221FF9" w:rsidRDefault="001F5EE3" w:rsidP="001F5EE3">
      <w:pPr>
        <w:pStyle w:val="Normal-ColumnText"/>
      </w:pPr>
      <w:r w:rsidRPr="00C47F2D">
        <w:t>All levels of government influence the business environment as they set the institutional frameworks i</w:t>
      </w:r>
      <w:r>
        <w:t>n which businesses operate. G</w:t>
      </w:r>
      <w:r w:rsidRPr="00C47F2D">
        <w:t xml:space="preserve">overnments need to strike the right balance between desired public policy objectives whilst allowing businesses to thrive. </w:t>
      </w:r>
      <w:r>
        <w:t>C</w:t>
      </w:r>
      <w:r w:rsidRPr="00D64F0D">
        <w:t xml:space="preserve">oncerns were raised </w:t>
      </w:r>
      <w:r>
        <w:t xml:space="preserve">at </w:t>
      </w:r>
      <w:r w:rsidRPr="00D64F0D">
        <w:t>all of the roundtable discussions</w:t>
      </w:r>
      <w:r w:rsidRPr="00C47F2D">
        <w:t xml:space="preserve"> about the</w:t>
      </w:r>
      <w:r w:rsidR="00512768">
        <w:t xml:space="preserve"> </w:t>
      </w:r>
      <w:r w:rsidRPr="00C47F2D">
        <w:t xml:space="preserve">red-tape cost of doing business in Australia and </w:t>
      </w:r>
      <w:r>
        <w:t xml:space="preserve">the </w:t>
      </w:r>
      <w:r w:rsidRPr="00C47F2D">
        <w:t>impact of the regulatory environment on the investment environment</w:t>
      </w:r>
      <w:r>
        <w:t>. A high regulatory burden, both in terms of the sheer volume of regulation and compliance costs, was identified as an impediment to business investment. G</w:t>
      </w:r>
      <w:r w:rsidRPr="00C47F2D">
        <w:t>overnments</w:t>
      </w:r>
      <w:r w:rsidRPr="00C47F2D" w:rsidDel="00C3542B">
        <w:t xml:space="preserve"> </w:t>
      </w:r>
      <w:r w:rsidRPr="00C47F2D">
        <w:t xml:space="preserve">need to be vigilant in their efforts to reduce unnecessary regulatory burden, and </w:t>
      </w:r>
      <w:r>
        <w:t xml:space="preserve">place </w:t>
      </w:r>
      <w:r w:rsidRPr="00C47F2D">
        <w:t xml:space="preserve">a greater </w:t>
      </w:r>
      <w:r w:rsidRPr="00221FF9">
        <w:t>focus on evaluating the burden of regulatory changes after they are made.</w:t>
      </w:r>
    </w:p>
    <w:p w14:paraId="38CF6B3E" w14:textId="1B9E4335" w:rsidR="00B400F2" w:rsidRDefault="001F5EE3" w:rsidP="001F5EE3">
      <w:pPr>
        <w:pStyle w:val="TableGraphic"/>
      </w:pPr>
      <w:r>
        <w:rPr>
          <w:noProof/>
        </w:rPr>
        <w:drawing>
          <wp:inline distT="0" distB="0" distL="0" distR="0" wp14:anchorId="0DFBCE9F" wp14:editId="683086D7">
            <wp:extent cx="2772000" cy="81020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72000" cy="810203"/>
                    </a:xfrm>
                    <a:prstGeom prst="rect">
                      <a:avLst/>
                    </a:prstGeom>
                    <a:noFill/>
                  </pic:spPr>
                </pic:pic>
              </a:graphicData>
            </a:graphic>
          </wp:inline>
        </w:drawing>
      </w:r>
    </w:p>
    <w:p w14:paraId="4C455A19" w14:textId="77777777" w:rsidR="001F5EE3" w:rsidRDefault="001F5EE3" w:rsidP="001F5EE3">
      <w:pPr>
        <w:pStyle w:val="Normal-ColumnText"/>
        <w:spacing w:after="0"/>
        <w:rPr>
          <w:lang w:eastAsia="en-AU"/>
        </w:rPr>
      </w:pPr>
    </w:p>
    <w:p w14:paraId="2184FEBB" w14:textId="04D945B7" w:rsidR="001F5EE3" w:rsidRDefault="001F5EE3" w:rsidP="001F5EE3">
      <w:pPr>
        <w:pStyle w:val="Normal-ColumnText"/>
      </w:pPr>
      <w:r w:rsidRPr="00221FF9">
        <w:t>Regulatory settings need to enable and encourage effective competition</w:t>
      </w:r>
      <w:r w:rsidRPr="00C47F2D">
        <w:t xml:space="preserve"> and should promot</w:t>
      </w:r>
      <w:r>
        <w:t xml:space="preserve">e innovation by businesses across all types of business. Small </w:t>
      </w:r>
      <w:r w:rsidR="00A841CE">
        <w:t xml:space="preserve">and </w:t>
      </w:r>
      <w:r>
        <w:t>medium</w:t>
      </w:r>
      <w:r w:rsidR="00A841CE">
        <w:t>-</w:t>
      </w:r>
      <w:r>
        <w:t xml:space="preserve">sized </w:t>
      </w:r>
      <w:r w:rsidR="00A841CE">
        <w:t>enterprises</w:t>
      </w:r>
      <w:r>
        <w:t xml:space="preserve"> (SMEs)</w:t>
      </w:r>
      <w:r w:rsidRPr="00C47F2D">
        <w:t xml:space="preserve"> </w:t>
      </w:r>
      <w:r>
        <w:t>raised a range of issues around</w:t>
      </w:r>
      <w:r w:rsidRPr="00C47F2D">
        <w:t xml:space="preserve"> large firms with market power. Payment times by large suppliers </w:t>
      </w:r>
      <w:r>
        <w:t>and a</w:t>
      </w:r>
      <w:r w:rsidRPr="00C47F2D">
        <w:t xml:space="preserve">ccess to credit and the cost of debt financing </w:t>
      </w:r>
      <w:r>
        <w:t>were</w:t>
      </w:r>
      <w:r w:rsidRPr="00C47F2D">
        <w:t xml:space="preserve"> concern</w:t>
      </w:r>
      <w:r>
        <w:t>s</w:t>
      </w:r>
      <w:r w:rsidRPr="00C47F2D">
        <w:t xml:space="preserve"> for some SMEs</w:t>
      </w:r>
      <w:r>
        <w:t>.</w:t>
      </w:r>
    </w:p>
    <w:p w14:paraId="38F5A3C7" w14:textId="09B3EE94" w:rsidR="00512768" w:rsidRDefault="00512768" w:rsidP="00512768">
      <w:pPr>
        <w:pStyle w:val="TableGraphic"/>
      </w:pPr>
      <w:r>
        <w:rPr>
          <w:noProof/>
        </w:rPr>
        <w:drawing>
          <wp:inline distT="0" distB="0" distL="0" distR="0" wp14:anchorId="7BBEFE82" wp14:editId="0E3ECB81">
            <wp:extent cx="2772000" cy="8030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38" r="815"/>
                    <a:stretch/>
                  </pic:blipFill>
                  <pic:spPr bwMode="auto">
                    <a:xfrm>
                      <a:off x="0" y="0"/>
                      <a:ext cx="2772000" cy="803073"/>
                    </a:xfrm>
                    <a:prstGeom prst="rect">
                      <a:avLst/>
                    </a:prstGeom>
                    <a:noFill/>
                    <a:ln>
                      <a:noFill/>
                    </a:ln>
                    <a:extLst>
                      <a:ext uri="{53640926-AAD7-44D8-BBD7-CCE9431645EC}">
                        <a14:shadowObscured xmlns:a14="http://schemas.microsoft.com/office/drawing/2010/main"/>
                      </a:ext>
                    </a:extLst>
                  </pic:spPr>
                </pic:pic>
              </a:graphicData>
            </a:graphic>
          </wp:inline>
        </w:drawing>
      </w:r>
    </w:p>
    <w:p w14:paraId="56D454D8" w14:textId="77777777" w:rsidR="00512768" w:rsidRDefault="00512768" w:rsidP="00512768">
      <w:pPr>
        <w:pStyle w:val="Normal-ColumnText"/>
        <w:spacing w:after="0"/>
      </w:pPr>
    </w:p>
    <w:p w14:paraId="472745CA" w14:textId="5A41EC90" w:rsidR="001F5EE3" w:rsidRDefault="001F5EE3" w:rsidP="001F5EE3">
      <w:pPr>
        <w:pStyle w:val="Normal-ColumnText"/>
      </w:pPr>
      <w:r>
        <w:t>SMEs also raised concerns about State payroll taxes which are considered by some as a</w:t>
      </w:r>
      <w:r w:rsidR="00512768">
        <w:t xml:space="preserve"> </w:t>
      </w:r>
      <w:r>
        <w:t xml:space="preserve">dis-incentive for companies to expand. </w:t>
      </w:r>
      <w:r w:rsidRPr="00C47F2D">
        <w:t xml:space="preserve">Australia’s high corporate tax rate by international standards </w:t>
      </w:r>
      <w:r>
        <w:t>was identified</w:t>
      </w:r>
      <w:r w:rsidRPr="00C47F2D">
        <w:t xml:space="preserve"> as a barrier to investment </w:t>
      </w:r>
      <w:r w:rsidRPr="00385DAC">
        <w:t xml:space="preserve">as it sets a higher rate of return hurdle for new investments in Australia than in other countries. </w:t>
      </w:r>
      <w:r>
        <w:t>This</w:t>
      </w:r>
      <w:r w:rsidRPr="00385DAC">
        <w:t xml:space="preserve"> gap has widened in recent years and is set to widen further</w:t>
      </w:r>
      <w:r>
        <w:t>. Businesses were concerned that l</w:t>
      </w:r>
      <w:r w:rsidRPr="00C47F2D">
        <w:t xml:space="preserve">arge multinational companies not paying their ‘fair share’ of tax put other businesses at a competitive disadvantage – a level playing field </w:t>
      </w:r>
      <w:r>
        <w:t>is required.</w:t>
      </w:r>
    </w:p>
    <w:p w14:paraId="48AD23A2" w14:textId="7EBC778A" w:rsidR="001F5EE3" w:rsidRPr="00A32E24" w:rsidRDefault="001F5EE3" w:rsidP="001F5EE3">
      <w:pPr>
        <w:pStyle w:val="Normal-ColumnText"/>
      </w:pPr>
      <w:r w:rsidRPr="00F10913">
        <w:t xml:space="preserve">The strength and stability of institutional arrangements impact on firm behaviour. Businesses are concerned that sudden reviews of longstanding policies can create uncertainty that discourages investment. Despite this, stakeholders acknowledge that policies need to change over </w:t>
      </w:r>
      <w:r w:rsidRPr="00A32E24">
        <w:t>time. As such, businesses emphasised the importance of ensuring that when policy is changed, this is an appropriate process – one that has</w:t>
      </w:r>
      <w:r w:rsidRPr="00A32E24" w:rsidDel="00521260">
        <w:t xml:space="preserve"> </w:t>
      </w:r>
      <w:r w:rsidRPr="00A32E24">
        <w:t>adequate consultation and sensible implementation timeframes. Disingenuous consultations and reviews for purely political reason</w:t>
      </w:r>
      <w:r w:rsidR="00996A23">
        <w:t>s</w:t>
      </w:r>
      <w:r w:rsidRPr="00A32E24">
        <w:t xml:space="preserve"> are not well received.</w:t>
      </w:r>
    </w:p>
    <w:p w14:paraId="42D90E56" w14:textId="3E6CF1D8" w:rsidR="001F5EE3" w:rsidRDefault="005B0501" w:rsidP="001F5EE3">
      <w:pPr>
        <w:pStyle w:val="Normal-ColumnText"/>
      </w:pPr>
      <w:r>
        <w:br w:type="column"/>
      </w:r>
      <w:r w:rsidR="001F5EE3" w:rsidRPr="00A32E24">
        <w:t>Governments can implement well-designed policies to support structural transitions in the economy, such as for example, the National Innovation and Science Agenda. It was noted that Australia generally has a risk averse culture, which is negatively impacting on our innovation capabilities. Regulatory settings should support an environment for innovation, but should strike a balance in protecting investors.</w:t>
      </w:r>
    </w:p>
    <w:p w14:paraId="6F95CD75" w14:textId="048E35F7" w:rsidR="001F5EE3" w:rsidRDefault="001F5EE3" w:rsidP="001F5EE3">
      <w:pPr>
        <w:pStyle w:val="Normal-ColumnText"/>
      </w:pPr>
      <w:r w:rsidRPr="00F10913">
        <w:t>The influence of new digital technology was broadly canvassed by business. Businesses were concerned about accessing the required skills and knowledge to create measurable value from investments in digital and other technologies. They urged the education system to continue to respond to the changing needs of the Australian economy, and acknowledged that industry has a role in training and signalling skills needs. Attracting and retaining skilled labour can be even more challenging for SMEs. Skilled visas should continue to act as a supplement to domestic skills shortages</w:t>
      </w:r>
      <w:r>
        <w:t>.</w:t>
      </w:r>
    </w:p>
    <w:p w14:paraId="4B75EF36" w14:textId="40CFE2D1" w:rsidR="00512768" w:rsidRDefault="00512768" w:rsidP="00512768">
      <w:pPr>
        <w:pStyle w:val="TableGraphic"/>
      </w:pPr>
      <w:r>
        <w:rPr>
          <w:noProof/>
        </w:rPr>
        <w:drawing>
          <wp:inline distT="0" distB="0" distL="0" distR="0" wp14:anchorId="304DF6CE" wp14:editId="69D449DB">
            <wp:extent cx="2772000" cy="8031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2000" cy="803103"/>
                    </a:xfrm>
                    <a:prstGeom prst="rect">
                      <a:avLst/>
                    </a:prstGeom>
                    <a:noFill/>
                  </pic:spPr>
                </pic:pic>
              </a:graphicData>
            </a:graphic>
          </wp:inline>
        </w:drawing>
      </w:r>
    </w:p>
    <w:p w14:paraId="2AC7BB56" w14:textId="77777777" w:rsidR="00512768" w:rsidRDefault="00512768" w:rsidP="00512768">
      <w:pPr>
        <w:pStyle w:val="Normal-ColumnText"/>
        <w:spacing w:after="0"/>
      </w:pPr>
    </w:p>
    <w:p w14:paraId="4B6A960D" w14:textId="16997A93" w:rsidR="00512768" w:rsidRPr="00512768" w:rsidRDefault="00512768" w:rsidP="00512768">
      <w:pPr>
        <w:pStyle w:val="Normal-ColumnText"/>
      </w:pPr>
      <w:r w:rsidRPr="00512768">
        <w:t>During our consultations, a broad range of factors impacting business investment in Australia were identified. While no single policy lever was identified, governments at all levels need to understand the mix of factors and continue to work to improve the investment environment. Continued cooperation and coordination between the Commonwealth and State Governments is clearly being requested by the business community. Now is the time for governments to redouble efforts to make Australia a better place to do business</w:t>
      </w:r>
      <w:r>
        <w:t>.</w:t>
      </w:r>
    </w:p>
    <w:p w14:paraId="485B9DB2" w14:textId="0CA95EB3" w:rsidR="005136DC" w:rsidRPr="00512768" w:rsidRDefault="005136DC" w:rsidP="00512768">
      <w:pPr>
        <w:pStyle w:val="Normal-ColumnText"/>
      </w:pPr>
    </w:p>
    <w:p w14:paraId="4B6E720F" w14:textId="26913FC3" w:rsidR="00691261" w:rsidRDefault="00691261" w:rsidP="005136DC">
      <w:pPr>
        <w:rPr>
          <w:lang w:eastAsia="en-AU"/>
        </w:rPr>
        <w:sectPr w:rsidR="00691261" w:rsidSect="00691261">
          <w:headerReference w:type="even" r:id="rId37"/>
          <w:headerReference w:type="default" r:id="rId38"/>
          <w:type w:val="continuous"/>
          <w:pgSz w:w="11906" w:h="16838"/>
          <w:pgMar w:top="1701" w:right="1440" w:bottom="1440" w:left="1440" w:header="737" w:footer="567" w:gutter="0"/>
          <w:cols w:num="2" w:space="284"/>
          <w:titlePg/>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020"/>
      </w:tblGrid>
      <w:tr w:rsidR="002F36AE" w:rsidRPr="002F36AE" w14:paraId="34CCBA0C" w14:textId="77777777" w:rsidTr="002F36AE">
        <w:trPr>
          <w:trHeight w:val="340"/>
        </w:trPr>
        <w:tc>
          <w:tcPr>
            <w:tcW w:w="9020" w:type="dxa"/>
            <w:shd w:val="clear" w:color="auto" w:fill="002833" w:themeFill="text1"/>
            <w:vAlign w:val="center"/>
          </w:tcPr>
          <w:p w14:paraId="2B8F556B" w14:textId="799ADDEA" w:rsidR="00970991" w:rsidRPr="002F36AE" w:rsidRDefault="003D1AF8" w:rsidP="004A3D78">
            <w:pPr>
              <w:pStyle w:val="BoxHeading-Recommendation"/>
              <w:rPr>
                <w:color w:val="FFFFFF"/>
              </w:rPr>
            </w:pPr>
            <w:r w:rsidRPr="002F36AE">
              <w:rPr>
                <w:color w:val="FFFFFF"/>
              </w:rPr>
              <w:t>observations</w:t>
            </w:r>
          </w:p>
        </w:tc>
      </w:tr>
      <w:tr w:rsidR="002F36AE" w:rsidRPr="002F36AE" w14:paraId="51359AFC" w14:textId="77777777" w:rsidTr="00A32E24">
        <w:trPr>
          <w:trHeight w:val="11794"/>
        </w:trPr>
        <w:tc>
          <w:tcPr>
            <w:tcW w:w="9020" w:type="dxa"/>
            <w:shd w:val="clear" w:color="auto" w:fill="4FA4DA"/>
            <w:tcMar>
              <w:top w:w="85" w:type="dxa"/>
              <w:left w:w="85" w:type="dxa"/>
              <w:bottom w:w="85" w:type="dxa"/>
              <w:right w:w="85" w:type="dxa"/>
            </w:tcMar>
          </w:tcPr>
          <w:p w14:paraId="7817F19E" w14:textId="4EF4B962" w:rsidR="004A3D78" w:rsidRPr="00945D46" w:rsidRDefault="004A3D78" w:rsidP="00945D46">
            <w:pPr>
              <w:pStyle w:val="BoxText-White"/>
            </w:pPr>
            <w:r w:rsidRPr="00945D46">
              <w:t>Following exten</w:t>
            </w:r>
            <w:r w:rsidR="002008BE" w:rsidRPr="00945D46">
              <w:t xml:space="preserve">sive consultation, to review impediments to business investment, </w:t>
            </w:r>
            <w:r w:rsidRPr="00945D46">
              <w:t xml:space="preserve">Heads of Treasuries </w:t>
            </w:r>
            <w:r w:rsidR="005349BD" w:rsidRPr="00945D46">
              <w:t>note the following observations</w:t>
            </w:r>
            <w:r w:rsidR="009F0061">
              <w:t xml:space="preserve"> drawn from stakeholder’s views for consideration</w:t>
            </w:r>
            <w:r w:rsidR="005349BD" w:rsidRPr="00945D46">
              <w:t>.</w:t>
            </w:r>
          </w:p>
          <w:p w14:paraId="1F7FDCF2" w14:textId="3AADB15B" w:rsidR="003D1AF8" w:rsidRPr="00945D46" w:rsidRDefault="003D1AF8" w:rsidP="00945D46">
            <w:pPr>
              <w:pStyle w:val="BoxText-White"/>
            </w:pPr>
            <w:r w:rsidRPr="00945D46">
              <w:t>Stable macroeconomic conditions, through credible monetary policy frameworks, responsible fiscal policy and sound financial sector regulatory environments, remain central to long</w:t>
            </w:r>
            <w:r w:rsidR="0072184F" w:rsidRPr="00945D46">
              <w:t>-</w:t>
            </w:r>
            <w:r w:rsidRPr="00945D46">
              <w:t>term demand and growth in investment.</w:t>
            </w:r>
          </w:p>
          <w:p w14:paraId="08F15BE1" w14:textId="707E4976" w:rsidR="003D1AF8" w:rsidRPr="00945D46" w:rsidRDefault="003D1AF8" w:rsidP="00945D46">
            <w:pPr>
              <w:pStyle w:val="BoxText-White"/>
            </w:pPr>
            <w:r w:rsidRPr="00945D46">
              <w:t>Predictable, stable and transparent business regulation and supervision, at all levels of government, is a</w:t>
            </w:r>
            <w:r w:rsidR="008854F8">
              <w:t>n important</w:t>
            </w:r>
            <w:r w:rsidRPr="00945D46">
              <w:t xml:space="preserve"> precondition for business investment. Developments in government policy and regulations, notably at the intersection of State and Commonwealth roles and responsibilities, continue to remain a source of uncertainty for many participants. A greater engagement with stakeholders at the onset, with appropriate lead times, can help provide a smoother transition for affected parties.</w:t>
            </w:r>
          </w:p>
          <w:p w14:paraId="2E5E739F" w14:textId="140B8EB1" w:rsidR="003D1AF8" w:rsidRPr="00945D46" w:rsidRDefault="003D1AF8" w:rsidP="00945D46">
            <w:pPr>
              <w:pStyle w:val="BoxText-White"/>
            </w:pPr>
            <w:r w:rsidRPr="00945D46">
              <w:t xml:space="preserve">Given the long </w:t>
            </w:r>
            <w:r w:rsidR="00A96009">
              <w:t>time</w:t>
            </w:r>
            <w:r w:rsidRPr="00945D46">
              <w:t>frames of many investments, the tax environment and policies should remain relatively stable and avoid creating impediments to new investment, particularly in terms of international competition. They should be subject to regular monitoring to prevent abuse. Tax neutrality towards different forms and structures of investment financing should be promoted.</w:t>
            </w:r>
          </w:p>
          <w:p w14:paraId="78866D08" w14:textId="2C504D5F" w:rsidR="003D1AF8" w:rsidRPr="00945D46" w:rsidRDefault="003D1AF8" w:rsidP="00945D46">
            <w:pPr>
              <w:pStyle w:val="BoxText-White"/>
            </w:pPr>
            <w:r w:rsidRPr="00945D46">
              <w:t>Competition policy enables efficient businesses of all sizes to thrive and reduces unnecessary impediments to innovation. Competition policy should continue to develop and ensure that markets work in the long</w:t>
            </w:r>
            <w:r w:rsidR="004C1A51" w:rsidRPr="00945D46">
              <w:t>-</w:t>
            </w:r>
            <w:r w:rsidRPr="00945D46">
              <w:t>term interests of consumers, as well as encouraging innovation, entrepreneurship and the entry of new players.</w:t>
            </w:r>
          </w:p>
          <w:p w14:paraId="5811B6AE" w14:textId="728C1D6B" w:rsidR="003D1AF8" w:rsidRPr="00945D46" w:rsidRDefault="00D80D0E" w:rsidP="00945D46">
            <w:pPr>
              <w:pStyle w:val="BoxText-White"/>
            </w:pPr>
            <w:r>
              <w:t>Heads of Treasuries propose further work in three specific areas</w:t>
            </w:r>
            <w:r w:rsidR="003D1AF8" w:rsidRPr="00945D46">
              <w:t>:</w:t>
            </w:r>
          </w:p>
          <w:p w14:paraId="2C7F99F7" w14:textId="59CD3F23" w:rsidR="000C3FFD" w:rsidRPr="00A32E24" w:rsidRDefault="004D0EF5" w:rsidP="00A32E24">
            <w:pPr>
              <w:pStyle w:val="BoxBullet-White"/>
            </w:pPr>
            <w:r w:rsidRPr="00A32E24">
              <w:t xml:space="preserve">There is widespread concern about the level of red-tape required to do business in Australia and </w:t>
            </w:r>
            <w:r w:rsidR="000C3FFD" w:rsidRPr="00A32E24">
              <w:t>b</w:t>
            </w:r>
            <w:r w:rsidRPr="00A32E24">
              <w:t xml:space="preserve">usinesses urged genuine efforts to </w:t>
            </w:r>
            <w:r w:rsidR="000C3FFD" w:rsidRPr="00A32E24">
              <w:t>ease the</w:t>
            </w:r>
            <w:r w:rsidRPr="00A32E24">
              <w:t xml:space="preserve"> </w:t>
            </w:r>
            <w:r w:rsidR="000C3FFD" w:rsidRPr="00A32E24">
              <w:t>cumulative regulatory burden</w:t>
            </w:r>
            <w:r w:rsidRPr="00A32E24">
              <w:t xml:space="preserve">. </w:t>
            </w:r>
            <w:r w:rsidR="00106545" w:rsidRPr="00A32E24">
              <w:t>A clear framework for making and managing regulation, rather than a single focus on red tape reduction, should be advocated across all levels of government.</w:t>
            </w:r>
            <w:r w:rsidR="00F26546" w:rsidRPr="00A32E24">
              <w:t xml:space="preserve"> </w:t>
            </w:r>
            <w:r w:rsidR="000D24CC" w:rsidRPr="00A32E24">
              <w:t>As a starting point, a</w:t>
            </w:r>
            <w:r w:rsidR="004D6F8C" w:rsidRPr="00A32E24">
              <w:t xml:space="preserve"> greater focus should be placed on evaluating the burden of regulatory changes after th</w:t>
            </w:r>
            <w:r w:rsidR="009D7F7E" w:rsidRPr="00A32E24">
              <w:t>ey are made, as well as before.</w:t>
            </w:r>
            <w:r w:rsidR="00F26546" w:rsidRPr="00A32E24">
              <w:t xml:space="preserve"> </w:t>
            </w:r>
            <w:r w:rsidR="000D24CC" w:rsidRPr="00A32E24">
              <w:t>S</w:t>
            </w:r>
            <w:r w:rsidR="000C3FFD" w:rsidRPr="00A32E24">
              <w:t>electing a small number of meaningful reform areas of regulation and significantly reducing the compliance burden in these could have m</w:t>
            </w:r>
            <w:r w:rsidR="003569DD" w:rsidRPr="00A32E24">
              <w:t>eaningful impacts for industry.</w:t>
            </w:r>
          </w:p>
          <w:p w14:paraId="3E0D10D8" w14:textId="7249070F" w:rsidR="004A3D78" w:rsidRDefault="00984481" w:rsidP="00A32E24">
            <w:pPr>
              <w:pStyle w:val="BoxBullet-White"/>
            </w:pPr>
            <w:r w:rsidRPr="00A32E24">
              <w:t xml:space="preserve">Concerns were raised about </w:t>
            </w:r>
            <w:r w:rsidR="003D1AF8" w:rsidRPr="00A32E24">
              <w:t xml:space="preserve">the ability </w:t>
            </w:r>
            <w:r w:rsidR="00230AC0" w:rsidRPr="00A32E24">
              <w:t xml:space="preserve">of </w:t>
            </w:r>
            <w:r w:rsidR="003D1AF8" w:rsidRPr="00A32E24">
              <w:t>firms to access skilled and qualified employees</w:t>
            </w:r>
            <w:r w:rsidR="00C351B8" w:rsidRPr="00A32E24">
              <w:t xml:space="preserve">, which can be particularly challenging </w:t>
            </w:r>
            <w:r w:rsidR="00230AC0" w:rsidRPr="00A32E24">
              <w:t>in</w:t>
            </w:r>
            <w:r w:rsidR="00C351B8" w:rsidRPr="00A32E24">
              <w:t xml:space="preserve"> smaller </w:t>
            </w:r>
            <w:r w:rsidR="003D27E2" w:rsidRPr="00A32E24">
              <w:t>S</w:t>
            </w:r>
            <w:r w:rsidR="00C351B8" w:rsidRPr="00A32E24">
              <w:t xml:space="preserve">tates, regional areas and </w:t>
            </w:r>
            <w:r w:rsidR="00230AC0" w:rsidRPr="00A32E24">
              <w:t xml:space="preserve">for </w:t>
            </w:r>
            <w:r w:rsidR="00C351B8" w:rsidRPr="00A32E24">
              <w:t xml:space="preserve">SMEs (regardless of location). Investment in human capital </w:t>
            </w:r>
            <w:r w:rsidR="003D1AF8" w:rsidRPr="00A32E24">
              <w:t>through</w:t>
            </w:r>
            <w:r w:rsidR="00195BA3" w:rsidRPr="00A32E24">
              <w:t xml:space="preserve"> </w:t>
            </w:r>
            <w:r w:rsidR="003D1AF8" w:rsidRPr="00A32E24">
              <w:t xml:space="preserve">the education </w:t>
            </w:r>
            <w:r w:rsidR="004028A7" w:rsidRPr="00A32E24">
              <w:t xml:space="preserve">and training </w:t>
            </w:r>
            <w:r w:rsidR="003D1AF8" w:rsidRPr="00A32E24">
              <w:t xml:space="preserve">system </w:t>
            </w:r>
            <w:r w:rsidR="00C351B8" w:rsidRPr="00A32E24">
              <w:t xml:space="preserve">and the pool of skilled migrants available through immigration </w:t>
            </w:r>
            <w:r w:rsidR="004028A7" w:rsidRPr="00A32E24">
              <w:t xml:space="preserve">(e.g. skilled visas) </w:t>
            </w:r>
            <w:r w:rsidR="003D1AF8" w:rsidRPr="00A32E24">
              <w:t>requires constant attention</w:t>
            </w:r>
            <w:r w:rsidR="004028A7" w:rsidRPr="00A32E24">
              <w:t xml:space="preserve"> to reduce skilled labour shortages</w:t>
            </w:r>
            <w:r w:rsidR="003D1AF8" w:rsidRPr="00A32E24">
              <w:t xml:space="preserve">. The Australian economy will continue to face the forces of technological change, ageing and globalisation, and </w:t>
            </w:r>
            <w:r w:rsidR="004028A7" w:rsidRPr="00A32E24">
              <w:t xml:space="preserve">both the </w:t>
            </w:r>
            <w:r w:rsidR="003D1AF8" w:rsidRPr="00A32E24">
              <w:t xml:space="preserve">education and </w:t>
            </w:r>
            <w:r w:rsidR="004028A7" w:rsidRPr="00A32E24">
              <w:t xml:space="preserve">immigration systems </w:t>
            </w:r>
            <w:r w:rsidR="003D1AF8" w:rsidRPr="00A32E24">
              <w:t xml:space="preserve">need to evolve </w:t>
            </w:r>
            <w:r w:rsidR="00157323" w:rsidRPr="00A32E24">
              <w:t xml:space="preserve">to </w:t>
            </w:r>
            <w:r w:rsidR="003D1AF8" w:rsidRPr="00A32E24">
              <w:t>meet those demands.</w:t>
            </w:r>
            <w:r w:rsidR="00C351B8" w:rsidRPr="00A32E24">
              <w:t xml:space="preserve"> </w:t>
            </w:r>
            <w:r w:rsidR="004028A7" w:rsidRPr="00A32E24">
              <w:t>Consideration of t</w:t>
            </w:r>
            <w:r w:rsidR="00C351B8" w:rsidRPr="00A32E24">
              <w:t xml:space="preserve">he </w:t>
            </w:r>
            <w:r w:rsidR="004028A7" w:rsidRPr="00A32E24">
              <w:t>‘</w:t>
            </w:r>
            <w:r w:rsidR="00C351B8" w:rsidRPr="00A32E24">
              <w:t>future of work</w:t>
            </w:r>
            <w:r w:rsidR="004028A7" w:rsidRPr="00A32E24">
              <w:t>’</w:t>
            </w:r>
            <w:r w:rsidR="00C351B8" w:rsidRPr="00A32E24">
              <w:t xml:space="preserve"> should be at the forefront of planning for industry and regional transitions. </w:t>
            </w:r>
            <w:r w:rsidR="004028A7" w:rsidRPr="00A32E24">
              <w:t>Skilled visa programs should continue to act as a supplement to skill shortages with flexibility depending on need in different parts of the country</w:t>
            </w:r>
            <w:r w:rsidR="00C23E01" w:rsidRPr="00A32E24">
              <w:t xml:space="preserve"> and industry sectors.</w:t>
            </w:r>
            <w:r w:rsidR="00C23E01">
              <w:t xml:space="preserve"> </w:t>
            </w:r>
          </w:p>
          <w:p w14:paraId="5ED5F56F" w14:textId="7F1E0266" w:rsidR="00D80D0E" w:rsidRPr="002F36AE" w:rsidRDefault="00D80D0E" w:rsidP="00A32E24">
            <w:pPr>
              <w:pStyle w:val="BoxBullet-White"/>
            </w:pPr>
            <w:r>
              <w:t>There is significant concern around energy prices, availability and reliability. Given the importance of energy inputs into the broader economy, this policy area will remain an ongoing area of interest for Treasurers.</w:t>
            </w:r>
          </w:p>
        </w:tc>
      </w:tr>
    </w:tbl>
    <w:p w14:paraId="68B74CBD" w14:textId="77777777" w:rsidR="00FE6924" w:rsidRDefault="00FE6924" w:rsidP="001B3352">
      <w:pPr>
        <w:rPr>
          <w:highlight w:val="yellow"/>
          <w:lang w:eastAsia="en-AU"/>
        </w:rPr>
      </w:pPr>
    </w:p>
    <w:p w14:paraId="31FBF736" w14:textId="77777777" w:rsidR="003569DD" w:rsidRDefault="003569DD" w:rsidP="001B3352">
      <w:pPr>
        <w:rPr>
          <w:highlight w:val="yellow"/>
          <w:lang w:eastAsia="en-AU"/>
        </w:rPr>
        <w:sectPr w:rsidR="003569DD" w:rsidSect="00FA6BB1">
          <w:pgSz w:w="11906" w:h="16838"/>
          <w:pgMar w:top="1701" w:right="1440" w:bottom="1440" w:left="1440" w:header="737" w:footer="567" w:gutter="0"/>
          <w:cols w:space="708"/>
          <w:titlePg/>
          <w:docGrid w:linePitch="360"/>
        </w:sectPr>
      </w:pPr>
    </w:p>
    <w:p w14:paraId="198485BD" w14:textId="44109E64" w:rsidR="003A7847" w:rsidRDefault="00EC45F9" w:rsidP="004A3D32">
      <w:pPr>
        <w:pStyle w:val="Heading1"/>
        <w:spacing w:after="360"/>
      </w:pPr>
      <w:bookmarkStart w:id="15" w:name="_Toc491081795"/>
      <w:bookmarkStart w:id="16" w:name="_Toc491108192"/>
      <w:bookmarkStart w:id="17" w:name="_Toc491168309"/>
      <w:bookmarkStart w:id="18" w:name="_Toc491704023"/>
      <w:bookmarkStart w:id="19" w:name="_Toc491705739"/>
      <w:bookmarkStart w:id="20" w:name="_Toc492465357"/>
      <w:bookmarkStart w:id="21" w:name="_Toc492571378"/>
      <w:bookmarkStart w:id="22" w:name="_Toc492902180"/>
      <w:bookmarkStart w:id="23" w:name="_Toc496095475"/>
      <w:bookmarkStart w:id="24" w:name="_Toc496097049"/>
      <w:r>
        <w:t>I</w:t>
      </w:r>
      <w:r w:rsidR="003A7847">
        <w:t>ntroduction</w:t>
      </w:r>
      <w:bookmarkEnd w:id="15"/>
      <w:bookmarkEnd w:id="16"/>
      <w:bookmarkEnd w:id="17"/>
      <w:bookmarkEnd w:id="18"/>
      <w:bookmarkEnd w:id="19"/>
      <w:bookmarkEnd w:id="20"/>
      <w:bookmarkEnd w:id="21"/>
      <w:bookmarkEnd w:id="22"/>
      <w:bookmarkEnd w:id="23"/>
      <w:bookmarkEnd w:id="24"/>
    </w:p>
    <w:p w14:paraId="6B88CE08" w14:textId="4C9942D6" w:rsidR="00E54C86" w:rsidRDefault="003139C2" w:rsidP="00485AED">
      <w:pPr>
        <w:spacing w:after="200"/>
      </w:pPr>
      <w:r>
        <w:rPr>
          <w:noProof/>
          <w:lang w:eastAsia="en-AU"/>
        </w:rPr>
        <w:drawing>
          <wp:anchor distT="0" distB="0" distL="114300" distR="114300" simplePos="0" relativeHeight="251644416" behindDoc="0" locked="0" layoutInCell="1" allowOverlap="1" wp14:anchorId="3188BFDE" wp14:editId="2C994D27">
            <wp:simplePos x="0" y="0"/>
            <wp:positionH relativeFrom="column">
              <wp:posOffset>3879850</wp:posOffset>
            </wp:positionH>
            <wp:positionV relativeFrom="paragraph">
              <wp:posOffset>47625</wp:posOffset>
            </wp:positionV>
            <wp:extent cx="1871980" cy="65214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2017\Reports and Reviews\Intergovernmental Review of Business Investment\pullQuote-05.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114" t="9307" r="6114" b="9271"/>
                    <a:stretch/>
                  </pic:blipFill>
                  <pic:spPr bwMode="auto">
                    <a:xfrm>
                      <a:off x="0" y="0"/>
                      <a:ext cx="1871980" cy="652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7847" w:rsidRPr="003A7847">
        <w:t>In recent years, business investment in Australia</w:t>
      </w:r>
      <w:r w:rsidR="003C3F2A">
        <w:t>, outside the mining sector,</w:t>
      </w:r>
      <w:r w:rsidR="003A7847" w:rsidRPr="003A7847">
        <w:t xml:space="preserve"> has underperformed relative </w:t>
      </w:r>
      <w:r w:rsidR="00E54C86">
        <w:t xml:space="preserve">to expectations given the trajectory of </w:t>
      </w:r>
      <w:r w:rsidR="003A7847" w:rsidRPr="003A7847">
        <w:t>the broader economy</w:t>
      </w:r>
      <w:r w:rsidR="00EB485E">
        <w:t>.</w:t>
      </w:r>
      <w:r w:rsidR="00E54C86">
        <w:t xml:space="preserve"> Non-mining investment is </w:t>
      </w:r>
      <w:r w:rsidR="003A7847" w:rsidRPr="003A7847">
        <w:t xml:space="preserve">around its lowest share of </w:t>
      </w:r>
      <w:r w:rsidR="003C3F2A">
        <w:t>gross domestic product (</w:t>
      </w:r>
      <w:r w:rsidR="003A7847" w:rsidRPr="003A7847">
        <w:t>GDP</w:t>
      </w:r>
      <w:r w:rsidR="003C3F2A">
        <w:t>)</w:t>
      </w:r>
      <w:r w:rsidR="003A7847" w:rsidRPr="003A7847">
        <w:t xml:space="preserve"> since the 1950s. </w:t>
      </w:r>
      <w:r w:rsidR="006E579F">
        <w:rPr>
          <w:rFonts w:asciiTheme="minorHAnsi" w:hAnsiTheme="minorHAnsi"/>
        </w:rPr>
        <w:t>While l</w:t>
      </w:r>
      <w:r w:rsidR="006E579F" w:rsidRPr="003A7847">
        <w:t>acklustre business investment is not a problem unique to Australia</w:t>
      </w:r>
      <w:r w:rsidR="006E579F">
        <w:t>, it is important to understand what is happening in our domestic context.</w:t>
      </w:r>
    </w:p>
    <w:p w14:paraId="3F87FDB6" w14:textId="76B63553" w:rsidR="00E54C86" w:rsidRDefault="003A7847" w:rsidP="00485AED">
      <w:pPr>
        <w:spacing w:after="200"/>
      </w:pPr>
      <w:r w:rsidRPr="003A7847">
        <w:t>Business investment is critical to economic growth</w:t>
      </w:r>
      <w:r w:rsidR="004C1A51">
        <w:t>;</w:t>
      </w:r>
      <w:r w:rsidRPr="003A7847">
        <w:t xml:space="preserve"> investing in </w:t>
      </w:r>
      <w:r w:rsidR="00E54C86">
        <w:t xml:space="preserve">new </w:t>
      </w:r>
      <w:r w:rsidRPr="003A7847">
        <w:t>productive capacity creates employment</w:t>
      </w:r>
      <w:r w:rsidR="00E54C86">
        <w:t xml:space="preserve">, raises future </w:t>
      </w:r>
      <w:r w:rsidRPr="003A7847">
        <w:t>income</w:t>
      </w:r>
      <w:r w:rsidR="00E54C86">
        <w:t>s and both creates and embodies new innovation</w:t>
      </w:r>
      <w:r w:rsidR="00D71594">
        <w:t xml:space="preserve"> (Box 1)</w:t>
      </w:r>
      <w:r w:rsidRPr="003A7847">
        <w:t>.</w:t>
      </w:r>
      <w:r w:rsidR="00E54C86">
        <w:t xml:space="preserve"> </w:t>
      </w:r>
      <w:r w:rsidRPr="003A7847">
        <w:t xml:space="preserve">Given the importance of business investment </w:t>
      </w:r>
      <w:r w:rsidR="00E54C86">
        <w:t>for</w:t>
      </w:r>
      <w:r w:rsidRPr="003A7847">
        <w:t xml:space="preserve"> the Australian economy, the Council on Fe</w:t>
      </w:r>
      <w:r w:rsidR="004A3D78">
        <w:t>deral Financial Relations</w:t>
      </w:r>
      <w:r w:rsidRPr="003A7847">
        <w:t xml:space="preserve">, which comprises the Commonwealth and State Treasurers, tasked Heads of Treasuries with exploring factors </w:t>
      </w:r>
      <w:r w:rsidR="00096836">
        <w:t xml:space="preserve">that </w:t>
      </w:r>
      <w:r w:rsidRPr="003A7847">
        <w:t>might be impeding a broader recovery in business investment.</w:t>
      </w:r>
    </w:p>
    <w:p w14:paraId="561BCAD7" w14:textId="2F4228BF" w:rsidR="003A7847" w:rsidRDefault="003A7847" w:rsidP="00485AED">
      <w:pPr>
        <w:spacing w:after="200"/>
      </w:pPr>
      <w:r w:rsidRPr="003A7847">
        <w:t>The objective of th</w:t>
      </w:r>
      <w:r w:rsidR="00E54C86">
        <w:t>is</w:t>
      </w:r>
      <w:r w:rsidRPr="003A7847">
        <w:t> </w:t>
      </w:r>
      <w:r w:rsidR="005C03DE">
        <w:t>R</w:t>
      </w:r>
      <w:r w:rsidRPr="003A7847">
        <w:t>eview of business investment was to consult directly with a broad range of businesses (small, medium and large) and peak industry bodies to identify impediments to business investment in the Australian context</w:t>
      </w:r>
      <w:r w:rsidR="00945D46">
        <w:t>.</w:t>
      </w:r>
      <w:r w:rsidR="00EB485E">
        <w:rPr>
          <w:rStyle w:val="FootnoteReference"/>
        </w:rPr>
        <w:footnoteReference w:id="2"/>
      </w:r>
      <w:r w:rsidR="00410BD2">
        <w:t xml:space="preserve"> </w:t>
      </w:r>
      <w:r w:rsidRPr="00A914E8">
        <w:t xml:space="preserve">In total, </w:t>
      </w:r>
      <w:r w:rsidR="00DC6231">
        <w:t xml:space="preserve">views were </w:t>
      </w:r>
      <w:r w:rsidRPr="00A914E8">
        <w:t xml:space="preserve">sought from </w:t>
      </w:r>
      <w:r w:rsidR="00E857B7">
        <w:t>over</w:t>
      </w:r>
      <w:r w:rsidR="00E54C86">
        <w:t xml:space="preserve"> </w:t>
      </w:r>
      <w:r>
        <w:t>15</w:t>
      </w:r>
      <w:r w:rsidR="00E54C86">
        <w:t>0</w:t>
      </w:r>
      <w:r w:rsidRPr="00A914E8">
        <w:t xml:space="preserve"> </w:t>
      </w:r>
      <w:r>
        <w:t xml:space="preserve">small, medium and large </w:t>
      </w:r>
      <w:r w:rsidRPr="00A914E8">
        <w:t>business</w:t>
      </w:r>
      <w:r>
        <w:t>es</w:t>
      </w:r>
      <w:r w:rsidRPr="00A914E8">
        <w:t xml:space="preserve"> </w:t>
      </w:r>
      <w:r>
        <w:t xml:space="preserve">and peak industry bodies </w:t>
      </w:r>
      <w:r w:rsidR="00E54C86">
        <w:t>across</w:t>
      </w:r>
      <w:r w:rsidRPr="00A914E8">
        <w:t xml:space="preserve"> a range of industries. </w:t>
      </w:r>
      <w:r w:rsidR="00467C8E">
        <w:t xml:space="preserve">Of these, </w:t>
      </w:r>
      <w:r>
        <w:t>25</w:t>
      </w:r>
      <w:r w:rsidRPr="00A914E8">
        <w:t xml:space="preserve"> provided writte</w:t>
      </w:r>
      <w:r>
        <w:t>n input and</w:t>
      </w:r>
      <w:r w:rsidR="00206AFB">
        <w:t xml:space="preserve"> </w:t>
      </w:r>
      <w:r w:rsidR="00E857B7">
        <w:t>over</w:t>
      </w:r>
      <w:r w:rsidR="00206AFB">
        <w:t xml:space="preserve"> </w:t>
      </w:r>
      <w:r>
        <w:t>5</w:t>
      </w:r>
      <w:r w:rsidR="00206AFB">
        <w:t>0</w:t>
      </w:r>
      <w:r>
        <w:t xml:space="preserve"> attended</w:t>
      </w:r>
      <w:r w:rsidRPr="00A914E8">
        <w:t xml:space="preserve"> roundtable</w:t>
      </w:r>
      <w:r>
        <w:t xml:space="preserve"> discussions</w:t>
      </w:r>
      <w:r w:rsidRPr="00A914E8">
        <w:t xml:space="preserve"> </w:t>
      </w:r>
      <w:r>
        <w:t xml:space="preserve">in Darwin, Sydney, Perth, Adelaide, Hobart, Melbourne and Brisbane. </w:t>
      </w:r>
      <w:r w:rsidR="00DC6231">
        <w:t>A</w:t>
      </w:r>
      <w:r w:rsidR="00096836">
        <w:t xml:space="preserve"> </w:t>
      </w:r>
      <w:r>
        <w:t>series of one-on-one consultations</w:t>
      </w:r>
      <w:r w:rsidR="00DC6231">
        <w:t xml:space="preserve"> from other stakeholder activities were inputted into the analysis</w:t>
      </w:r>
      <w:r w:rsidR="00E41078">
        <w:t>.</w:t>
      </w:r>
    </w:p>
    <w:p w14:paraId="67365D20" w14:textId="1821F757" w:rsidR="00EB485E" w:rsidRDefault="004B57F7" w:rsidP="00485AED">
      <w:pPr>
        <w:spacing w:after="200"/>
      </w:pPr>
      <w:r>
        <w:rPr>
          <w:noProof/>
          <w:lang w:eastAsia="en-AU"/>
        </w:rPr>
        <w:drawing>
          <wp:anchor distT="0" distB="0" distL="114300" distR="114300" simplePos="0" relativeHeight="251650560" behindDoc="0" locked="0" layoutInCell="1" allowOverlap="1" wp14:anchorId="16ED6E1E" wp14:editId="57DEA7A6">
            <wp:simplePos x="0" y="0"/>
            <wp:positionH relativeFrom="column">
              <wp:posOffset>-48895</wp:posOffset>
            </wp:positionH>
            <wp:positionV relativeFrom="paragraph">
              <wp:posOffset>46990</wp:posOffset>
            </wp:positionV>
            <wp:extent cx="2194560" cy="801370"/>
            <wp:effectExtent l="0" t="0" r="0" b="0"/>
            <wp:wrapSquare wrapText="bothSides"/>
            <wp:docPr id="677" name="Pictur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Z:\2017\Reports and Reviews\Intergovernmental Review of Business Investment\pullQuote-06.pn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194560" cy="801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7847" w:rsidRPr="00A914E8">
        <w:t xml:space="preserve">The </w:t>
      </w:r>
      <w:r w:rsidR="005C03DE">
        <w:t>R</w:t>
      </w:r>
      <w:r w:rsidR="003A7847" w:rsidRPr="00A914E8">
        <w:t xml:space="preserve">eview </w:t>
      </w:r>
      <w:r w:rsidR="00DC6231">
        <w:t xml:space="preserve">has </w:t>
      </w:r>
      <w:r w:rsidR="003A7847" w:rsidRPr="00A914E8">
        <w:t xml:space="preserve">sought </w:t>
      </w:r>
      <w:r w:rsidR="00822558">
        <w:t xml:space="preserve">to </w:t>
      </w:r>
      <w:r w:rsidR="003A7847" w:rsidRPr="00A914E8">
        <w:t>understand the major factors that driv</w:t>
      </w:r>
      <w:r w:rsidR="00096836">
        <w:t>e</w:t>
      </w:r>
      <w:r w:rsidR="003A7847" w:rsidRPr="00A914E8">
        <w:t xml:space="preserve"> investment decisions at the </w:t>
      </w:r>
      <w:r w:rsidR="003A7847">
        <w:t xml:space="preserve">firm level. </w:t>
      </w:r>
      <w:r w:rsidR="005927D6">
        <w:t>The consultations identified a mix of factors that are considered impediments to business investment</w:t>
      </w:r>
      <w:r w:rsidR="00B02976">
        <w:t xml:space="preserve"> (Figure 1)</w:t>
      </w:r>
      <w:r w:rsidR="005927D6">
        <w:t xml:space="preserve">. The various factors have been grouped into ‘macroeconomic’ factors and ‘institutional/policy’ factors, in seeking to identify which of the factors fit squarely within the realm of government influence, as opposed to factors determined by the broader macroeconomic environment. </w:t>
      </w:r>
      <w:r w:rsidR="006E579F">
        <w:t>T</w:t>
      </w:r>
      <w:r w:rsidR="005927D6">
        <w:t xml:space="preserve">his report focusses on the concerns raised in the policy realm. </w:t>
      </w:r>
      <w:r w:rsidR="003A7847" w:rsidRPr="00A914E8">
        <w:t xml:space="preserve">This has enabled Heads of Treasuries to consider </w:t>
      </w:r>
      <w:r w:rsidR="003A7847">
        <w:t xml:space="preserve">the role </w:t>
      </w:r>
      <w:r w:rsidR="006E579F">
        <w:t>of</w:t>
      </w:r>
      <w:r w:rsidR="003A7847" w:rsidDel="006E579F">
        <w:t xml:space="preserve"> </w:t>
      </w:r>
      <w:r w:rsidR="003A7847">
        <w:t xml:space="preserve">institutional settings in creating a positive </w:t>
      </w:r>
      <w:r w:rsidR="003A7847" w:rsidRPr="00A914E8">
        <w:t>investment environment</w:t>
      </w:r>
      <w:r w:rsidR="003A7847">
        <w:t xml:space="preserve"> </w:t>
      </w:r>
      <w:r w:rsidR="003B5DC6">
        <w:t xml:space="preserve">and </w:t>
      </w:r>
      <w:r w:rsidR="00DC6231">
        <w:t xml:space="preserve">better </w:t>
      </w:r>
      <w:r w:rsidR="00096836">
        <w:t xml:space="preserve">understand </w:t>
      </w:r>
      <w:r w:rsidR="003A7847">
        <w:t xml:space="preserve">what </w:t>
      </w:r>
      <w:r w:rsidR="003A7847" w:rsidRPr="00A914E8">
        <w:t xml:space="preserve">policy levers </w:t>
      </w:r>
      <w:r w:rsidR="00DC6231">
        <w:t xml:space="preserve">should </w:t>
      </w:r>
      <w:r w:rsidR="003A7847" w:rsidRPr="00A914E8">
        <w:t xml:space="preserve">be </w:t>
      </w:r>
      <w:r w:rsidR="00DC6231">
        <w:t xml:space="preserve">of particular focus </w:t>
      </w:r>
      <w:r w:rsidR="003A7847">
        <w:t xml:space="preserve">in improving </w:t>
      </w:r>
      <w:r w:rsidR="00096836">
        <w:t>business investment</w:t>
      </w:r>
      <w:r w:rsidR="003A7847" w:rsidRPr="00A914E8">
        <w:t>.</w:t>
      </w:r>
    </w:p>
    <w:p w14:paraId="042EB861" w14:textId="0A06B1E1" w:rsidR="002D0CD2" w:rsidRDefault="0004530F" w:rsidP="00485AED">
      <w:pPr>
        <w:spacing w:after="200"/>
      </w:pPr>
      <w:r>
        <w:t xml:space="preserve">The report provides an introduction to the </w:t>
      </w:r>
      <w:r w:rsidR="006E579F">
        <w:t xml:space="preserve">broader </w:t>
      </w:r>
      <w:r>
        <w:t xml:space="preserve">economic context and draws out relevant stakeholder comments which support </w:t>
      </w:r>
      <w:r w:rsidR="003A7847" w:rsidRPr="00A914E8">
        <w:t xml:space="preserve">the </w:t>
      </w:r>
      <w:r w:rsidR="005C03DE">
        <w:t>R</w:t>
      </w:r>
      <w:r w:rsidR="006D28A5">
        <w:t xml:space="preserve">eview’s </w:t>
      </w:r>
      <w:r w:rsidR="00DC6231">
        <w:t>main</w:t>
      </w:r>
      <w:r w:rsidR="003A7847" w:rsidRPr="00A914E8">
        <w:t xml:space="preserve"> </w:t>
      </w:r>
      <w:r w:rsidR="003A7847" w:rsidRPr="00535DA6">
        <w:t xml:space="preserve">findings and </w:t>
      </w:r>
      <w:r w:rsidR="00DC6231">
        <w:t>observations</w:t>
      </w:r>
      <w:r w:rsidR="003A7847" w:rsidRPr="00535DA6">
        <w:t xml:space="preserve">. In addition to the specific </w:t>
      </w:r>
      <w:r w:rsidR="00DC6231">
        <w:t>observations</w:t>
      </w:r>
      <w:r w:rsidR="00DC6231" w:rsidRPr="00535DA6">
        <w:t xml:space="preserve"> </w:t>
      </w:r>
      <w:r w:rsidR="003A7847" w:rsidRPr="00535DA6">
        <w:t>made in this report, the wealth</w:t>
      </w:r>
      <w:r w:rsidR="003A7847" w:rsidRPr="00A914E8">
        <w:t xml:space="preserve"> of knowledge gathered through this review </w:t>
      </w:r>
      <w:r w:rsidR="00DC6231">
        <w:t xml:space="preserve">process </w:t>
      </w:r>
      <w:r w:rsidR="006E579F">
        <w:t xml:space="preserve">is </w:t>
      </w:r>
      <w:r w:rsidR="003A7847" w:rsidRPr="00A914E8">
        <w:t>inform</w:t>
      </w:r>
      <w:r w:rsidR="006E579F">
        <w:t>ing</w:t>
      </w:r>
      <w:r w:rsidR="003A7847" w:rsidRPr="00A914E8">
        <w:t xml:space="preserve"> policy development within governments more broadly. We thank everyone who partici</w:t>
      </w:r>
      <w:r w:rsidR="003569DD">
        <w:t>pated for their valuable input</w:t>
      </w:r>
      <w:r w:rsidR="001F7871">
        <w:t xml:space="preserve"> (Appendix A)</w:t>
      </w:r>
      <w:r w:rsidR="003569DD">
        <w:t>.</w:t>
      </w:r>
    </w:p>
    <w:tbl>
      <w:tblPr>
        <w:tblStyle w:val="KeyPoints"/>
        <w:tblW w:w="0" w:type="auto"/>
        <w:tblInd w:w="198" w:type="dxa"/>
        <w:tblBorders>
          <w:top w:val="none" w:sz="0" w:space="0" w:color="auto"/>
          <w:left w:val="none" w:sz="0" w:space="0" w:color="auto"/>
          <w:bottom w:val="none" w:sz="0" w:space="0" w:color="auto"/>
          <w:right w:val="none" w:sz="0" w:space="0" w:color="auto"/>
        </w:tblBorders>
        <w:tblLayout w:type="fixed"/>
        <w:tblCellMar>
          <w:left w:w="198" w:type="dxa"/>
          <w:right w:w="227" w:type="dxa"/>
        </w:tblCellMar>
        <w:tblLook w:val="04A0" w:firstRow="1" w:lastRow="0" w:firstColumn="1" w:lastColumn="0" w:noHBand="0" w:noVBand="1"/>
      </w:tblPr>
      <w:tblGrid>
        <w:gridCol w:w="567"/>
        <w:gridCol w:w="8562"/>
      </w:tblGrid>
      <w:tr w:rsidR="00EE24AE" w:rsidRPr="00504091" w14:paraId="09612404" w14:textId="77777777" w:rsidTr="00965962">
        <w:trPr>
          <w:trHeight w:val="491"/>
        </w:trPr>
        <w:tc>
          <w:tcPr>
            <w:tcW w:w="567" w:type="dxa"/>
            <w:shd w:val="clear" w:color="auto" w:fill="4FA4DA"/>
          </w:tcPr>
          <w:p w14:paraId="0E8E2B21" w14:textId="2F368677" w:rsidR="00EE24AE" w:rsidRPr="00504091" w:rsidRDefault="00EE24AE" w:rsidP="00504091">
            <w:pPr>
              <w:pStyle w:val="BoxHeading-CaseStudy"/>
            </w:pPr>
          </w:p>
        </w:tc>
        <w:tc>
          <w:tcPr>
            <w:tcW w:w="8562" w:type="dxa"/>
            <w:shd w:val="clear" w:color="auto" w:fill="EAEAEA"/>
            <w:tcMar>
              <w:right w:w="227" w:type="dxa"/>
            </w:tcMar>
          </w:tcPr>
          <w:p w14:paraId="7F1951B9" w14:textId="77777777" w:rsidR="00EE24AE" w:rsidRPr="00504091" w:rsidRDefault="00EE24AE" w:rsidP="00504091">
            <w:pPr>
              <w:pStyle w:val="BoxHeading-CaseStudy"/>
            </w:pPr>
            <w:r w:rsidRPr="00504091">
              <w:t>Box 1: weak business investment – why worry?</w:t>
            </w:r>
          </w:p>
        </w:tc>
      </w:tr>
      <w:tr w:rsidR="00EE24AE" w:rsidRPr="008D7405" w14:paraId="045C670F" w14:textId="77777777" w:rsidTr="00965962">
        <w:trPr>
          <w:trHeight w:val="1729"/>
        </w:trPr>
        <w:tc>
          <w:tcPr>
            <w:tcW w:w="567" w:type="dxa"/>
            <w:shd w:val="clear" w:color="auto" w:fill="002833" w:themeFill="text1"/>
          </w:tcPr>
          <w:p w14:paraId="6EAF6007" w14:textId="77777777" w:rsidR="00EE24AE" w:rsidRPr="008D7405" w:rsidRDefault="00EE24AE" w:rsidP="008D7405">
            <w:pPr>
              <w:pStyle w:val="BoxText"/>
            </w:pPr>
          </w:p>
        </w:tc>
        <w:tc>
          <w:tcPr>
            <w:tcW w:w="8562" w:type="dxa"/>
            <w:shd w:val="clear" w:color="auto" w:fill="EAEAEA"/>
            <w:tcMar>
              <w:right w:w="227" w:type="dxa"/>
            </w:tcMar>
          </w:tcPr>
          <w:p w14:paraId="5903DDAF" w14:textId="51B8F6F7" w:rsidR="00EE24AE" w:rsidRPr="008D7405" w:rsidRDefault="00965962" w:rsidP="008D7405">
            <w:pPr>
              <w:pStyle w:val="BoxText"/>
            </w:pPr>
            <w:r w:rsidRPr="008D7405">
              <w:t>Business investment is vital to the Australian economy. It accounts for about 1</w:t>
            </w:r>
            <w:r w:rsidR="005136DC" w:rsidRPr="008D7405">
              <w:t>3</w:t>
            </w:r>
            <w:r w:rsidRPr="008D7405">
              <w:t xml:space="preserve"> per cent of Australia’s GDP and is an important determinant of future economic capacity. In recent decades, Australia’s labour productivity growth has largely been driven by capital deepening — that is, increasing capital per worker</w:t>
            </w:r>
            <w:r w:rsidR="00AF6A5F" w:rsidRPr="008D7405">
              <w:t>.</w:t>
            </w:r>
            <w:r w:rsidR="00E5788A" w:rsidRPr="005E5EDC">
              <w:rPr>
                <w:rStyle w:val="FootnoteReference"/>
              </w:rPr>
              <w:footnoteReference w:id="3"/>
            </w:r>
            <w:r w:rsidRPr="008D7405">
              <w:t xml:space="preserve"> Investment can be divided into a component that goes to the maintenance of existing capital and a component that increases the capital stock. The former expands as the capital stock gets larger and maintenance needs increase, but it is the latter component that drives capital deepening. Investment is a key determinant of productivity and in turn, Australia’s long-term potential economic growth and living standards. Investment is important for innovation and provides the main channel by which new technologies are applied to the production process. Weak business investment is not just about the current performance of the economy, it is much about the future.</w:t>
            </w:r>
          </w:p>
        </w:tc>
      </w:tr>
    </w:tbl>
    <w:p w14:paraId="46971133" w14:textId="77777777" w:rsidR="002D4A85" w:rsidRPr="00077A59" w:rsidRDefault="002D4A85" w:rsidP="001F1498">
      <w:pPr>
        <w:pStyle w:val="SingleParagraph"/>
      </w:pPr>
      <w:bookmarkStart w:id="25" w:name="_Toc490237233"/>
      <w:bookmarkStart w:id="26" w:name="_Toc490745034"/>
      <w:bookmarkStart w:id="27" w:name="_Toc491081796"/>
      <w:bookmarkStart w:id="28" w:name="_Toc491108193"/>
      <w:bookmarkStart w:id="29" w:name="_Toc491168310"/>
      <w:bookmarkEnd w:id="14"/>
    </w:p>
    <w:p w14:paraId="0EF8CE6F" w14:textId="27F5DE68" w:rsidR="00636378" w:rsidRDefault="00B02976" w:rsidP="002D4A85">
      <w:pPr>
        <w:pStyle w:val="FigureMainHeading"/>
        <w:rPr>
          <w:noProof/>
          <w:lang w:eastAsia="en-AU"/>
        </w:rPr>
      </w:pPr>
      <w:r w:rsidRPr="00B02976">
        <w:rPr>
          <w:noProof/>
          <w:lang w:eastAsia="en-AU"/>
        </w:rPr>
        <w:t xml:space="preserve">Figure 1: Consultations identified a broad range of factors </w:t>
      </w:r>
      <w:r w:rsidR="00EA73E5">
        <w:rPr>
          <w:noProof/>
          <w:lang w:eastAsia="en-AU"/>
        </w:rPr>
        <w:t>that</w:t>
      </w:r>
      <w:r w:rsidR="00DB5F30">
        <w:rPr>
          <w:noProof/>
          <w:lang w:eastAsia="en-AU"/>
        </w:rPr>
        <w:br/>
      </w:r>
      <w:r w:rsidR="003569DD">
        <w:rPr>
          <w:noProof/>
          <w:lang w:eastAsia="en-AU"/>
        </w:rPr>
        <w:t>impact business investment</w:t>
      </w:r>
    </w:p>
    <w:p w14:paraId="70BC0F27" w14:textId="2D3AC14B" w:rsidR="00077A59" w:rsidRDefault="002D4A85" w:rsidP="002D4A85">
      <w:pPr>
        <w:pStyle w:val="ChartGraphic"/>
        <w:sectPr w:rsidR="00077A59" w:rsidSect="00FE6924">
          <w:headerReference w:type="even" r:id="rId41"/>
          <w:headerReference w:type="default" r:id="rId42"/>
          <w:headerReference w:type="first" r:id="rId43"/>
          <w:type w:val="oddPage"/>
          <w:pgSz w:w="11906" w:h="16838"/>
          <w:pgMar w:top="1701" w:right="1440" w:bottom="1440" w:left="1440" w:header="737" w:footer="567" w:gutter="0"/>
          <w:cols w:space="708"/>
          <w:titlePg/>
          <w:docGrid w:linePitch="360"/>
        </w:sectPr>
      </w:pPr>
      <w:r w:rsidRPr="002D4A85">
        <w:rPr>
          <w:noProof/>
          <w:lang w:eastAsia="en-AU"/>
        </w:rPr>
        <w:drawing>
          <wp:inline distT="0" distB="0" distL="0" distR="0" wp14:anchorId="1316731D" wp14:editId="3BBB2FDC">
            <wp:extent cx="4860000" cy="4724458"/>
            <wp:effectExtent l="0" t="0" r="0" b="0"/>
            <wp:docPr id="698" name="Picture 698" descr="C:\Users\sna\AppData\Local\Microsoft\Windows\Temporary Internet Files\Content.Outlook\03LKL2CF\Intergovernmental Review of Business Investment_graphics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na\AppData\Local\Microsoft\Windows\Temporary Internet Files\Content.Outlook\03LKL2CF\Intergovernmental Review of Business Investment_graphics_06-0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855" t="2390" r="10919" b="1288"/>
                    <a:stretch/>
                  </pic:blipFill>
                  <pic:spPr bwMode="auto">
                    <a:xfrm>
                      <a:off x="0" y="0"/>
                      <a:ext cx="4860000" cy="4724458"/>
                    </a:xfrm>
                    <a:prstGeom prst="rect">
                      <a:avLst/>
                    </a:prstGeom>
                    <a:noFill/>
                    <a:ln>
                      <a:noFill/>
                    </a:ln>
                    <a:extLst>
                      <a:ext uri="{53640926-AAD7-44D8-BBD7-CCE9431645EC}">
                        <a14:shadowObscured xmlns:a14="http://schemas.microsoft.com/office/drawing/2010/main"/>
                      </a:ext>
                    </a:extLst>
                  </pic:spPr>
                </pic:pic>
              </a:graphicData>
            </a:graphic>
          </wp:inline>
        </w:drawing>
      </w:r>
    </w:p>
    <w:p w14:paraId="3D8B2CDF" w14:textId="055ADCB0" w:rsidR="00641FAC" w:rsidRPr="00FD5477" w:rsidRDefault="00EC45F9" w:rsidP="001B3352">
      <w:pPr>
        <w:pStyle w:val="Heading1"/>
        <w:ind w:left="0" w:firstLine="0"/>
      </w:pPr>
      <w:bookmarkStart w:id="30" w:name="_Toc491704024"/>
      <w:bookmarkStart w:id="31" w:name="_Toc491705740"/>
      <w:bookmarkStart w:id="32" w:name="_Toc492465358"/>
      <w:bookmarkStart w:id="33" w:name="_Toc492571379"/>
      <w:bookmarkStart w:id="34" w:name="_Toc492902181"/>
      <w:bookmarkStart w:id="35" w:name="_Toc496095476"/>
      <w:bookmarkStart w:id="36" w:name="_Toc496097050"/>
      <w:r>
        <w:t>M</w:t>
      </w:r>
      <w:r w:rsidR="00DA6DCB">
        <w:t>acro</w:t>
      </w:r>
      <w:r w:rsidR="004E76FC">
        <w:t xml:space="preserve">economic </w:t>
      </w:r>
      <w:bookmarkEnd w:id="25"/>
      <w:r w:rsidR="00D62F93">
        <w:t>factors</w:t>
      </w:r>
      <w:bookmarkEnd w:id="26"/>
      <w:bookmarkEnd w:id="27"/>
      <w:bookmarkEnd w:id="28"/>
      <w:bookmarkEnd w:id="29"/>
      <w:bookmarkEnd w:id="30"/>
      <w:bookmarkEnd w:id="31"/>
      <w:bookmarkEnd w:id="32"/>
      <w:bookmarkEnd w:id="33"/>
      <w:bookmarkEnd w:id="34"/>
      <w:bookmarkEnd w:id="35"/>
      <w:bookmarkEnd w:id="36"/>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8D2D41" w:rsidRPr="009D7F7E" w14:paraId="385923AC" w14:textId="77777777" w:rsidTr="009D7F7E">
        <w:trPr>
          <w:trHeight w:val="464"/>
        </w:trPr>
        <w:tc>
          <w:tcPr>
            <w:tcW w:w="567" w:type="dxa"/>
            <w:shd w:val="clear" w:color="auto" w:fill="78BAE2"/>
          </w:tcPr>
          <w:p w14:paraId="1DBCD041" w14:textId="77777777" w:rsidR="008D2D41" w:rsidRPr="009D7F7E" w:rsidRDefault="008D2D41" w:rsidP="009D7F7E">
            <w:pPr>
              <w:pStyle w:val="BoxHeading-CaseStudy"/>
            </w:pPr>
          </w:p>
        </w:tc>
        <w:tc>
          <w:tcPr>
            <w:tcW w:w="8505" w:type="dxa"/>
            <w:shd w:val="clear" w:color="auto" w:fill="EAEAEA"/>
            <w:tcMar>
              <w:right w:w="227" w:type="dxa"/>
            </w:tcMar>
          </w:tcPr>
          <w:p w14:paraId="6F8E1218" w14:textId="2F680EA8" w:rsidR="008D2D41" w:rsidRPr="009D7F7E" w:rsidRDefault="008D2D41" w:rsidP="009D7F7E">
            <w:pPr>
              <w:pStyle w:val="BoxHeading-CaseStudy"/>
            </w:pPr>
            <w:r w:rsidRPr="009D7F7E">
              <w:t>Key Points</w:t>
            </w:r>
          </w:p>
        </w:tc>
      </w:tr>
      <w:tr w:rsidR="008D2D41" w:rsidRPr="009D7F7E" w14:paraId="008E0DED" w14:textId="77777777" w:rsidTr="002D4A85">
        <w:trPr>
          <w:cantSplit/>
          <w:trHeight w:val="430"/>
        </w:trPr>
        <w:tc>
          <w:tcPr>
            <w:tcW w:w="567" w:type="dxa"/>
            <w:shd w:val="clear" w:color="auto" w:fill="D0F4FF" w:themeFill="text1" w:themeFillTint="1A"/>
          </w:tcPr>
          <w:p w14:paraId="4EBA4830" w14:textId="07CC9E70" w:rsidR="008D2D41" w:rsidRPr="009D7F7E" w:rsidRDefault="008D2D41" w:rsidP="009D7F7E">
            <w:pPr>
              <w:pStyle w:val="BoxText"/>
            </w:pPr>
          </w:p>
        </w:tc>
        <w:tc>
          <w:tcPr>
            <w:tcW w:w="8505" w:type="dxa"/>
            <w:shd w:val="clear" w:color="auto" w:fill="EAEAEA"/>
            <w:tcMar>
              <w:right w:w="227" w:type="dxa"/>
            </w:tcMar>
          </w:tcPr>
          <w:p w14:paraId="01A62B4E" w14:textId="31F2FCCF" w:rsidR="00DA6DCB" w:rsidRPr="009D7F7E" w:rsidRDefault="00DA6DCB" w:rsidP="009D7F7E">
            <w:pPr>
              <w:pStyle w:val="BoxText"/>
            </w:pPr>
            <w:r w:rsidRPr="009D7F7E">
              <w:t xml:space="preserve">The environment for business investment in Australia has been </w:t>
            </w:r>
            <w:r w:rsidR="007D0598" w:rsidRPr="009D7F7E">
              <w:t>influenced</w:t>
            </w:r>
            <w:r w:rsidRPr="009D7F7E">
              <w:t xml:space="preserve"> in the past decade by a mix of c</w:t>
            </w:r>
            <w:r w:rsidR="003569DD">
              <w:t>yclical and structural factors.</w:t>
            </w:r>
          </w:p>
          <w:p w14:paraId="66FB0DA2" w14:textId="31F4AD92" w:rsidR="00973C84" w:rsidRPr="009D7F7E" w:rsidRDefault="00973C84" w:rsidP="009D7F7E">
            <w:pPr>
              <w:pStyle w:val="BoxText"/>
            </w:pPr>
            <w:r w:rsidRPr="009D7F7E">
              <w:t>The mining boom delivered record investment, while the trend in business investment in sectors outside of mining has been less encouraging over the decade.</w:t>
            </w:r>
          </w:p>
          <w:p w14:paraId="12B3929B" w14:textId="7F92AD2D" w:rsidR="00973C84" w:rsidRPr="009D7F7E" w:rsidRDefault="00973C84" w:rsidP="009D7F7E">
            <w:pPr>
              <w:pStyle w:val="BoxText"/>
            </w:pPr>
            <w:r w:rsidRPr="009D7F7E">
              <w:t>The weakness in business investment has to some extent reflected subdued national income growth.</w:t>
            </w:r>
          </w:p>
          <w:p w14:paraId="4603B796" w14:textId="1A76ACA1" w:rsidR="00872CA3" w:rsidRPr="009D7F7E" w:rsidRDefault="00872CA3" w:rsidP="009D7F7E">
            <w:pPr>
              <w:pStyle w:val="BoxText"/>
            </w:pPr>
            <w:r w:rsidRPr="009D7F7E">
              <w:t xml:space="preserve">Our consultations found </w:t>
            </w:r>
            <w:r w:rsidR="00E854CB" w:rsidRPr="009D7F7E">
              <w:t xml:space="preserve">variable </w:t>
            </w:r>
            <w:r w:rsidRPr="009D7F7E">
              <w:t>sector</w:t>
            </w:r>
            <w:r w:rsidR="00E854CB" w:rsidRPr="009D7F7E">
              <w:t>al</w:t>
            </w:r>
            <w:r w:rsidRPr="009D7F7E">
              <w:t xml:space="preserve"> and regional outlook</w:t>
            </w:r>
            <w:r w:rsidR="00E854CB" w:rsidRPr="009D7F7E">
              <w:t>s</w:t>
            </w:r>
            <w:r w:rsidR="003569DD">
              <w:t xml:space="preserve"> for demand.</w:t>
            </w:r>
          </w:p>
          <w:p w14:paraId="64EFAC82" w14:textId="64293C28" w:rsidR="00DA6DCB" w:rsidRPr="009D7F7E" w:rsidRDefault="00DA6DCB" w:rsidP="009D7F7E">
            <w:pPr>
              <w:pStyle w:val="BoxText"/>
            </w:pPr>
            <w:r w:rsidRPr="009D7F7E">
              <w:t xml:space="preserve">Structural factors </w:t>
            </w:r>
            <w:r w:rsidR="00B05822" w:rsidRPr="009D7F7E">
              <w:t>include</w:t>
            </w:r>
            <w:r w:rsidR="00BC4E15" w:rsidRPr="009D7F7E">
              <w:t xml:space="preserve"> the</w:t>
            </w:r>
            <w:r w:rsidRPr="009D7F7E">
              <w:t xml:space="preserve"> </w:t>
            </w:r>
            <w:r w:rsidR="006E579F" w:rsidRPr="009D7F7E">
              <w:t>shift t</w:t>
            </w:r>
            <w:r w:rsidR="006E579F" w:rsidRPr="009D7F7E">
              <w:rPr>
                <w:rStyle w:val="Style8Char"/>
              </w:rPr>
              <w:t>owards</w:t>
            </w:r>
            <w:r w:rsidRPr="009D7F7E">
              <w:rPr>
                <w:rStyle w:val="Style8Char"/>
              </w:rPr>
              <w:t xml:space="preserve"> </w:t>
            </w:r>
            <w:r w:rsidR="00D51D28" w:rsidRPr="009D7F7E">
              <w:rPr>
                <w:rStyle w:val="Style8Char"/>
              </w:rPr>
              <w:t xml:space="preserve">less capital intensive services </w:t>
            </w:r>
            <w:r w:rsidRPr="009D7F7E">
              <w:rPr>
                <w:rStyle w:val="Style8Char"/>
              </w:rPr>
              <w:t>sectors</w:t>
            </w:r>
            <w:r w:rsidRPr="009D7F7E">
              <w:t xml:space="preserve"> and the application of new digital technologies.</w:t>
            </w:r>
          </w:p>
          <w:p w14:paraId="6E7782C2" w14:textId="2A018664" w:rsidR="00CD68C4" w:rsidRPr="009D7F7E" w:rsidRDefault="00CD68C4" w:rsidP="009D7F7E">
            <w:pPr>
              <w:pStyle w:val="BoxText"/>
            </w:pPr>
            <w:r w:rsidRPr="009D7F7E">
              <w:t>Defensive business strategies evident include cost cutting and aggressive</w:t>
            </w:r>
            <w:r w:rsidR="003569DD">
              <w:t xml:space="preserve"> capital management approaches.</w:t>
            </w:r>
          </w:p>
          <w:p w14:paraId="07D0F044" w14:textId="299028C1" w:rsidR="002E5B00" w:rsidRPr="009D7F7E" w:rsidRDefault="002E5B00" w:rsidP="009D7F7E">
            <w:pPr>
              <w:pStyle w:val="BoxText"/>
            </w:pPr>
            <w:r w:rsidRPr="009D7F7E">
              <w:t>A persistent theme from contacts was a low risk appetite in Australia from both corporate boards of</w:t>
            </w:r>
            <w:r w:rsidR="003569DD">
              <w:t xml:space="preserve"> directors and investors.</w:t>
            </w:r>
          </w:p>
          <w:p w14:paraId="373B7F43" w14:textId="32AE5EEE" w:rsidR="00064C48" w:rsidRPr="009D7F7E" w:rsidRDefault="00CD68C4" w:rsidP="009D7F7E">
            <w:pPr>
              <w:pStyle w:val="BoxText"/>
            </w:pPr>
            <w:r w:rsidRPr="009D7F7E">
              <w:t>Our c</w:t>
            </w:r>
            <w:r w:rsidR="00524438" w:rsidRPr="009D7F7E">
              <w:t xml:space="preserve">onsultations highlighted the </w:t>
            </w:r>
            <w:r w:rsidRPr="009D7F7E">
              <w:t>prominence</w:t>
            </w:r>
            <w:r w:rsidR="00524438" w:rsidRPr="009D7F7E">
              <w:t xml:space="preserve"> of </w:t>
            </w:r>
            <w:r w:rsidRPr="009D7F7E">
              <w:t xml:space="preserve">a sense of </w:t>
            </w:r>
            <w:r w:rsidR="00524438" w:rsidRPr="009D7F7E">
              <w:t>elevated uncertainty</w:t>
            </w:r>
            <w:r w:rsidR="003F1AD6" w:rsidRPr="009D7F7E">
              <w:t xml:space="preserve"> due to </w:t>
            </w:r>
            <w:r w:rsidR="0008270A" w:rsidRPr="009D7F7E">
              <w:t>the</w:t>
            </w:r>
            <w:r w:rsidR="00064C48" w:rsidRPr="009D7F7E">
              <w:t xml:space="preserve"> impact of technological innovations</w:t>
            </w:r>
            <w:r w:rsidR="00D4612F" w:rsidRPr="009D7F7E">
              <w:t xml:space="preserve"> including disruption in the economy</w:t>
            </w:r>
            <w:r w:rsidR="00064C48" w:rsidRPr="009D7F7E">
              <w:t xml:space="preserve"> </w:t>
            </w:r>
            <w:r w:rsidR="007F1908" w:rsidRPr="009D7F7E">
              <w:t>and political</w:t>
            </w:r>
            <w:r w:rsidR="003F1AD6" w:rsidRPr="009D7F7E">
              <w:t xml:space="preserve"> and policy</w:t>
            </w:r>
            <w:r w:rsidR="007F1908" w:rsidRPr="009D7F7E">
              <w:t xml:space="preserve"> </w:t>
            </w:r>
            <w:r w:rsidR="00064C48" w:rsidRPr="009D7F7E">
              <w:t>instability</w:t>
            </w:r>
            <w:r w:rsidR="00287E77" w:rsidRPr="009D7F7E">
              <w:t>.</w:t>
            </w:r>
          </w:p>
        </w:tc>
      </w:tr>
    </w:tbl>
    <w:p w14:paraId="4ECA7DC7" w14:textId="77777777" w:rsidR="000262D8" w:rsidRDefault="000262D8" w:rsidP="000262D8">
      <w:pPr>
        <w:pStyle w:val="SingleParagraph"/>
      </w:pPr>
      <w:bookmarkStart w:id="37" w:name="_Toc490237234"/>
      <w:bookmarkStart w:id="38" w:name="_Toc490729906"/>
      <w:bookmarkStart w:id="39" w:name="_Toc491081797"/>
      <w:bookmarkStart w:id="40" w:name="_Toc491108194"/>
      <w:bookmarkStart w:id="41" w:name="_Toc491168311"/>
      <w:bookmarkStart w:id="42" w:name="_Toc491704025"/>
      <w:bookmarkStart w:id="43" w:name="_Toc491705741"/>
      <w:bookmarkStart w:id="44" w:name="_Toc492465359"/>
      <w:bookmarkStart w:id="45" w:name="_Toc492571380"/>
      <w:bookmarkStart w:id="46" w:name="_Toc492902182"/>
    </w:p>
    <w:p w14:paraId="047A2035" w14:textId="722AD85C" w:rsidR="00DA6DCB" w:rsidRPr="00533581" w:rsidRDefault="00DA6DCB" w:rsidP="001B3352">
      <w:pPr>
        <w:pStyle w:val="Heading2"/>
      </w:pPr>
      <w:bookmarkStart w:id="47" w:name="_Toc496095477"/>
      <w:bookmarkStart w:id="48" w:name="_Toc496097051"/>
      <w:r w:rsidRPr="00533581">
        <w:t>An unusual decade</w:t>
      </w:r>
      <w:bookmarkEnd w:id="37"/>
      <w:bookmarkEnd w:id="38"/>
      <w:bookmarkEnd w:id="39"/>
      <w:bookmarkEnd w:id="40"/>
      <w:bookmarkEnd w:id="41"/>
      <w:bookmarkEnd w:id="42"/>
      <w:bookmarkEnd w:id="43"/>
      <w:bookmarkEnd w:id="44"/>
      <w:bookmarkEnd w:id="45"/>
      <w:bookmarkEnd w:id="46"/>
      <w:bookmarkEnd w:id="47"/>
      <w:bookmarkEnd w:id="48"/>
    </w:p>
    <w:p w14:paraId="60D8146A" w14:textId="11651D12" w:rsidR="006B12A2" w:rsidRDefault="00F7670B" w:rsidP="000262D8">
      <w:pPr>
        <w:rPr>
          <w:rFonts w:asciiTheme="minorHAnsi" w:hAnsiTheme="minorHAnsi"/>
        </w:rPr>
      </w:pPr>
      <w:r w:rsidRPr="003973C4">
        <w:rPr>
          <w:rFonts w:asciiTheme="minorHAnsi" w:hAnsiTheme="minorHAnsi"/>
          <w:lang w:eastAsia="en-AU"/>
        </w:rPr>
        <w:t>The environment for business investment in Australia has been influence</w:t>
      </w:r>
      <w:r w:rsidR="00DB3921">
        <w:rPr>
          <w:rFonts w:asciiTheme="minorHAnsi" w:hAnsiTheme="minorHAnsi"/>
          <w:lang w:eastAsia="en-AU"/>
        </w:rPr>
        <w:t>d</w:t>
      </w:r>
      <w:r w:rsidRPr="003973C4">
        <w:rPr>
          <w:rFonts w:asciiTheme="minorHAnsi" w:hAnsiTheme="minorHAnsi"/>
          <w:lang w:eastAsia="en-AU"/>
        </w:rPr>
        <w:t xml:space="preserve"> in the past decade by a mix of cyclical and structural factors</w:t>
      </w:r>
      <w:r w:rsidRPr="003973C4">
        <w:rPr>
          <w:rFonts w:asciiTheme="minorHAnsi" w:hAnsiTheme="minorHAnsi"/>
        </w:rPr>
        <w:t xml:space="preserve">. </w:t>
      </w:r>
      <w:r w:rsidR="00DA6DCB" w:rsidRPr="003973C4">
        <w:rPr>
          <w:rFonts w:asciiTheme="minorHAnsi" w:hAnsiTheme="minorHAnsi"/>
        </w:rPr>
        <w:t xml:space="preserve">Australia’s </w:t>
      </w:r>
      <w:r w:rsidR="006B12A2">
        <w:rPr>
          <w:rFonts w:asciiTheme="minorHAnsi" w:hAnsiTheme="minorHAnsi"/>
        </w:rPr>
        <w:t xml:space="preserve">aggregate </w:t>
      </w:r>
      <w:r w:rsidR="00DA6DCB" w:rsidRPr="003973C4">
        <w:rPr>
          <w:rFonts w:asciiTheme="minorHAnsi" w:hAnsiTheme="minorHAnsi"/>
        </w:rPr>
        <w:t xml:space="preserve">economic performance </w:t>
      </w:r>
      <w:r w:rsidR="00D86842">
        <w:rPr>
          <w:rFonts w:asciiTheme="minorHAnsi" w:hAnsiTheme="minorHAnsi"/>
        </w:rPr>
        <w:t>during this time</w:t>
      </w:r>
      <w:r w:rsidR="00DA6DCB" w:rsidRPr="003973C4">
        <w:rPr>
          <w:rFonts w:asciiTheme="minorHAnsi" w:hAnsiTheme="minorHAnsi"/>
        </w:rPr>
        <w:t xml:space="preserve"> has been unique both </w:t>
      </w:r>
      <w:r w:rsidR="00E13508" w:rsidRPr="003973C4">
        <w:rPr>
          <w:rFonts w:asciiTheme="minorHAnsi" w:hAnsiTheme="minorHAnsi"/>
        </w:rPr>
        <w:t xml:space="preserve">by </w:t>
      </w:r>
      <w:r w:rsidR="00DA6DCB" w:rsidRPr="003973C4">
        <w:rPr>
          <w:rFonts w:asciiTheme="minorHAnsi" w:hAnsiTheme="minorHAnsi"/>
        </w:rPr>
        <w:t xml:space="preserve">its own historical standards </w:t>
      </w:r>
      <w:r w:rsidR="00CB1703" w:rsidRPr="003973C4">
        <w:rPr>
          <w:rFonts w:asciiTheme="minorHAnsi" w:hAnsiTheme="minorHAnsi"/>
        </w:rPr>
        <w:t>and</w:t>
      </w:r>
      <w:r w:rsidR="00DA6DCB" w:rsidRPr="003973C4">
        <w:rPr>
          <w:rFonts w:asciiTheme="minorHAnsi" w:hAnsiTheme="minorHAnsi"/>
        </w:rPr>
        <w:t xml:space="preserve"> </w:t>
      </w:r>
      <w:r w:rsidR="004C1014" w:rsidRPr="003973C4">
        <w:rPr>
          <w:rFonts w:asciiTheme="minorHAnsi" w:hAnsiTheme="minorHAnsi"/>
        </w:rPr>
        <w:t>by</w:t>
      </w:r>
      <w:r w:rsidR="00DA6DCB" w:rsidRPr="003973C4">
        <w:rPr>
          <w:rFonts w:asciiTheme="minorHAnsi" w:hAnsiTheme="minorHAnsi"/>
        </w:rPr>
        <w:t xml:space="preserve"> international </w:t>
      </w:r>
      <w:r w:rsidR="004C1014" w:rsidRPr="003973C4">
        <w:rPr>
          <w:rFonts w:asciiTheme="minorHAnsi" w:hAnsiTheme="minorHAnsi"/>
        </w:rPr>
        <w:t>standards</w:t>
      </w:r>
      <w:r w:rsidR="00DA6DCB" w:rsidRPr="003973C4">
        <w:rPr>
          <w:rFonts w:asciiTheme="minorHAnsi" w:hAnsiTheme="minorHAnsi"/>
        </w:rPr>
        <w:t xml:space="preserve">. </w:t>
      </w:r>
      <w:r w:rsidR="006E579F">
        <w:rPr>
          <w:rFonts w:asciiTheme="minorHAnsi" w:hAnsiTheme="minorHAnsi"/>
        </w:rPr>
        <w:t>An</w:t>
      </w:r>
      <w:r w:rsidR="00DA6DCB" w:rsidRPr="003973C4">
        <w:rPr>
          <w:rFonts w:asciiTheme="minorHAnsi" w:hAnsiTheme="minorHAnsi"/>
        </w:rPr>
        <w:t xml:space="preserve"> </w:t>
      </w:r>
      <w:r w:rsidR="00DA6DCB" w:rsidRPr="003973C4" w:rsidDel="005136DC">
        <w:rPr>
          <w:rFonts w:asciiTheme="minorHAnsi" w:hAnsiTheme="minorHAnsi"/>
        </w:rPr>
        <w:t xml:space="preserve">important factor </w:t>
      </w:r>
      <w:r w:rsidR="006B12A2" w:rsidDel="005136DC">
        <w:rPr>
          <w:rFonts w:asciiTheme="minorHAnsi" w:hAnsiTheme="minorHAnsi"/>
        </w:rPr>
        <w:t xml:space="preserve">over the decade has been the rise in demand for minerals and energy from </w:t>
      </w:r>
      <w:r w:rsidR="00DA6DCB" w:rsidRPr="003973C4" w:rsidDel="005136DC">
        <w:rPr>
          <w:rFonts w:asciiTheme="minorHAnsi" w:hAnsiTheme="minorHAnsi"/>
        </w:rPr>
        <w:t>large emerging economies like China</w:t>
      </w:r>
      <w:r w:rsidR="006B12A2">
        <w:rPr>
          <w:rFonts w:asciiTheme="minorHAnsi" w:hAnsiTheme="minorHAnsi"/>
        </w:rPr>
        <w:t>. This demand started to rise before the GFC, and while it was temporar</w:t>
      </w:r>
      <w:r w:rsidR="00500F83">
        <w:rPr>
          <w:rFonts w:asciiTheme="minorHAnsi" w:hAnsiTheme="minorHAnsi"/>
        </w:rPr>
        <w:t>il</w:t>
      </w:r>
      <w:r w:rsidR="006B12A2">
        <w:rPr>
          <w:rFonts w:asciiTheme="minorHAnsi" w:hAnsiTheme="minorHAnsi"/>
        </w:rPr>
        <w:t xml:space="preserve">y impacted, </w:t>
      </w:r>
      <w:r w:rsidR="00500F83">
        <w:rPr>
          <w:rFonts w:asciiTheme="minorHAnsi" w:hAnsiTheme="minorHAnsi"/>
        </w:rPr>
        <w:t xml:space="preserve">Chinese </w:t>
      </w:r>
      <w:r w:rsidR="006B12A2">
        <w:rPr>
          <w:rFonts w:asciiTheme="minorHAnsi" w:hAnsiTheme="minorHAnsi"/>
        </w:rPr>
        <w:t>demand returned r</w:t>
      </w:r>
      <w:r w:rsidR="003569DD">
        <w:rPr>
          <w:rFonts w:asciiTheme="minorHAnsi" w:hAnsiTheme="minorHAnsi"/>
        </w:rPr>
        <w:t>elatively quickly.</w:t>
      </w:r>
    </w:p>
    <w:p w14:paraId="791749F7" w14:textId="2ABB9C72" w:rsidR="00E10A1B" w:rsidRDefault="00500F83" w:rsidP="000262D8">
      <w:pPr>
        <w:rPr>
          <w:rFonts w:asciiTheme="minorHAnsi" w:hAnsiTheme="minorHAnsi"/>
          <w:lang w:eastAsia="en-AU"/>
        </w:rPr>
      </w:pPr>
      <w:r>
        <w:rPr>
          <w:rFonts w:asciiTheme="minorHAnsi" w:hAnsiTheme="minorHAnsi"/>
        </w:rPr>
        <w:t>S</w:t>
      </w:r>
      <w:r w:rsidR="006B12A2">
        <w:rPr>
          <w:rFonts w:asciiTheme="minorHAnsi" w:hAnsiTheme="minorHAnsi"/>
        </w:rPr>
        <w:t xml:space="preserve">trong demand supported a </w:t>
      </w:r>
      <w:r w:rsidR="006E579F" w:rsidRPr="00F26327">
        <w:rPr>
          <w:rFonts w:asciiTheme="minorHAnsi" w:hAnsiTheme="minorHAnsi"/>
        </w:rPr>
        <w:t>once</w:t>
      </w:r>
      <w:r w:rsidR="006E579F" w:rsidRPr="00F26327">
        <w:rPr>
          <w:rFonts w:asciiTheme="minorHAnsi" w:hAnsiTheme="minorHAnsi"/>
        </w:rPr>
        <w:noBreakHyphen/>
        <w:t>in</w:t>
      </w:r>
      <w:r w:rsidR="006E579F" w:rsidRPr="00F26327">
        <w:rPr>
          <w:rFonts w:asciiTheme="minorHAnsi" w:hAnsiTheme="minorHAnsi"/>
        </w:rPr>
        <w:noBreakHyphen/>
        <w:t>a</w:t>
      </w:r>
      <w:r w:rsidR="006E579F" w:rsidRPr="00F26327">
        <w:rPr>
          <w:rFonts w:asciiTheme="minorHAnsi" w:hAnsiTheme="minorHAnsi"/>
        </w:rPr>
        <w:noBreakHyphen/>
        <w:t>hundred year mining investment boom</w:t>
      </w:r>
      <w:r w:rsidR="006B12A2">
        <w:rPr>
          <w:rFonts w:asciiTheme="minorHAnsi" w:hAnsiTheme="minorHAnsi"/>
        </w:rPr>
        <w:t xml:space="preserve"> and a rise in overall national income</w:t>
      </w:r>
      <w:r w:rsidR="00DA6DCB" w:rsidRPr="003973C4">
        <w:rPr>
          <w:rFonts w:asciiTheme="minorHAnsi" w:hAnsiTheme="minorHAnsi"/>
        </w:rPr>
        <w:t>.</w:t>
      </w:r>
      <w:r w:rsidR="002871B4" w:rsidRPr="003973C4">
        <w:rPr>
          <w:rFonts w:asciiTheme="minorHAnsi" w:hAnsiTheme="minorHAnsi"/>
        </w:rPr>
        <w:t xml:space="preserve"> </w:t>
      </w:r>
      <w:r w:rsidR="00DA6DCB" w:rsidRPr="003973C4">
        <w:rPr>
          <w:rFonts w:asciiTheme="minorHAnsi" w:hAnsiTheme="minorHAnsi"/>
        </w:rPr>
        <w:t xml:space="preserve">Total new business investment in Australia </w:t>
      </w:r>
      <w:r w:rsidR="00AD56F9" w:rsidRPr="003973C4">
        <w:rPr>
          <w:rFonts w:asciiTheme="minorHAnsi" w:hAnsiTheme="minorHAnsi"/>
        </w:rPr>
        <w:t>reached</w:t>
      </w:r>
      <w:r w:rsidR="00DA6DCB" w:rsidRPr="003973C4">
        <w:rPr>
          <w:rFonts w:asciiTheme="minorHAnsi" w:hAnsiTheme="minorHAnsi"/>
        </w:rPr>
        <w:t xml:space="preserve"> a </w:t>
      </w:r>
      <w:r w:rsidR="00AD56F9" w:rsidRPr="003973C4">
        <w:rPr>
          <w:rFonts w:asciiTheme="minorHAnsi" w:hAnsiTheme="minorHAnsi"/>
        </w:rPr>
        <w:t>peak</w:t>
      </w:r>
      <w:r w:rsidR="00DA6DCB" w:rsidRPr="003973C4">
        <w:rPr>
          <w:rFonts w:asciiTheme="minorHAnsi" w:hAnsiTheme="minorHAnsi"/>
        </w:rPr>
        <w:t xml:space="preserve"> of around 18 per cent of GDP in 2012-13</w:t>
      </w:r>
      <w:r w:rsidR="006B12A2">
        <w:rPr>
          <w:rFonts w:asciiTheme="minorHAnsi" w:hAnsiTheme="minorHAnsi"/>
        </w:rPr>
        <w:t xml:space="preserve"> </w:t>
      </w:r>
      <w:r w:rsidR="00DA6DCB" w:rsidRPr="003973C4">
        <w:rPr>
          <w:rFonts w:asciiTheme="minorHAnsi" w:hAnsiTheme="minorHAnsi"/>
        </w:rPr>
        <w:t xml:space="preserve">(Chart 1). </w:t>
      </w:r>
      <w:r w:rsidR="00685163" w:rsidRPr="003973C4">
        <w:rPr>
          <w:rFonts w:asciiTheme="minorHAnsi" w:hAnsiTheme="minorHAnsi"/>
        </w:rPr>
        <w:t>Mining investment rose from below 2 per cent of GDP i</w:t>
      </w:r>
      <w:r w:rsidR="00AE7247">
        <w:rPr>
          <w:rFonts w:asciiTheme="minorHAnsi" w:hAnsiTheme="minorHAnsi"/>
        </w:rPr>
        <w:t>n 2000-01 to a peak of around 9 </w:t>
      </w:r>
      <w:r w:rsidR="00685163" w:rsidRPr="003973C4">
        <w:rPr>
          <w:rFonts w:asciiTheme="minorHAnsi" w:hAnsiTheme="minorHAnsi"/>
        </w:rPr>
        <w:t xml:space="preserve">per cent of GDP in 2012-13. </w:t>
      </w:r>
      <w:r w:rsidR="00E10A1B">
        <w:rPr>
          <w:rFonts w:asciiTheme="minorHAnsi" w:hAnsiTheme="minorHAnsi"/>
        </w:rPr>
        <w:t>A</w:t>
      </w:r>
      <w:r w:rsidR="00E10A1B" w:rsidRPr="003973C4">
        <w:rPr>
          <w:rFonts w:asciiTheme="minorHAnsi" w:hAnsiTheme="minorHAnsi"/>
        </w:rPr>
        <w:t xml:space="preserve">s large </w:t>
      </w:r>
      <w:r w:rsidR="00E10A1B">
        <w:rPr>
          <w:rFonts w:asciiTheme="minorHAnsi" w:hAnsiTheme="minorHAnsi"/>
        </w:rPr>
        <w:t xml:space="preserve">investment </w:t>
      </w:r>
      <w:r w:rsidR="00E10A1B" w:rsidRPr="003973C4">
        <w:rPr>
          <w:rFonts w:asciiTheme="minorHAnsi" w:hAnsiTheme="minorHAnsi"/>
        </w:rPr>
        <w:t>projects have been completed</w:t>
      </w:r>
      <w:r w:rsidR="00E10A1B">
        <w:rPr>
          <w:rFonts w:asciiTheme="minorHAnsi" w:hAnsiTheme="minorHAnsi"/>
        </w:rPr>
        <w:t xml:space="preserve"> the flow of m</w:t>
      </w:r>
      <w:r w:rsidR="00E10A1B" w:rsidRPr="003973C4">
        <w:rPr>
          <w:rFonts w:asciiTheme="minorHAnsi" w:hAnsiTheme="minorHAnsi"/>
        </w:rPr>
        <w:t xml:space="preserve">ining investment </w:t>
      </w:r>
      <w:r w:rsidR="00E10A1B">
        <w:rPr>
          <w:rFonts w:asciiTheme="minorHAnsi" w:hAnsiTheme="minorHAnsi"/>
        </w:rPr>
        <w:t xml:space="preserve">has </w:t>
      </w:r>
      <w:r w:rsidR="00E10A1B" w:rsidRPr="003973C4">
        <w:rPr>
          <w:rFonts w:asciiTheme="minorHAnsi" w:hAnsiTheme="minorHAnsi"/>
        </w:rPr>
        <w:t>contracted</w:t>
      </w:r>
      <w:r w:rsidR="00E10A1B">
        <w:rPr>
          <w:rFonts w:asciiTheme="minorHAnsi" w:hAnsiTheme="minorHAnsi"/>
        </w:rPr>
        <w:t xml:space="preserve"> back towards more usual levels, t</w:t>
      </w:r>
      <w:r w:rsidR="00E10A1B" w:rsidRPr="003973C4">
        <w:rPr>
          <w:rFonts w:asciiTheme="minorHAnsi" w:hAnsiTheme="minorHAnsi"/>
        </w:rPr>
        <w:t xml:space="preserve">hough </w:t>
      </w:r>
      <w:r w:rsidR="00E10A1B" w:rsidRPr="003973C4">
        <w:rPr>
          <w:rFonts w:asciiTheme="minorHAnsi" w:hAnsiTheme="minorHAnsi"/>
          <w:lang w:eastAsia="en-AU"/>
        </w:rPr>
        <w:t xml:space="preserve">Australia </w:t>
      </w:r>
      <w:r w:rsidR="00E10A1B">
        <w:rPr>
          <w:rFonts w:asciiTheme="minorHAnsi" w:hAnsiTheme="minorHAnsi"/>
          <w:lang w:eastAsia="en-AU"/>
        </w:rPr>
        <w:t>st</w:t>
      </w:r>
      <w:r w:rsidR="00E10A1B" w:rsidRPr="003973C4">
        <w:rPr>
          <w:rFonts w:asciiTheme="minorHAnsi" w:hAnsiTheme="minorHAnsi"/>
          <w:lang w:eastAsia="en-AU"/>
        </w:rPr>
        <w:t>ill benefit</w:t>
      </w:r>
      <w:r w:rsidR="00E10A1B">
        <w:rPr>
          <w:rFonts w:asciiTheme="minorHAnsi" w:hAnsiTheme="minorHAnsi"/>
          <w:lang w:eastAsia="en-AU"/>
        </w:rPr>
        <w:t>s</w:t>
      </w:r>
      <w:r w:rsidR="00E10A1B" w:rsidRPr="003973C4">
        <w:rPr>
          <w:rFonts w:asciiTheme="minorHAnsi" w:hAnsiTheme="minorHAnsi"/>
          <w:lang w:eastAsia="en-AU"/>
        </w:rPr>
        <w:t xml:space="preserve"> from a permanently higher level of </w:t>
      </w:r>
      <w:r w:rsidR="00E10A1B">
        <w:rPr>
          <w:rFonts w:asciiTheme="minorHAnsi" w:hAnsiTheme="minorHAnsi"/>
          <w:lang w:eastAsia="en-AU"/>
        </w:rPr>
        <w:t xml:space="preserve">capital that is supporting higher mining </w:t>
      </w:r>
      <w:r w:rsidR="003569DD">
        <w:rPr>
          <w:rFonts w:asciiTheme="minorHAnsi" w:hAnsiTheme="minorHAnsi"/>
          <w:lang w:eastAsia="en-AU"/>
        </w:rPr>
        <w:t>production and exports.</w:t>
      </w:r>
    </w:p>
    <w:p w14:paraId="61A3D4A8" w14:textId="76BA2730" w:rsidR="003973C4" w:rsidRPr="00AF6A5F" w:rsidRDefault="003973C4" w:rsidP="00AF6A5F">
      <w:pPr>
        <w:pStyle w:val="FigureMainHeading"/>
      </w:pPr>
      <w:r w:rsidRPr="00AF6A5F">
        <w:t>Chart 1</w:t>
      </w:r>
      <w:r w:rsidR="00DA6DCB" w:rsidRPr="00AF6A5F">
        <w:t xml:space="preserve">: </w:t>
      </w:r>
      <w:r w:rsidRPr="00AF6A5F">
        <w:t>B</w:t>
      </w:r>
      <w:r w:rsidR="00DA6DCB" w:rsidRPr="00AF6A5F">
        <w:t xml:space="preserve">usiness </w:t>
      </w:r>
      <w:r w:rsidR="001426A4" w:rsidRPr="00AF6A5F">
        <w:t>i</w:t>
      </w:r>
      <w:r w:rsidR="00DA6DCB" w:rsidRPr="00AF6A5F">
        <w:t xml:space="preserve">nvestment </w:t>
      </w:r>
      <w:r w:rsidRPr="00AF6A5F">
        <w:t xml:space="preserve">(as a share of </w:t>
      </w:r>
      <w:r w:rsidR="006B12A2" w:rsidRPr="00AF6A5F">
        <w:t xml:space="preserve">nominal </w:t>
      </w:r>
      <w:r w:rsidRPr="00AF6A5F">
        <w:t>GDP)</w:t>
      </w:r>
    </w:p>
    <w:p w14:paraId="229004AF" w14:textId="26BF2795" w:rsidR="002D4A85" w:rsidRDefault="00E967AD" w:rsidP="00E967AD">
      <w:pPr>
        <w:pStyle w:val="TableGraphic"/>
      </w:pPr>
      <w:r>
        <w:object w:dxaOrig="8775" w:dyaOrig="3961" w14:anchorId="7A3F0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9pt;height:198.45pt" o:ole="">
            <v:imagedata r:id="rId45" o:title=""/>
          </v:shape>
          <o:OLEObject Type="Link" ProgID="Excel.Sheet.12" ShapeID="_x0000_i1025" DrawAspect="Content" r:id="rId46" UpdateMode="Always">
            <o:LinkType>EnhancedMetaFile</o:LinkType>
            <o:LockedField>false</o:LockedField>
          </o:OLEObject>
        </w:object>
      </w:r>
    </w:p>
    <w:p w14:paraId="477D1F24" w14:textId="345F52CC" w:rsidR="00B32148" w:rsidRDefault="00B32148" w:rsidP="00691261">
      <w:pPr>
        <w:pStyle w:val="Source"/>
        <w:rPr>
          <w:lang w:eastAsia="en-AU"/>
        </w:rPr>
      </w:pPr>
      <w:r w:rsidRPr="00AA2B59">
        <w:t>Source: ABS cat. nos. 5204.0, 5206.0 and Treasury</w:t>
      </w:r>
      <w:r w:rsidR="003B2FBC">
        <w:t>.</w:t>
      </w:r>
    </w:p>
    <w:p w14:paraId="528DD5C7" w14:textId="77777777" w:rsidR="00AF6A5F" w:rsidRDefault="00AF6A5F" w:rsidP="00AF6A5F">
      <w:pPr>
        <w:pStyle w:val="SingleParagraph"/>
      </w:pPr>
    </w:p>
    <w:p w14:paraId="2AFDB4EF" w14:textId="2ED88E92" w:rsidR="00DA6DCB" w:rsidRDefault="00B84C11" w:rsidP="00DB5F30">
      <w:r w:rsidRPr="00B27586">
        <w:t>T</w:t>
      </w:r>
      <w:r w:rsidR="00DA6DCB" w:rsidRPr="00B27586">
        <w:t>he trend in business investment in sectors</w:t>
      </w:r>
      <w:r w:rsidR="00AE3A74" w:rsidRPr="00B27586">
        <w:t xml:space="preserve"> outside of mining </w:t>
      </w:r>
      <w:r w:rsidR="00DA6DCB" w:rsidRPr="00B27586">
        <w:t>has been less encouraging</w:t>
      </w:r>
      <w:r w:rsidR="00AD1916">
        <w:t xml:space="preserve"> </w:t>
      </w:r>
      <w:r w:rsidR="006E579F">
        <w:t xml:space="preserve">over the decade </w:t>
      </w:r>
      <w:r w:rsidR="00AD1916">
        <w:t xml:space="preserve">(Chart </w:t>
      </w:r>
      <w:r w:rsidR="00846AE0">
        <w:t xml:space="preserve">1 and </w:t>
      </w:r>
      <w:r w:rsidR="00B32148">
        <w:t>2</w:t>
      </w:r>
      <w:r w:rsidR="00AD1916">
        <w:t>)</w:t>
      </w:r>
      <w:r w:rsidR="00DA6DCB" w:rsidRPr="00B27586">
        <w:t>.</w:t>
      </w:r>
      <w:r w:rsidR="00DA6DCB" w:rsidRPr="00B27586">
        <w:rPr>
          <w:b/>
        </w:rPr>
        <w:t xml:space="preserve"> </w:t>
      </w:r>
      <w:r w:rsidR="00DA6DCB">
        <w:t>In 201</w:t>
      </w:r>
      <w:r w:rsidR="005136DC">
        <w:t>6</w:t>
      </w:r>
      <w:r w:rsidR="006039C0">
        <w:noBreakHyphen/>
      </w:r>
      <w:r w:rsidR="00DA6DCB">
        <w:t>1</w:t>
      </w:r>
      <w:r w:rsidR="005136DC">
        <w:t>7</w:t>
      </w:r>
      <w:r w:rsidR="00DA6DCB">
        <w:t>, non-mining business investment was just over 9 per cent of GDP, a level comparable to the recessions of 1991 and 1982 (</w:t>
      </w:r>
      <w:r w:rsidR="006039C0" w:rsidRPr="005915D6">
        <w:t>Chart</w:t>
      </w:r>
      <w:r w:rsidR="00DA6DCB" w:rsidRPr="005915D6">
        <w:t xml:space="preserve"> 1). </w:t>
      </w:r>
      <w:r w:rsidR="00B32148" w:rsidRPr="005915D6">
        <w:t>The</w:t>
      </w:r>
      <w:r w:rsidR="00B32148">
        <w:t xml:space="preserve"> share of non-mining business investment as a per cent of GDP began to fall following the GFC</w:t>
      </w:r>
      <w:r w:rsidR="00DA43C1">
        <w:t>, and in recent years has fallen to around it</w:t>
      </w:r>
      <w:r w:rsidR="00591B45">
        <w:t>s</w:t>
      </w:r>
      <w:r w:rsidR="00DA43C1">
        <w:t xml:space="preserve"> lowest share of GDP since the 1950s.</w:t>
      </w:r>
    </w:p>
    <w:p w14:paraId="058FF623" w14:textId="0B5F0870" w:rsidR="00AD1916" w:rsidRPr="00F43E6F" w:rsidRDefault="00AD1916" w:rsidP="00691261">
      <w:pPr>
        <w:pStyle w:val="FigureMainHeading"/>
      </w:pPr>
      <w:bookmarkStart w:id="49" w:name="_Toc490237245"/>
      <w:bookmarkStart w:id="50" w:name="_Toc490729908"/>
      <w:bookmarkStart w:id="51" w:name="_Toc491081799"/>
      <w:bookmarkStart w:id="52" w:name="_Toc491108195"/>
      <w:r w:rsidRPr="00F43E6F">
        <w:t xml:space="preserve">Chart </w:t>
      </w:r>
      <w:r w:rsidR="00846AE0">
        <w:t>2</w:t>
      </w:r>
      <w:r w:rsidRPr="00F43E6F">
        <w:t xml:space="preserve">: </w:t>
      </w:r>
      <w:r w:rsidR="001426A4">
        <w:t>Business investment by i</w:t>
      </w:r>
      <w:r w:rsidR="00523D27">
        <w:t>ndustry</w:t>
      </w:r>
    </w:p>
    <w:p w14:paraId="7EE245C6" w14:textId="503CD9F0" w:rsidR="00AD1916" w:rsidRDefault="002D4A85" w:rsidP="002D4A85">
      <w:pPr>
        <w:pStyle w:val="ChartGraphic"/>
        <w:rPr>
          <w:highlight w:val="yellow"/>
        </w:rPr>
      </w:pPr>
      <w:r>
        <w:rPr>
          <w:noProof/>
          <w:lang w:eastAsia="en-AU"/>
        </w:rPr>
        <w:drawing>
          <wp:inline distT="0" distB="0" distL="0" distR="0" wp14:anchorId="61AA8FFC" wp14:editId="60BE0738">
            <wp:extent cx="5724000" cy="2628000"/>
            <wp:effectExtent l="0" t="0" r="0" b="12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99BAB73" w14:textId="2098FE34" w:rsidR="00AD1916" w:rsidRDefault="00AD1916" w:rsidP="002D4A85">
      <w:pPr>
        <w:pStyle w:val="Source"/>
      </w:pPr>
      <w:r w:rsidRPr="00F43E6F">
        <w:t xml:space="preserve">Source: </w:t>
      </w:r>
      <w:r>
        <w:t>ABS cat. no. 5204.0</w:t>
      </w:r>
      <w:r w:rsidR="003B2FBC">
        <w:t>.</w:t>
      </w:r>
    </w:p>
    <w:p w14:paraId="740D319E" w14:textId="665712AA" w:rsidR="00AD1916" w:rsidRDefault="00AD1916" w:rsidP="002D4A85">
      <w:pPr>
        <w:pStyle w:val="Source"/>
      </w:pPr>
      <w:r>
        <w:t>Notes: Household services include Healthcare and Social Assistance, Education and Training, Arts and Recreation services, and Accommodation and Food services. Business services include Financial and Insurance services, Administration and Support services, Professional, Scientific and Technical services, Rental, Hiring and Real Estate Services, and Information, Media and Telecommunications services. Goods-related industries include Agriculture, Wholesale Trade, Retail Trade, Transport, Postal and Warehousing, and Electricity, Gas, Water and Waste serv</w:t>
      </w:r>
      <w:r w:rsidR="00523D27">
        <w:t>ices.</w:t>
      </w:r>
    </w:p>
    <w:p w14:paraId="75F08106" w14:textId="77777777" w:rsidR="00AF6A5F" w:rsidRPr="00AF6A5F" w:rsidRDefault="00AF6A5F" w:rsidP="00AF6A5F"/>
    <w:p w14:paraId="2846D991" w14:textId="77777777" w:rsidR="00AF6A5F" w:rsidRPr="00AF6A5F" w:rsidRDefault="00AF6A5F" w:rsidP="00AF6A5F">
      <w:r w:rsidRPr="00AF6A5F">
        <w:br w:type="page"/>
      </w:r>
    </w:p>
    <w:p w14:paraId="59AA1A39" w14:textId="3DEE4FDE" w:rsidR="00402DE2" w:rsidRDefault="00402DE2" w:rsidP="00FE6924">
      <w:r>
        <w:t>The mining investment boom impacted activity in other sectors via spillovers. In the</w:t>
      </w:r>
      <w:r w:rsidR="000E36AC">
        <w:t xml:space="preserve"> resource-rich or ‘mining’ </w:t>
      </w:r>
      <w:r w:rsidR="001D5B52">
        <w:t>S</w:t>
      </w:r>
      <w:r>
        <w:t>tates a substantial proportion of the</w:t>
      </w:r>
      <w:r w:rsidRPr="00B37750">
        <w:t xml:space="preserve"> activi</w:t>
      </w:r>
      <w:r>
        <w:t>ty outside the mining industry</w:t>
      </w:r>
      <w:r w:rsidR="000E36AC">
        <w:t>,</w:t>
      </w:r>
      <w:r>
        <w:t xml:space="preserve"> during the boom</w:t>
      </w:r>
      <w:r w:rsidR="000E36AC">
        <w:t>,</w:t>
      </w:r>
      <w:r>
        <w:t xml:space="preserve"> was</w:t>
      </w:r>
      <w:r w:rsidRPr="00B37750">
        <w:t xml:space="preserve"> attributed to </w:t>
      </w:r>
      <w:r>
        <w:t xml:space="preserve">activity in relation to </w:t>
      </w:r>
      <w:r w:rsidRPr="00B37750">
        <w:t xml:space="preserve">resource extraction and investment. </w:t>
      </w:r>
      <w:r w:rsidR="005136DC">
        <w:t>The i</w:t>
      </w:r>
      <w:r w:rsidRPr="00B37750">
        <w:t xml:space="preserve">ndustries that benefited </w:t>
      </w:r>
      <w:r w:rsidR="005136DC">
        <w:t>the most were construction and</w:t>
      </w:r>
      <w:r w:rsidRPr="00B37750">
        <w:t xml:space="preserve"> business services</w:t>
      </w:r>
      <w:r w:rsidR="002C331D">
        <w:t xml:space="preserve"> (Chart 3)</w:t>
      </w:r>
      <w:r w:rsidR="00523D27">
        <w:t>.</w:t>
      </w:r>
    </w:p>
    <w:p w14:paraId="6DBCE78D" w14:textId="7676C035" w:rsidR="00402DE2" w:rsidRPr="00AA2B59" w:rsidRDefault="00402DE2" w:rsidP="00691261">
      <w:pPr>
        <w:pStyle w:val="FigureMainHeading"/>
      </w:pPr>
      <w:r w:rsidRPr="00AA2B59">
        <w:t xml:space="preserve">Chart </w:t>
      </w:r>
      <w:r>
        <w:t>3</w:t>
      </w:r>
      <w:r w:rsidRPr="00AA2B59">
        <w:t xml:space="preserve">: </w:t>
      </w:r>
      <w:r w:rsidR="00762382">
        <w:t>Industry share of gross value added</w:t>
      </w:r>
    </w:p>
    <w:p w14:paraId="030C0D2E" w14:textId="64531579" w:rsidR="00402DE2" w:rsidRDefault="00E967AD" w:rsidP="00E967AD">
      <w:pPr>
        <w:pStyle w:val="ChartGraphic"/>
      </w:pPr>
      <w:r>
        <w:object w:dxaOrig="8806" w:dyaOrig="4651" w14:anchorId="2FAEB4EC">
          <v:shape id="_x0000_i1026" type="#_x0000_t75" style="width:427pt;height:223.5pt" o:ole="">
            <v:imagedata r:id="rId48" o:title="" croptop="799f" cropbottom="1598f" cropleft="1266f" cropright="633f"/>
          </v:shape>
          <o:OLEObject Type="Link" ProgID="Excel.Sheet.12" ShapeID="_x0000_i1026" DrawAspect="Content" r:id="rId49" UpdateMode="Always">
            <o:LinkType>EnhancedMetaFile</o:LinkType>
            <o:LockedField>false</o:LockedField>
            <o:FieldCodes>\* MERGEFORMAT</o:FieldCodes>
          </o:OLEObject>
        </w:object>
      </w:r>
    </w:p>
    <w:p w14:paraId="0062420E" w14:textId="77777777" w:rsidR="00402DE2" w:rsidRPr="00E967AD" w:rsidRDefault="00402DE2" w:rsidP="00E967AD">
      <w:pPr>
        <w:pStyle w:val="Source"/>
      </w:pPr>
      <w:r w:rsidRPr="00E967AD">
        <w:t>Source: ABS cat. nos. 5204.0, 5206.0, 5625.0, 8412.0 and Treasury.</w:t>
      </w:r>
    </w:p>
    <w:p w14:paraId="2AFC4E16" w14:textId="3BEE6D65" w:rsidR="00AF6A5F" w:rsidRDefault="00AF6A5F" w:rsidP="00AF6A5F">
      <w:pPr>
        <w:pStyle w:val="SingleParagraph"/>
      </w:pPr>
    </w:p>
    <w:p w14:paraId="1E1F2F27" w14:textId="44E78F9C" w:rsidR="00402DE2" w:rsidRDefault="00485AED" w:rsidP="00FE6924">
      <w:r>
        <w:rPr>
          <w:noProof/>
          <w:lang w:eastAsia="en-AU"/>
        </w:rPr>
        <w:drawing>
          <wp:anchor distT="0" distB="0" distL="114300" distR="114300" simplePos="0" relativeHeight="251651584" behindDoc="0" locked="0" layoutInCell="1" allowOverlap="1" wp14:anchorId="4E0AF5C9" wp14:editId="271CF510">
            <wp:simplePos x="0" y="0"/>
            <wp:positionH relativeFrom="column">
              <wp:posOffset>4078605</wp:posOffset>
            </wp:positionH>
            <wp:positionV relativeFrom="paragraph">
              <wp:posOffset>12700</wp:posOffset>
            </wp:positionV>
            <wp:extent cx="1675765" cy="692150"/>
            <wp:effectExtent l="0" t="0" r="635" b="0"/>
            <wp:wrapSquare wrapText="bothSides"/>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2017\Reports and Reviews\Intergovernmental Review of Business Investment\pullQuote-07.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1964" t="8144" r="11859" b="9228"/>
                    <a:stretch/>
                  </pic:blipFill>
                  <pic:spPr bwMode="auto">
                    <a:xfrm>
                      <a:off x="0" y="0"/>
                      <a:ext cx="1675765" cy="69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DE2" w:rsidRPr="00B37750">
        <w:t xml:space="preserve">With the contraction of mining investment </w:t>
      </w:r>
      <w:r w:rsidR="00402DE2">
        <w:t>in recent years</w:t>
      </w:r>
      <w:r w:rsidR="00402DE2" w:rsidRPr="00B37750">
        <w:t>, these spillover</w:t>
      </w:r>
      <w:r w:rsidR="00402DE2">
        <w:t>s</w:t>
      </w:r>
      <w:r w:rsidR="00402DE2" w:rsidRPr="00B37750">
        <w:t xml:space="preserve"> </w:t>
      </w:r>
      <w:r w:rsidR="000E36AC">
        <w:t xml:space="preserve">have </w:t>
      </w:r>
      <w:r w:rsidR="00402DE2" w:rsidRPr="00B37750">
        <w:t>be</w:t>
      </w:r>
      <w:r w:rsidR="000E36AC">
        <w:t>en</w:t>
      </w:r>
      <w:r w:rsidR="00402DE2" w:rsidRPr="00B37750">
        <w:t xml:space="preserve"> operating in reverse</w:t>
      </w:r>
      <w:r w:rsidR="00402DE2">
        <w:t xml:space="preserve">. The downturn in mining construction </w:t>
      </w:r>
      <w:r w:rsidR="000E36AC">
        <w:t xml:space="preserve">has </w:t>
      </w:r>
      <w:r w:rsidR="00402DE2">
        <w:t>in some cases hurt investment and activity in mining-exposed industries. While it is difficult to be precise about the links</w:t>
      </w:r>
      <w:r w:rsidR="005A2AA2">
        <w:t>,</w:t>
      </w:r>
      <w:r w:rsidR="00402DE2">
        <w:t xml:space="preserve"> it is clear that</w:t>
      </w:r>
      <w:r w:rsidR="000E36AC">
        <w:t>,</w:t>
      </w:r>
      <w:r w:rsidR="00402DE2">
        <w:t xml:space="preserve"> </w:t>
      </w:r>
      <w:r w:rsidR="000E36AC">
        <w:t xml:space="preserve">in recent times, </w:t>
      </w:r>
      <w:r w:rsidR="00402DE2">
        <w:t>non</w:t>
      </w:r>
      <w:r w:rsidR="00402DE2">
        <w:noBreakHyphen/>
        <w:t xml:space="preserve">mining business investment has been weakest in the resource-rich </w:t>
      </w:r>
      <w:r w:rsidR="001D5B52">
        <w:t>S</w:t>
      </w:r>
      <w:r w:rsidR="00402DE2">
        <w:t>tates of Western</w:t>
      </w:r>
      <w:r w:rsidR="001D5B52">
        <w:t> </w:t>
      </w:r>
      <w:r w:rsidR="00402DE2">
        <w:t>Australia and Queensland (Chart</w:t>
      </w:r>
      <w:r w:rsidR="00633A3E">
        <w:t> </w:t>
      </w:r>
      <w:r w:rsidR="00402DE2">
        <w:t xml:space="preserve">4). However these headwinds </w:t>
      </w:r>
      <w:r w:rsidR="003D54F0">
        <w:t>seem to be easing</w:t>
      </w:r>
      <w:r w:rsidR="00402DE2">
        <w:t xml:space="preserve"> as mining </w:t>
      </w:r>
      <w:r w:rsidR="003D54F0">
        <w:t xml:space="preserve">investment </w:t>
      </w:r>
      <w:r w:rsidR="00402DE2">
        <w:t>stabilises</w:t>
      </w:r>
      <w:r w:rsidR="000E36AC">
        <w:t xml:space="preserve"> and some contacts we</w:t>
      </w:r>
      <w:r w:rsidR="00DC4B63">
        <w:t>re upbeat in this regard</w:t>
      </w:r>
      <w:r w:rsidR="00402DE2">
        <w:t>.</w:t>
      </w:r>
    </w:p>
    <w:p w14:paraId="72F12FE6" w14:textId="2ADCC8F1" w:rsidR="00D86842" w:rsidRDefault="00D86842" w:rsidP="00FE6924">
      <w:pPr>
        <w:pStyle w:val="Bullet"/>
      </w:pPr>
      <w:r w:rsidRPr="00535DA6">
        <w:t>W</w:t>
      </w:r>
      <w:r>
        <w:t xml:space="preserve">estern </w:t>
      </w:r>
      <w:r w:rsidRPr="00535DA6">
        <w:t>A</w:t>
      </w:r>
      <w:r>
        <w:t>ustralian</w:t>
      </w:r>
      <w:r w:rsidRPr="00535DA6">
        <w:t xml:space="preserve"> </w:t>
      </w:r>
      <w:r>
        <w:t xml:space="preserve">mining sector </w:t>
      </w:r>
      <w:r w:rsidRPr="00535DA6">
        <w:t xml:space="preserve">businesses </w:t>
      </w:r>
      <w:r>
        <w:t xml:space="preserve">report that they are cautiously optimistic about </w:t>
      </w:r>
      <w:r w:rsidR="005A2AA2">
        <w:t xml:space="preserve">the </w:t>
      </w:r>
      <w:r>
        <w:t xml:space="preserve">prospects for the economy </w:t>
      </w:r>
      <w:r w:rsidR="005A2AA2">
        <w:t xml:space="preserve">in Western Australia </w:t>
      </w:r>
      <w:r>
        <w:t>given demand is currently the highest it has been in the past three years and there is a pick-up in mining exploration and investment.</w:t>
      </w:r>
    </w:p>
    <w:p w14:paraId="2D60A098" w14:textId="55A3AFFE" w:rsidR="00402DE2" w:rsidRDefault="00402DE2" w:rsidP="00FE6924">
      <w:pPr>
        <w:pStyle w:val="Bullet"/>
      </w:pPr>
      <w:r w:rsidRPr="00535DA6">
        <w:t>One contact in W</w:t>
      </w:r>
      <w:r>
        <w:t xml:space="preserve">estern </w:t>
      </w:r>
      <w:r w:rsidRPr="00535DA6">
        <w:t>A</w:t>
      </w:r>
      <w:r>
        <w:t>ustralia</w:t>
      </w:r>
      <w:r w:rsidRPr="00535DA6">
        <w:t xml:space="preserve"> commented that profit expectations is the biggest factor in business investment decisions and</w:t>
      </w:r>
      <w:r>
        <w:t>,</w:t>
      </w:r>
      <w:r w:rsidRPr="00535DA6">
        <w:t xml:space="preserve"> with excess capacity and weak demand, firms </w:t>
      </w:r>
      <w:r w:rsidR="005A2AA2">
        <w:t xml:space="preserve">have been </w:t>
      </w:r>
      <w:r w:rsidRPr="00535DA6">
        <w:t>looking to do more with what they have</w:t>
      </w:r>
      <w:r>
        <w:t>,</w:t>
      </w:r>
      <w:r w:rsidRPr="00535DA6">
        <w:t xml:space="preserve"> rather than investing in new projects.</w:t>
      </w:r>
      <w:r>
        <w:t xml:space="preserve"> </w:t>
      </w:r>
      <w:r w:rsidRPr="00535DA6">
        <w:t xml:space="preserve">Despite this, consumer confidence </w:t>
      </w:r>
      <w:r>
        <w:t>has recovered to</w:t>
      </w:r>
      <w:r w:rsidRPr="00535DA6">
        <w:t xml:space="preserve"> a three</w:t>
      </w:r>
      <w:r>
        <w:t>-</w:t>
      </w:r>
      <w:r w:rsidRPr="00535DA6">
        <w:t>year high</w:t>
      </w:r>
      <w:r>
        <w:t xml:space="preserve"> and some businesses are optimistic and restructuring their businesses in line </w:t>
      </w:r>
      <w:r w:rsidR="00523D27">
        <w:t>with the changed circumstances.</w:t>
      </w:r>
    </w:p>
    <w:p w14:paraId="1512AE96" w14:textId="5A32CCC4" w:rsidR="00402DE2" w:rsidRDefault="00402DE2" w:rsidP="00D86842"/>
    <w:p w14:paraId="3B514A41" w14:textId="1F3C66B1" w:rsidR="00402DE2" w:rsidRDefault="00402DE2" w:rsidP="00691261">
      <w:pPr>
        <w:pStyle w:val="FigureMainHeading"/>
      </w:pPr>
      <w:r w:rsidRPr="00AA2B59">
        <w:t xml:space="preserve">Chart </w:t>
      </w:r>
      <w:r>
        <w:t>4</w:t>
      </w:r>
      <w:r w:rsidRPr="00AA2B59">
        <w:t>: Non-mining investment has been weaker in the minin</w:t>
      </w:r>
      <w:r w:rsidR="0050677C">
        <w:t>g S</w:t>
      </w:r>
      <w:r w:rsidRPr="00AA2B59">
        <w:t>tates</w:t>
      </w:r>
    </w:p>
    <w:p w14:paraId="50D53AC5" w14:textId="5F4F4550" w:rsidR="002D4A85" w:rsidRPr="00AA2B59" w:rsidRDefault="002D4A85" w:rsidP="00DA194B">
      <w:pPr>
        <w:pStyle w:val="ChartGraphic"/>
      </w:pPr>
      <w:r w:rsidRPr="00DA194B">
        <w:rPr>
          <w:noProof/>
          <w:lang w:eastAsia="en-AU"/>
        </w:rPr>
        <w:drawing>
          <wp:inline distT="0" distB="0" distL="0" distR="0" wp14:anchorId="7F22FAEE" wp14:editId="3BA54CBC">
            <wp:extent cx="5443267" cy="2432649"/>
            <wp:effectExtent l="0" t="0" r="508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546" t="1716" r="927" b="1538"/>
                    <a:stretch/>
                  </pic:blipFill>
                  <pic:spPr bwMode="auto">
                    <a:xfrm>
                      <a:off x="0" y="0"/>
                      <a:ext cx="5443619" cy="2432806"/>
                    </a:xfrm>
                    <a:prstGeom prst="rect">
                      <a:avLst/>
                    </a:prstGeom>
                    <a:noFill/>
                    <a:ln>
                      <a:noFill/>
                    </a:ln>
                    <a:extLst>
                      <a:ext uri="{53640926-AAD7-44D8-BBD7-CCE9431645EC}">
                        <a14:shadowObscured xmlns:a14="http://schemas.microsoft.com/office/drawing/2010/main"/>
                      </a:ext>
                    </a:extLst>
                  </pic:spPr>
                </pic:pic>
              </a:graphicData>
            </a:graphic>
          </wp:inline>
        </w:drawing>
      </w:r>
    </w:p>
    <w:p w14:paraId="213B4889" w14:textId="35846ADC" w:rsidR="00402DE2" w:rsidRPr="00DA194B" w:rsidRDefault="00402DE2" w:rsidP="00DA194B">
      <w:pPr>
        <w:pStyle w:val="Source"/>
      </w:pPr>
      <w:r w:rsidRPr="00DA194B">
        <w:t>Source: ABS cat. nos. 5204.0, 5206.</w:t>
      </w:r>
      <w:r w:rsidR="00523D27">
        <w:t>0, 5625.0, 8412.0 and Treasury.</w:t>
      </w:r>
    </w:p>
    <w:p w14:paraId="7A5A7D04" w14:textId="2206146F" w:rsidR="00402DE2" w:rsidRPr="00DA194B" w:rsidRDefault="00402DE2" w:rsidP="00DA194B">
      <w:pPr>
        <w:pStyle w:val="Source"/>
      </w:pPr>
      <w:r w:rsidRPr="00DA194B">
        <w:t>Note: Investment is in nominal dollars. Figures have been interpolated between industries and States using relevant benchmarks to capt</w:t>
      </w:r>
      <w:r w:rsidR="0050677C" w:rsidRPr="00DA194B">
        <w:t>ure estimated activity. Mining S</w:t>
      </w:r>
      <w:r w:rsidRPr="00DA194B">
        <w:t xml:space="preserve">tates </w:t>
      </w:r>
      <w:r w:rsidR="00523D27">
        <w:t>consists of QLD, WA and the NT.</w:t>
      </w:r>
    </w:p>
    <w:p w14:paraId="6F99FB3D" w14:textId="7219A005" w:rsidR="00077A59" w:rsidRDefault="00077A59" w:rsidP="00077A59">
      <w:pPr>
        <w:pStyle w:val="SingleParagraph"/>
      </w:pPr>
    </w:p>
    <w:p w14:paraId="43B2D48E" w14:textId="5C1CC69E" w:rsidR="00365C46" w:rsidRDefault="00526CA4" w:rsidP="006358CE">
      <w:r>
        <w:rPr>
          <w:noProof/>
          <w:lang w:eastAsia="en-AU"/>
        </w:rPr>
        <w:drawing>
          <wp:anchor distT="0" distB="0" distL="114300" distR="114300" simplePos="0" relativeHeight="251652608" behindDoc="0" locked="0" layoutInCell="1" allowOverlap="1" wp14:anchorId="38BA161F" wp14:editId="0AD967C7">
            <wp:simplePos x="0" y="0"/>
            <wp:positionH relativeFrom="column">
              <wp:posOffset>3592195</wp:posOffset>
            </wp:positionH>
            <wp:positionV relativeFrom="paragraph">
              <wp:posOffset>582295</wp:posOffset>
            </wp:positionV>
            <wp:extent cx="2159635" cy="846000"/>
            <wp:effectExtent l="0" t="0" r="0" b="0"/>
            <wp:wrapSquare wrapText="bothSides"/>
            <wp:docPr id="693" name="Pictur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Z:\2017\Reports and Reviews\Intergovernmental Review of Business Investment\pullQuote-08.p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159635" cy="84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C46">
        <w:t>T</w:t>
      </w:r>
      <w:r w:rsidR="006358CE">
        <w:t>he mining investment boom</w:t>
      </w:r>
      <w:r w:rsidR="00402DE2">
        <w:t xml:space="preserve"> </w:t>
      </w:r>
      <w:r w:rsidR="006358CE">
        <w:t xml:space="preserve">indirectly impacted overall economic activity and investment via a higher exchange rate. Between 2002-03 and 2012-13, Australia’s trade weighted exchange rate appreciated by over 40 per cent. </w:t>
      </w:r>
      <w:r w:rsidR="00365C46">
        <w:t>This reduced the competitiveness of the international</w:t>
      </w:r>
      <w:r w:rsidR="002C2B23">
        <w:t>ly</w:t>
      </w:r>
      <w:r w:rsidR="00365C46">
        <w:t xml:space="preserve"> exposed industries, particularly the manufacturing sector. </w:t>
      </w:r>
      <w:r w:rsidR="00365C46">
        <w:rPr>
          <w:rFonts w:asciiTheme="minorHAnsi" w:hAnsiTheme="minorHAnsi"/>
          <w:lang w:eastAsia="en-AU"/>
        </w:rPr>
        <w:t>T</w:t>
      </w:r>
      <w:r w:rsidR="00365C46">
        <w:rPr>
          <w:noProof/>
          <w:lang w:eastAsia="en-AU"/>
        </w:rPr>
        <w:t>he surge in investment in the mining sector and income spillovers in the rest of the economy put upward pressure on labour costs.</w:t>
      </w:r>
      <w:r w:rsidR="00365C46" w:rsidRPr="00365C46">
        <w:rPr>
          <w:noProof/>
          <w:lang w:eastAsia="en-AU"/>
        </w:rPr>
        <w:t xml:space="preserve"> </w:t>
      </w:r>
      <w:r w:rsidR="00365C46">
        <w:rPr>
          <w:noProof/>
          <w:lang w:eastAsia="en-AU"/>
        </w:rPr>
        <w:t xml:space="preserve">The higher exchange rate and labour costs created challenges for some traded industries </w:t>
      </w:r>
      <w:r w:rsidR="00432F0F">
        <w:rPr>
          <w:noProof/>
          <w:lang w:eastAsia="en-AU"/>
        </w:rPr>
        <w:t>(</w:t>
      </w:r>
      <w:r w:rsidR="00365C46">
        <w:rPr>
          <w:noProof/>
          <w:lang w:eastAsia="en-AU"/>
        </w:rPr>
        <w:t>outside of the booming mining industry</w:t>
      </w:r>
      <w:r w:rsidR="00432F0F">
        <w:rPr>
          <w:noProof/>
          <w:lang w:eastAsia="en-AU"/>
        </w:rPr>
        <w:t>)</w:t>
      </w:r>
      <w:r w:rsidR="00633A3E">
        <w:rPr>
          <w:noProof/>
          <w:lang w:eastAsia="en-AU"/>
        </w:rPr>
        <w:t>.</w:t>
      </w:r>
    </w:p>
    <w:p w14:paraId="3D4207BC" w14:textId="7E8FD033" w:rsidR="006358CE" w:rsidRPr="00AF6A5F" w:rsidRDefault="006358CE" w:rsidP="00AF6A5F">
      <w:pPr>
        <w:pStyle w:val="Bullet"/>
      </w:pPr>
      <w:r w:rsidRPr="00AF6A5F">
        <w:t>The impact of the</w:t>
      </w:r>
      <w:r w:rsidR="00D118B0" w:rsidRPr="00AF6A5F">
        <w:t xml:space="preserve">se substitution </w:t>
      </w:r>
      <w:r w:rsidR="005A2AA2" w:rsidRPr="00AF6A5F">
        <w:t>effects</w:t>
      </w:r>
      <w:r w:rsidRPr="00AF6A5F">
        <w:t xml:space="preserve"> </w:t>
      </w:r>
      <w:r w:rsidR="00D118B0" w:rsidRPr="00AF6A5F">
        <w:t>were</w:t>
      </w:r>
      <w:r w:rsidRPr="00AF6A5F">
        <w:t xml:space="preserve"> referenced by contacts in the non-mining sectors</w:t>
      </w:r>
      <w:r w:rsidR="005A2AA2" w:rsidRPr="00AF6A5F">
        <w:t>, w</w:t>
      </w:r>
      <w:r w:rsidR="00D118B0" w:rsidRPr="00AF6A5F">
        <w:t>ith both</w:t>
      </w:r>
      <w:r w:rsidRPr="00AF6A5F">
        <w:t xml:space="preserve"> the exchange rate channel</w:t>
      </w:r>
      <w:r w:rsidR="00D118B0" w:rsidRPr="00AF6A5F">
        <w:t xml:space="preserve"> and the</w:t>
      </w:r>
      <w:r w:rsidRPr="00AF6A5F">
        <w:t xml:space="preserve"> pushing up </w:t>
      </w:r>
      <w:r w:rsidR="00D118B0" w:rsidRPr="00AF6A5F">
        <w:t xml:space="preserve">of </w:t>
      </w:r>
      <w:r w:rsidRPr="00AF6A5F">
        <w:t>wages for</w:t>
      </w:r>
      <w:r w:rsidR="008063AD">
        <w:t xml:space="preserve"> blue and white-collar workers.</w:t>
      </w:r>
    </w:p>
    <w:p w14:paraId="292F8C44" w14:textId="1F7EA02B" w:rsidR="001E7B88" w:rsidRDefault="001E7B88" w:rsidP="001E7B88">
      <w:r>
        <w:t>While the impacts on</w:t>
      </w:r>
      <w:r w:rsidDel="00685163">
        <w:t xml:space="preserve"> </w:t>
      </w:r>
      <w:r>
        <w:t xml:space="preserve">labour costs were experienced more broadly around the country, these were particularly acute in the </w:t>
      </w:r>
      <w:r w:rsidR="00F90055">
        <w:t>mining</w:t>
      </w:r>
      <w:r>
        <w:t xml:space="preserve"> </w:t>
      </w:r>
      <w:r w:rsidR="0050677C">
        <w:t>S</w:t>
      </w:r>
      <w:r>
        <w:t>tates and are only slowly unwinding po</w:t>
      </w:r>
      <w:r w:rsidR="008063AD">
        <w:t>st-boom.</w:t>
      </w:r>
    </w:p>
    <w:p w14:paraId="2024E5CC" w14:textId="7689D213" w:rsidR="001E7B88" w:rsidRDefault="001E7B88" w:rsidP="00FE6924">
      <w:pPr>
        <w:pStyle w:val="Bullet"/>
      </w:pPr>
      <w:r>
        <w:t>Contacts in the Northern Territory were concerned that the gas and mining investment boom had driven up wages, due to labour shortages, which remain high as wages are downwardly sticky. One contact stated that the high wage economy and competition for labour has been particularly challenging for SMEs trying to compet</w:t>
      </w:r>
      <w:r w:rsidR="008063AD">
        <w:t xml:space="preserve">e with the huge </w:t>
      </w:r>
      <w:r w:rsidR="003B2FBC">
        <w:t>liquefied natural gas (</w:t>
      </w:r>
      <w:r w:rsidR="008063AD">
        <w:t>LNG</w:t>
      </w:r>
      <w:r w:rsidR="003B2FBC">
        <w:t>)</w:t>
      </w:r>
      <w:r w:rsidR="008063AD">
        <w:t xml:space="preserve"> operations.</w:t>
      </w:r>
    </w:p>
    <w:p w14:paraId="42907576" w14:textId="071641E4" w:rsidR="001E7B88" w:rsidRDefault="001E7B88" w:rsidP="00FE6924">
      <w:pPr>
        <w:pStyle w:val="Bullet"/>
      </w:pPr>
      <w:r w:rsidRPr="00AF6561">
        <w:t>Some contacts in W</w:t>
      </w:r>
      <w:r>
        <w:t xml:space="preserve">estern </w:t>
      </w:r>
      <w:r w:rsidRPr="00AF6561">
        <w:t>A</w:t>
      </w:r>
      <w:r>
        <w:t>ustralia</w:t>
      </w:r>
      <w:r w:rsidRPr="00AF6561">
        <w:t xml:space="preserve"> </w:t>
      </w:r>
      <w:r>
        <w:t>shared</w:t>
      </w:r>
      <w:r w:rsidRPr="00AF6561">
        <w:t xml:space="preserve"> concerns around demands for wages being slow to adjust downward in </w:t>
      </w:r>
      <w:r>
        <w:t xml:space="preserve">response to the changed economy. </w:t>
      </w:r>
      <w:r w:rsidR="00DC4B63">
        <w:t>S</w:t>
      </w:r>
      <w:r>
        <w:t>ome contacts did provide</w:t>
      </w:r>
      <w:r w:rsidRPr="00AF6561">
        <w:t xml:space="preserve"> examples </w:t>
      </w:r>
      <w:r>
        <w:t>of wages coming down – but often through hiring processes rather than it being easy to lower wage</w:t>
      </w:r>
      <w:r w:rsidR="008063AD">
        <w:t>s for people in existing roles.</w:t>
      </w:r>
    </w:p>
    <w:p w14:paraId="76F72209" w14:textId="77777777" w:rsidR="00077A59" w:rsidRDefault="00077A59">
      <w:pPr>
        <w:spacing w:after="200" w:line="276" w:lineRule="auto"/>
      </w:pPr>
      <w:r>
        <w:br w:type="page"/>
      </w:r>
    </w:p>
    <w:p w14:paraId="3AF70C1B" w14:textId="33A6806B" w:rsidR="006358CE" w:rsidRDefault="00F90055" w:rsidP="006358CE">
      <w:r>
        <w:t xml:space="preserve">The unprecedented surge in demand and activity in the mining sector and the subsequent contraction have </w:t>
      </w:r>
      <w:r w:rsidR="00432F0F">
        <w:t>impacted</w:t>
      </w:r>
      <w:r>
        <w:t xml:space="preserve"> employment in the </w:t>
      </w:r>
      <w:r w:rsidR="00432F0F">
        <w:t xml:space="preserve">mining </w:t>
      </w:r>
      <w:r w:rsidR="0050677C">
        <w:t>S</w:t>
      </w:r>
      <w:r>
        <w:t xml:space="preserve">tates and more broadly. </w:t>
      </w:r>
      <w:r w:rsidR="008A66C0">
        <w:t>The impacts on</w:t>
      </w:r>
      <w:r w:rsidR="006358CE">
        <w:t xml:space="preserve"> </w:t>
      </w:r>
      <w:r w:rsidR="006F4883">
        <w:t>employment</w:t>
      </w:r>
      <w:r>
        <w:t xml:space="preserve"> </w:t>
      </w:r>
      <w:r w:rsidR="00271E40">
        <w:t xml:space="preserve">have, </w:t>
      </w:r>
      <w:r>
        <w:t>in turn</w:t>
      </w:r>
      <w:r w:rsidR="00271E40">
        <w:t>,</w:t>
      </w:r>
      <w:r w:rsidR="0073226C">
        <w:t xml:space="preserve"> </w:t>
      </w:r>
      <w:r w:rsidR="00271E40">
        <w:t xml:space="preserve">had </w:t>
      </w:r>
      <w:r w:rsidR="0073226C">
        <w:t>impact</w:t>
      </w:r>
      <w:r>
        <w:t>s on</w:t>
      </w:r>
      <w:r w:rsidR="006F4883">
        <w:t xml:space="preserve"> consumer spending, housing and </w:t>
      </w:r>
      <w:r w:rsidR="009D7F7E">
        <w:t>regional population movements.</w:t>
      </w:r>
    </w:p>
    <w:p w14:paraId="46D5ABF3" w14:textId="318F7A1D" w:rsidR="00B8379F" w:rsidRDefault="006358CE" w:rsidP="00FE6924">
      <w:pPr>
        <w:pStyle w:val="Bullet"/>
      </w:pPr>
      <w:r>
        <w:t xml:space="preserve">Stakeholders in Western Australia suggested that the unwinding of the mining boom phase has had significant impacts on the real estate sector, noting falling housing prices and rental yields, and increased </w:t>
      </w:r>
      <w:r w:rsidRPr="00385DAC">
        <w:t>rental vacancy rates</w:t>
      </w:r>
      <w:r>
        <w:t xml:space="preserve">. </w:t>
      </w:r>
      <w:r w:rsidRPr="00385DAC">
        <w:t xml:space="preserve">Investment in dwellings has reduced significantly in the </w:t>
      </w:r>
      <w:r>
        <w:t>p</w:t>
      </w:r>
      <w:r w:rsidRPr="00385DAC">
        <w:t>ast financial year</w:t>
      </w:r>
      <w:r>
        <w:t>.</w:t>
      </w:r>
    </w:p>
    <w:p w14:paraId="13CE097E" w14:textId="65321E30" w:rsidR="006358CE" w:rsidRPr="00385DAC" w:rsidRDefault="005A2AA2" w:rsidP="00FE6924">
      <w:pPr>
        <w:pStyle w:val="Bullet"/>
      </w:pPr>
      <w:r>
        <w:t>By</w:t>
      </w:r>
      <w:r w:rsidR="006358CE">
        <w:t xml:space="preserve"> contrast, contacts in Victoria described how the winding down of the mining boom has seen record interstate migration inflows</w:t>
      </w:r>
      <w:r w:rsidR="006358CE" w:rsidRPr="001D2F0C">
        <w:t xml:space="preserve"> </w:t>
      </w:r>
      <w:r w:rsidR="006358CE">
        <w:t>that have contributed to strong population growth in Victoria</w:t>
      </w:r>
      <w:r w:rsidR="006358CE" w:rsidRPr="00102AEF">
        <w:t xml:space="preserve"> </w:t>
      </w:r>
      <w:r w:rsidR="006358CE">
        <w:t xml:space="preserve">in recent years (Chart </w:t>
      </w:r>
      <w:r w:rsidR="002D0CD2">
        <w:t>5</w:t>
      </w:r>
      <w:r w:rsidR="006358CE">
        <w:t>). This has contributed to strong economic growth and helped maintain lower wage inflation in booming sectors such as construction.</w:t>
      </w:r>
    </w:p>
    <w:p w14:paraId="79FF3A93" w14:textId="193FC1EE" w:rsidR="006358CE" w:rsidRPr="005915D6" w:rsidRDefault="006358CE" w:rsidP="00691261">
      <w:pPr>
        <w:pStyle w:val="FigureMainHeading"/>
      </w:pPr>
      <w:bookmarkStart w:id="53" w:name="_Toc490237248"/>
      <w:bookmarkStart w:id="54" w:name="_Toc490729911"/>
      <w:bookmarkStart w:id="55" w:name="_Toc491081802"/>
      <w:bookmarkStart w:id="56" w:name="_Toc491108196"/>
      <w:r w:rsidRPr="005915D6">
        <w:t xml:space="preserve">Chart </w:t>
      </w:r>
      <w:r w:rsidR="002D0CD2">
        <w:t>5</w:t>
      </w:r>
      <w:r w:rsidRPr="005915D6">
        <w:t>: 2015-16 interstate migration inflows to Victoria</w:t>
      </w:r>
    </w:p>
    <w:p w14:paraId="4F770FDD" w14:textId="5E315961" w:rsidR="006358CE" w:rsidRDefault="002D4A85" w:rsidP="002D4A85">
      <w:pPr>
        <w:pStyle w:val="ChartGraphic"/>
      </w:pPr>
      <w:r w:rsidRPr="005915D6">
        <w:rPr>
          <w:b/>
          <w:noProof/>
          <w:lang w:eastAsia="en-AU"/>
        </w:rPr>
        <w:drawing>
          <wp:inline distT="0" distB="0" distL="0" distR="0" wp14:anchorId="57F0EC03" wp14:editId="0E8CE101">
            <wp:extent cx="3001992" cy="2672212"/>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6935" r="2043" b="2508"/>
                    <a:stretch/>
                  </pic:blipFill>
                  <pic:spPr bwMode="auto">
                    <a:xfrm>
                      <a:off x="0" y="0"/>
                      <a:ext cx="3015976" cy="2684659"/>
                    </a:xfrm>
                    <a:prstGeom prst="rect">
                      <a:avLst/>
                    </a:prstGeom>
                    <a:ln>
                      <a:noFill/>
                    </a:ln>
                    <a:extLst>
                      <a:ext uri="{53640926-AAD7-44D8-BBD7-CCE9431645EC}">
                        <a14:shadowObscured xmlns:a14="http://schemas.microsoft.com/office/drawing/2010/main"/>
                      </a:ext>
                    </a:extLst>
                  </pic:spPr>
                </pic:pic>
              </a:graphicData>
            </a:graphic>
          </wp:inline>
        </w:drawing>
      </w:r>
    </w:p>
    <w:p w14:paraId="3E9B862A" w14:textId="47E76C4B" w:rsidR="006358CE" w:rsidRPr="001B7CFB" w:rsidRDefault="006358CE" w:rsidP="001B7CFB">
      <w:pPr>
        <w:pStyle w:val="Source"/>
      </w:pPr>
      <w:r w:rsidRPr="001B7CFB">
        <w:t>Source: Victorian Department of Treasury and Finance, ABS cat no. 3101.0</w:t>
      </w:r>
      <w:r w:rsidR="003B2FBC">
        <w:t>.</w:t>
      </w:r>
    </w:p>
    <w:bookmarkEnd w:id="53"/>
    <w:bookmarkEnd w:id="54"/>
    <w:bookmarkEnd w:id="55"/>
    <w:bookmarkEnd w:id="56"/>
    <w:p w14:paraId="11CE7B7E" w14:textId="77777777" w:rsidR="008063AD" w:rsidRDefault="008063AD" w:rsidP="008063AD">
      <w:pPr>
        <w:pStyle w:val="SingleParagraph"/>
        <w:rPr>
          <w:noProof/>
          <w:lang w:eastAsia="en-AU"/>
        </w:rPr>
      </w:pPr>
    </w:p>
    <w:p w14:paraId="1F6DB812" w14:textId="02E73838" w:rsidR="00AF6A5F" w:rsidRDefault="00271E40" w:rsidP="00DA194B">
      <w:pPr>
        <w:rPr>
          <w:rFonts w:asciiTheme="minorHAnsi" w:hAnsiTheme="minorHAnsi"/>
          <w:noProof/>
          <w:lang w:eastAsia="en-AU"/>
        </w:rPr>
      </w:pPr>
      <w:r>
        <w:rPr>
          <w:noProof/>
          <w:lang w:eastAsia="en-AU"/>
        </w:rPr>
        <w:t>T</w:t>
      </w:r>
      <w:r w:rsidR="00846AE0" w:rsidRPr="00835132">
        <w:t xml:space="preserve">he strong demand for labour and capital in the mining sector </w:t>
      </w:r>
      <w:r w:rsidR="00846AE0">
        <w:t xml:space="preserve">has </w:t>
      </w:r>
      <w:r w:rsidR="00846AE0" w:rsidRPr="00835132">
        <w:t>waned</w:t>
      </w:r>
      <w:r>
        <w:t xml:space="preserve"> in recent years,</w:t>
      </w:r>
      <w:r w:rsidR="00846AE0" w:rsidRPr="00835132">
        <w:t xml:space="preserve"> </w:t>
      </w:r>
      <w:r>
        <w:t>in theory</w:t>
      </w:r>
      <w:r w:rsidRPr="00835132">
        <w:t xml:space="preserve"> </w:t>
      </w:r>
      <w:r w:rsidR="00846AE0" w:rsidRPr="00835132">
        <w:t>freeing these inputs to move to other activities</w:t>
      </w:r>
      <w:r w:rsidR="00846AE0">
        <w:t xml:space="preserve">. </w:t>
      </w:r>
      <w:r w:rsidR="001C7AA3">
        <w:t>R</w:t>
      </w:r>
      <w:r w:rsidR="00846AE0">
        <w:t xml:space="preserve">esidential property </w:t>
      </w:r>
      <w:r w:rsidR="001C7AA3">
        <w:t>prices have risen strongly</w:t>
      </w:r>
      <w:r w:rsidR="001E1453">
        <w:t xml:space="preserve"> in </w:t>
      </w:r>
      <w:r w:rsidR="00174F29">
        <w:t>some</w:t>
      </w:r>
      <w:r w:rsidR="001E1453">
        <w:t xml:space="preserve"> parts of Australia</w:t>
      </w:r>
      <w:r w:rsidR="001C7AA3">
        <w:t xml:space="preserve">, </w:t>
      </w:r>
      <w:r w:rsidR="00846AE0">
        <w:t xml:space="preserve">supported by strong population growth </w:t>
      </w:r>
      <w:r w:rsidR="001C7AA3">
        <w:t>and</w:t>
      </w:r>
      <w:r w:rsidR="00846AE0">
        <w:t xml:space="preserve"> </w:t>
      </w:r>
      <w:r w:rsidR="00846AE0">
        <w:rPr>
          <w:noProof/>
          <w:lang w:eastAsia="en-AU"/>
        </w:rPr>
        <w:t xml:space="preserve">low interest rates. </w:t>
      </w:r>
      <w:r w:rsidR="001C7AA3">
        <w:rPr>
          <w:noProof/>
          <w:lang w:eastAsia="en-AU"/>
        </w:rPr>
        <w:t xml:space="preserve">With the freeing of resources from the mining sector and rising house prices, construction activity has been strong. </w:t>
      </w:r>
      <w:r w:rsidR="00846AE0">
        <w:rPr>
          <w:noProof/>
          <w:lang w:eastAsia="en-AU"/>
        </w:rPr>
        <w:t xml:space="preserve">However, </w:t>
      </w:r>
      <w:r w:rsidR="003D54F0">
        <w:rPr>
          <w:noProof/>
          <w:lang w:eastAsia="en-AU"/>
        </w:rPr>
        <w:t>while there has been a</w:t>
      </w:r>
      <w:r w:rsidR="00846AE0">
        <w:rPr>
          <w:noProof/>
          <w:lang w:eastAsia="en-AU"/>
        </w:rPr>
        <w:t xml:space="preserve"> significant boost in residential construction activity</w:t>
      </w:r>
      <w:r w:rsidR="003D54F0">
        <w:rPr>
          <w:noProof/>
          <w:lang w:eastAsia="en-AU"/>
        </w:rPr>
        <w:t>,</w:t>
      </w:r>
      <w:r w:rsidR="00846AE0" w:rsidDel="003D54F0">
        <w:rPr>
          <w:noProof/>
          <w:lang w:eastAsia="en-AU"/>
        </w:rPr>
        <w:t xml:space="preserve"> </w:t>
      </w:r>
      <w:r w:rsidR="00846AE0">
        <w:rPr>
          <w:noProof/>
          <w:lang w:eastAsia="en-AU"/>
        </w:rPr>
        <w:t>business investment</w:t>
      </w:r>
      <w:r w:rsidR="003D54F0">
        <w:rPr>
          <w:noProof/>
          <w:lang w:eastAsia="en-AU"/>
        </w:rPr>
        <w:t xml:space="preserve"> has remained subdued</w:t>
      </w:r>
      <w:r w:rsidR="008063AD">
        <w:rPr>
          <w:noProof/>
          <w:lang w:eastAsia="en-AU"/>
        </w:rPr>
        <w:t>.</w:t>
      </w:r>
    </w:p>
    <w:p w14:paraId="0ABD7216" w14:textId="6EEF9FA9" w:rsidR="00A663DC" w:rsidRPr="00E65C1F" w:rsidRDefault="00144555" w:rsidP="00C35B15">
      <w:pPr>
        <w:spacing w:after="200" w:line="270" w:lineRule="exact"/>
        <w:rPr>
          <w:rFonts w:asciiTheme="minorHAnsi" w:hAnsiTheme="minorHAnsi"/>
        </w:rPr>
      </w:pPr>
      <w:r>
        <w:rPr>
          <w:rFonts w:asciiTheme="minorHAnsi" w:hAnsiTheme="minorHAnsi"/>
          <w:noProof/>
          <w:lang w:eastAsia="en-AU"/>
        </w:rPr>
        <w:t>Separate from</w:t>
      </w:r>
      <w:r w:rsidR="00B27586" w:rsidDel="003D54F0">
        <w:rPr>
          <w:rFonts w:asciiTheme="minorHAnsi" w:hAnsiTheme="minorHAnsi"/>
          <w:lang w:eastAsia="en-AU"/>
        </w:rPr>
        <w:t xml:space="preserve"> </w:t>
      </w:r>
      <w:r w:rsidR="00D118B0">
        <w:rPr>
          <w:rFonts w:asciiTheme="minorHAnsi" w:hAnsiTheme="minorHAnsi"/>
          <w:lang w:eastAsia="en-AU"/>
        </w:rPr>
        <w:t xml:space="preserve">the </w:t>
      </w:r>
      <w:r>
        <w:rPr>
          <w:rFonts w:asciiTheme="minorHAnsi" w:hAnsiTheme="minorHAnsi"/>
          <w:noProof/>
          <w:lang w:eastAsia="en-AU"/>
        </w:rPr>
        <w:t xml:space="preserve">commodity cycle there was weak international demand as advanced economies slowly recovered from the </w:t>
      </w:r>
      <w:r w:rsidR="00D86842">
        <w:rPr>
          <w:rFonts w:asciiTheme="minorHAnsi" w:hAnsiTheme="minorHAnsi"/>
          <w:noProof/>
          <w:lang w:eastAsia="en-AU"/>
        </w:rPr>
        <w:t>GFC</w:t>
      </w:r>
      <w:r w:rsidRPr="00FF1297">
        <w:rPr>
          <w:rFonts w:asciiTheme="minorHAnsi" w:hAnsiTheme="minorHAnsi"/>
          <w:noProof/>
          <w:lang w:eastAsia="en-AU"/>
        </w:rPr>
        <w:t>.</w:t>
      </w:r>
      <w:r>
        <w:rPr>
          <w:rFonts w:asciiTheme="minorHAnsi" w:hAnsiTheme="minorHAnsi"/>
          <w:noProof/>
          <w:lang w:eastAsia="en-AU"/>
        </w:rPr>
        <w:t xml:space="preserve"> As commodity prices subsequently fell, slow national </w:t>
      </w:r>
      <w:r w:rsidR="00B27586" w:rsidDel="003D54F0">
        <w:rPr>
          <w:rFonts w:asciiTheme="minorHAnsi" w:hAnsiTheme="minorHAnsi"/>
          <w:lang w:eastAsia="en-AU"/>
        </w:rPr>
        <w:t xml:space="preserve">income growth </w:t>
      </w:r>
      <w:r w:rsidR="007953D7" w:rsidDel="003D54F0">
        <w:rPr>
          <w:rFonts w:asciiTheme="minorHAnsi" w:hAnsiTheme="minorHAnsi"/>
          <w:lang w:eastAsia="en-AU"/>
        </w:rPr>
        <w:t xml:space="preserve">has </w:t>
      </w:r>
      <w:r>
        <w:rPr>
          <w:rFonts w:asciiTheme="minorHAnsi" w:hAnsiTheme="minorHAnsi"/>
          <w:noProof/>
          <w:lang w:eastAsia="en-AU"/>
        </w:rPr>
        <w:t>dampened domestic demand.</w:t>
      </w:r>
      <w:r w:rsidR="007953D7" w:rsidDel="003D54F0">
        <w:rPr>
          <w:rFonts w:asciiTheme="minorHAnsi" w:hAnsiTheme="minorHAnsi"/>
        </w:rPr>
        <w:t xml:space="preserve"> </w:t>
      </w:r>
      <w:r w:rsidR="001C28AD">
        <w:t xml:space="preserve">Weakness in non-mining business investment has coincided with subdued income growth and weakness in wages growth and consumer confidence. Indeed, real net national disposable income per capita fell by more than 6 per cent between September 2011 and December 2015, though since that time it has begun to rise again. </w:t>
      </w:r>
      <w:r w:rsidR="00726A3F" w:rsidRPr="00D55313">
        <w:rPr>
          <w:rFonts w:asciiTheme="minorHAnsi" w:hAnsiTheme="minorHAnsi"/>
        </w:rPr>
        <w:t xml:space="preserve">As business expectations of future demand </w:t>
      </w:r>
      <w:r w:rsidR="00B30834">
        <w:rPr>
          <w:rFonts w:asciiTheme="minorHAnsi" w:hAnsiTheme="minorHAnsi"/>
          <w:lang w:eastAsia="en-AU"/>
        </w:rPr>
        <w:t>are often</w:t>
      </w:r>
      <w:r w:rsidR="00726A3F" w:rsidRPr="00D55313">
        <w:rPr>
          <w:rFonts w:asciiTheme="minorHAnsi" w:hAnsiTheme="minorHAnsi"/>
          <w:lang w:eastAsia="en-AU"/>
        </w:rPr>
        <w:t xml:space="preserve"> heavily grounded in the present conditions, this weakness likely affects </w:t>
      </w:r>
      <w:r w:rsidR="00726A3F" w:rsidRPr="00D55313">
        <w:rPr>
          <w:rFonts w:asciiTheme="minorHAnsi" w:hAnsiTheme="minorHAnsi"/>
        </w:rPr>
        <w:t xml:space="preserve">investment decisions </w:t>
      </w:r>
      <w:r w:rsidR="002E5E00" w:rsidRPr="00D55313">
        <w:rPr>
          <w:rFonts w:asciiTheme="minorHAnsi" w:hAnsiTheme="minorHAnsi"/>
        </w:rPr>
        <w:t xml:space="preserve">(as these </w:t>
      </w:r>
      <w:r w:rsidR="00726A3F" w:rsidRPr="00D55313">
        <w:rPr>
          <w:rFonts w:asciiTheme="minorHAnsi" w:hAnsiTheme="minorHAnsi"/>
        </w:rPr>
        <w:t xml:space="preserve">are contingent on business </w:t>
      </w:r>
      <w:r w:rsidR="00726A3F" w:rsidRPr="00E65C1F">
        <w:rPr>
          <w:rFonts w:asciiTheme="minorHAnsi" w:hAnsiTheme="minorHAnsi"/>
        </w:rPr>
        <w:t>expectations of future demand and growth potential</w:t>
      </w:r>
      <w:r w:rsidR="002E5E00" w:rsidRPr="00E65C1F">
        <w:rPr>
          <w:rFonts w:asciiTheme="minorHAnsi" w:hAnsiTheme="minorHAnsi"/>
        </w:rPr>
        <w:t>)</w:t>
      </w:r>
      <w:r w:rsidR="00523D27">
        <w:rPr>
          <w:rFonts w:asciiTheme="minorHAnsi" w:hAnsiTheme="minorHAnsi"/>
        </w:rPr>
        <w:t>.</w:t>
      </w:r>
    </w:p>
    <w:p w14:paraId="4E75FC4E" w14:textId="6DDDD0AC" w:rsidR="000F482F" w:rsidRDefault="000F482F" w:rsidP="00C35B15">
      <w:pPr>
        <w:spacing w:after="200" w:line="270" w:lineRule="exact"/>
      </w:pPr>
      <w:r>
        <w:rPr>
          <w:lang w:eastAsia="en-AU"/>
        </w:rPr>
        <w:t xml:space="preserve">The continued low interest rates, a pick-up in international demand and a lower exchange rate in recent years have not translated into the expected increase in </w:t>
      </w:r>
      <w:r>
        <w:t>non-mining business investment, though there have been promising signs of recovery</w:t>
      </w:r>
      <w:r w:rsidR="003B2FBC">
        <w:t xml:space="preserve"> more</w:t>
      </w:r>
      <w:r>
        <w:t xml:space="preserve"> recently. Business investment has grown in the past three</w:t>
      </w:r>
      <w:r w:rsidR="007E1799">
        <w:t> </w:t>
      </w:r>
      <w:r>
        <w:t>quarters and firms are reporting stronger business conditions and a modest upgrade to investment plans. This recovery is expected to continue as mining investment stops contracting and investment in the non-mining sector firms</w:t>
      </w:r>
      <w:r w:rsidR="00124C6D">
        <w:t xml:space="preserve"> up</w:t>
      </w:r>
      <w:r>
        <w:t>.</w:t>
      </w:r>
    </w:p>
    <w:p w14:paraId="491B9459" w14:textId="719B5B2E" w:rsidR="00B27586" w:rsidRPr="00D55313" w:rsidRDefault="00526CA4" w:rsidP="00C35B15">
      <w:pPr>
        <w:spacing w:after="200" w:line="270" w:lineRule="exact"/>
        <w:rPr>
          <w:rFonts w:asciiTheme="minorHAnsi" w:hAnsiTheme="minorHAnsi"/>
        </w:rPr>
      </w:pPr>
      <w:r>
        <w:rPr>
          <w:rFonts w:asciiTheme="minorHAnsi" w:hAnsiTheme="minorHAnsi"/>
          <w:noProof/>
          <w:lang w:eastAsia="en-AU"/>
        </w:rPr>
        <w:drawing>
          <wp:anchor distT="0" distB="0" distL="114300" distR="114300" simplePos="0" relativeHeight="251653632" behindDoc="0" locked="0" layoutInCell="1" allowOverlap="1" wp14:anchorId="496782E4" wp14:editId="63287463">
            <wp:simplePos x="0" y="0"/>
            <wp:positionH relativeFrom="column">
              <wp:posOffset>3974465</wp:posOffset>
            </wp:positionH>
            <wp:positionV relativeFrom="page">
              <wp:posOffset>2275840</wp:posOffset>
            </wp:positionV>
            <wp:extent cx="1763395" cy="755650"/>
            <wp:effectExtent l="0" t="0" r="8255" b="6350"/>
            <wp:wrapSquare wrapText="bothSides"/>
            <wp:docPr id="699" name="Picture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Z:\2017\Reports and Reviews\Intergovernmental Review of Business Investment\pullQuote-09.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9407" t="5893" r="8970" b="5677"/>
                    <a:stretch/>
                  </pic:blipFill>
                  <pic:spPr bwMode="auto">
                    <a:xfrm>
                      <a:off x="0" y="0"/>
                      <a:ext cx="1763395" cy="75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7586" w:rsidRPr="00E65C1F">
        <w:rPr>
          <w:rFonts w:asciiTheme="minorHAnsi" w:hAnsiTheme="minorHAnsi"/>
        </w:rPr>
        <w:t xml:space="preserve">Our consultations found </w:t>
      </w:r>
      <w:r w:rsidR="008601DA">
        <w:rPr>
          <w:rFonts w:asciiTheme="minorHAnsi" w:hAnsiTheme="minorHAnsi"/>
        </w:rPr>
        <w:t xml:space="preserve">variable </w:t>
      </w:r>
      <w:r w:rsidR="00B27586" w:rsidRPr="00E65C1F">
        <w:rPr>
          <w:rFonts w:asciiTheme="minorHAnsi" w:hAnsiTheme="minorHAnsi"/>
        </w:rPr>
        <w:t>sector</w:t>
      </w:r>
      <w:r w:rsidR="008601DA">
        <w:rPr>
          <w:rFonts w:asciiTheme="minorHAnsi" w:hAnsiTheme="minorHAnsi"/>
        </w:rPr>
        <w:t>al</w:t>
      </w:r>
      <w:r w:rsidR="00B27586" w:rsidRPr="00E65C1F">
        <w:rPr>
          <w:rFonts w:asciiTheme="minorHAnsi" w:hAnsiTheme="minorHAnsi"/>
        </w:rPr>
        <w:t xml:space="preserve"> and regional outlook</w:t>
      </w:r>
      <w:r w:rsidR="008601DA">
        <w:rPr>
          <w:rFonts w:asciiTheme="minorHAnsi" w:hAnsiTheme="minorHAnsi"/>
        </w:rPr>
        <w:t>s</w:t>
      </w:r>
      <w:r w:rsidR="00B27586" w:rsidRPr="00E65C1F">
        <w:rPr>
          <w:rFonts w:asciiTheme="minorHAnsi" w:hAnsiTheme="minorHAnsi"/>
        </w:rPr>
        <w:t>. As one contact explained, growth is not broad based, nor is the impact of technology, and some companies are seeing profits compressed. Another contact noted that growth is asymmetric</w:t>
      </w:r>
      <w:r w:rsidR="00DC4B63">
        <w:rPr>
          <w:rFonts w:asciiTheme="minorHAnsi" w:hAnsiTheme="minorHAnsi"/>
        </w:rPr>
        <w:t xml:space="preserve"> – </w:t>
      </w:r>
      <w:r w:rsidR="00B27586" w:rsidRPr="00E65C1F">
        <w:rPr>
          <w:rFonts w:asciiTheme="minorHAnsi" w:hAnsiTheme="minorHAnsi"/>
        </w:rPr>
        <w:t>where the companies undertaking significant investment are being rewarded by growing strongly.</w:t>
      </w:r>
    </w:p>
    <w:p w14:paraId="0834500B" w14:textId="0D889299" w:rsidR="00B27586" w:rsidRPr="00D55313" w:rsidRDefault="00B27586" w:rsidP="00C35B15">
      <w:pPr>
        <w:pStyle w:val="Bullet"/>
        <w:spacing w:after="200" w:line="270" w:lineRule="exact"/>
      </w:pPr>
      <w:r w:rsidRPr="00D55313">
        <w:t xml:space="preserve">The property sector has been performing strongly and continues to maintain a positive outlook generally. </w:t>
      </w:r>
      <w:r w:rsidR="00820887" w:rsidRPr="00D55313">
        <w:t>This is consistent with the shift in capit</w:t>
      </w:r>
      <w:r w:rsidR="005B6E1C">
        <w:t>al expenditure away from mining-</w:t>
      </w:r>
      <w:r w:rsidR="00820887" w:rsidRPr="00D55313">
        <w:t>related construction activity to residential, commercial and engineering construction.</w:t>
      </w:r>
      <w:r w:rsidR="00820887">
        <w:t xml:space="preserve"> </w:t>
      </w:r>
      <w:r w:rsidRPr="00D55313">
        <w:t>There are different dynamics in each of residential real estate, commercial property and retail development, which often depend on local factors</w:t>
      </w:r>
      <w:r w:rsidR="001B3352">
        <w:t xml:space="preserve"> such as population growth</w:t>
      </w:r>
      <w:r w:rsidR="009D7F7E">
        <w:t>.</w:t>
      </w:r>
    </w:p>
    <w:p w14:paraId="47769862" w14:textId="469298AE" w:rsidR="007E2BE2" w:rsidRPr="007E2BE2" w:rsidRDefault="001B3352" w:rsidP="00C35B15">
      <w:pPr>
        <w:pStyle w:val="Bullet"/>
        <w:spacing w:after="200" w:line="270" w:lineRule="exact"/>
      </w:pPr>
      <w:r w:rsidRPr="007E2BE2">
        <w:t xml:space="preserve">A number of businesses commented on the current strength </w:t>
      </w:r>
      <w:r w:rsidR="00D73E22" w:rsidRPr="007E2BE2">
        <w:t xml:space="preserve">of </w:t>
      </w:r>
      <w:r w:rsidRPr="007E2BE2">
        <w:t>the economies of New</w:t>
      </w:r>
      <w:r w:rsidR="0050677C" w:rsidRPr="007E2BE2">
        <w:t> </w:t>
      </w:r>
      <w:r w:rsidRPr="007E2BE2">
        <w:t>South</w:t>
      </w:r>
      <w:r w:rsidR="0050677C" w:rsidRPr="007E2BE2">
        <w:t> </w:t>
      </w:r>
      <w:r w:rsidRPr="007E2BE2">
        <w:t xml:space="preserve">Wales and Victoria – which are seen as high growth </w:t>
      </w:r>
      <w:r w:rsidR="0050677C" w:rsidRPr="007E2BE2">
        <w:t>S</w:t>
      </w:r>
      <w:r w:rsidRPr="007E2BE2">
        <w:t>tates offering growth potential</w:t>
      </w:r>
      <w:r w:rsidR="00E854CB">
        <w:t xml:space="preserve"> for business</w:t>
      </w:r>
      <w:r w:rsidR="005B6E1C">
        <w:t>es</w:t>
      </w:r>
      <w:r w:rsidRPr="007E2BE2">
        <w:t xml:space="preserve">. </w:t>
      </w:r>
      <w:r w:rsidR="00E86FFD" w:rsidRPr="007E2BE2">
        <w:t>A few c</w:t>
      </w:r>
      <w:r w:rsidRPr="007E2BE2">
        <w:t>ontacts commented on the cur</w:t>
      </w:r>
      <w:r w:rsidR="009617A3">
        <w:t xml:space="preserve">rent infrastructure boom in </w:t>
      </w:r>
      <w:r w:rsidRPr="007E2BE2">
        <w:t>Sydney. Sydney and Melbourne are both experiencing strong growth in commercial property construction, underpinned by strong demand and low vacancy rates.</w:t>
      </w:r>
      <w:r>
        <w:t xml:space="preserve"> </w:t>
      </w:r>
      <w:r w:rsidR="005A2AA2">
        <w:t>By</w:t>
      </w:r>
      <w:r w:rsidR="00B8379F">
        <w:t xml:space="preserve"> contrast</w:t>
      </w:r>
      <w:r w:rsidR="00124C6D">
        <w:t>,</w:t>
      </w:r>
      <w:r w:rsidR="00B8379F">
        <w:t xml:space="preserve"> </w:t>
      </w:r>
      <w:r w:rsidR="00D43B03">
        <w:t>office</w:t>
      </w:r>
      <w:r w:rsidR="00B8379F">
        <w:t xml:space="preserve"> vacancy rates in Perth and Brisbane are </w:t>
      </w:r>
      <w:r w:rsidR="00F40136">
        <w:t>high following the mining investment downturn</w:t>
      </w:r>
      <w:r w:rsidR="00B8379F">
        <w:t>.</w:t>
      </w:r>
      <w:r w:rsidR="007E2BE2">
        <w:t xml:space="preserve"> </w:t>
      </w:r>
      <w:r w:rsidR="009617A3">
        <w:t>M</w:t>
      </w:r>
      <w:r w:rsidR="00954443">
        <w:t>ore broadly</w:t>
      </w:r>
      <w:r w:rsidR="00B245DC">
        <w:t>,</w:t>
      </w:r>
      <w:r w:rsidR="007E2BE2">
        <w:t xml:space="preserve"> s</w:t>
      </w:r>
      <w:r w:rsidR="007E2BE2" w:rsidRPr="007E2BE2">
        <w:t xml:space="preserve">takeholders consulted in Brisbane talked of strong investment intentions and were less concerned about the local economy being affected by the </w:t>
      </w:r>
      <w:r w:rsidR="00954443">
        <w:t>downturn</w:t>
      </w:r>
      <w:r w:rsidR="007E2BE2">
        <w:t>.</w:t>
      </w:r>
    </w:p>
    <w:p w14:paraId="10CDF4BC" w14:textId="52E97D49" w:rsidR="00B8379F" w:rsidRPr="00792B39" w:rsidRDefault="001B3352" w:rsidP="00C35B15">
      <w:pPr>
        <w:pStyle w:val="Bullet"/>
        <w:spacing w:after="200" w:line="270" w:lineRule="exact"/>
      </w:pPr>
      <w:r w:rsidRPr="007E2BE2">
        <w:t xml:space="preserve">Contacts in Tasmania talked of the current strength in construction </w:t>
      </w:r>
      <w:r w:rsidR="006C451E" w:rsidRPr="007E2BE2">
        <w:t>though</w:t>
      </w:r>
      <w:r w:rsidR="006C451E" w:rsidRPr="006C451E">
        <w:t xml:space="preserve"> it</w:t>
      </w:r>
      <w:r w:rsidRPr="006C451E">
        <w:t xml:space="preserve"> was noted that </w:t>
      </w:r>
      <w:r w:rsidRPr="006C451E">
        <w:rPr>
          <w:rFonts w:cstheme="minorHAnsi"/>
        </w:rPr>
        <w:t xml:space="preserve">the local construction and civil contractor businesses are reliant </w:t>
      </w:r>
      <w:r w:rsidR="00D43B03">
        <w:rPr>
          <w:rFonts w:cstheme="minorHAnsi"/>
        </w:rPr>
        <w:t xml:space="preserve">to a considerable extent </w:t>
      </w:r>
      <w:r w:rsidRPr="006C451E">
        <w:rPr>
          <w:rFonts w:cstheme="minorHAnsi"/>
        </w:rPr>
        <w:t xml:space="preserve">on government funded projects. </w:t>
      </w:r>
      <w:r w:rsidRPr="006C451E">
        <w:t>Businesses in Tasmania noted that tourism is performing particularly well and the expected growth outlook is positive</w:t>
      </w:r>
      <w:r w:rsidR="00E17F03" w:rsidRPr="006C451E">
        <w:t xml:space="preserve"> off the back of investments in new</w:t>
      </w:r>
      <w:r w:rsidR="004635C6">
        <w:t> </w:t>
      </w:r>
      <w:r w:rsidR="00E17F03" w:rsidRPr="006C451E">
        <w:t>tourist offerings</w:t>
      </w:r>
      <w:r w:rsidRPr="006C451E">
        <w:t>.</w:t>
      </w:r>
      <w:r w:rsidR="006C451E" w:rsidRPr="006C451E">
        <w:t xml:space="preserve"> </w:t>
      </w:r>
      <w:r w:rsidR="00E86FFD" w:rsidRPr="007E2BE2">
        <w:t>I</w:t>
      </w:r>
      <w:r w:rsidR="00B8379F" w:rsidRPr="00792B39">
        <w:t xml:space="preserve">mprovement in the </w:t>
      </w:r>
      <w:r w:rsidR="0050677C">
        <w:t>S</w:t>
      </w:r>
      <w:r w:rsidR="00B8379F" w:rsidRPr="00792B39">
        <w:t xml:space="preserve">tate economy and investment by all tiers of government in road and water infrastructure were </w:t>
      </w:r>
      <w:r w:rsidR="00E86FFD">
        <w:t xml:space="preserve">seen </w:t>
      </w:r>
      <w:r w:rsidR="00B8379F" w:rsidRPr="00792B39">
        <w:t>a</w:t>
      </w:r>
      <w:r w:rsidR="00E86FFD">
        <w:t>s</w:t>
      </w:r>
      <w:r w:rsidR="00B8379F" w:rsidRPr="00792B39">
        <w:t xml:space="preserve"> factor</w:t>
      </w:r>
      <w:r w:rsidR="00E86FFD">
        <w:t>s</w:t>
      </w:r>
      <w:r w:rsidR="00B8379F" w:rsidRPr="00792B39">
        <w:t xml:space="preserve"> in favour of business investment currently.</w:t>
      </w:r>
    </w:p>
    <w:p w14:paraId="59EF7862" w14:textId="496BC7E7" w:rsidR="00B27586" w:rsidRPr="00D55313" w:rsidRDefault="00B27586" w:rsidP="00C35B15">
      <w:pPr>
        <w:pStyle w:val="Bullet"/>
        <w:spacing w:after="200" w:line="270" w:lineRule="exact"/>
      </w:pPr>
      <w:r w:rsidRPr="00D55313">
        <w:t xml:space="preserve">Some of the services sectors (including retail and the financial services) which previously could be described as largely non-traded now face global competition resulting from disruptive technologies. For some businesses, this is depressing prices and revenue growth prospects, which encourages consolidation rather than investment and expansion. For example, </w:t>
      </w:r>
      <w:r w:rsidR="00972D5A" w:rsidRPr="00D55313">
        <w:t>contacts</w:t>
      </w:r>
      <w:r w:rsidRPr="00D55313">
        <w:t xml:space="preserve"> commented they expect that there will be a rapid consolidation wit</w:t>
      </w:r>
      <w:r w:rsidR="009D7F7E">
        <w:t>hin the life insurance sector.</w:t>
      </w:r>
    </w:p>
    <w:p w14:paraId="52EA1EE4" w14:textId="2C03A54F" w:rsidR="00B27586" w:rsidRPr="00D55313" w:rsidRDefault="001B3352" w:rsidP="00C35B15">
      <w:pPr>
        <w:pStyle w:val="Bullet"/>
        <w:spacing w:after="200" w:line="260" w:lineRule="exact"/>
      </w:pPr>
      <w:r>
        <w:t>C</w:t>
      </w:r>
      <w:r w:rsidR="00B27586" w:rsidRPr="00D55313">
        <w:t xml:space="preserve">ontacts </w:t>
      </w:r>
      <w:r>
        <w:t xml:space="preserve">in the retail sector </w:t>
      </w:r>
      <w:r w:rsidR="00B27586" w:rsidRPr="00D55313">
        <w:t xml:space="preserve">expressed concern that the high level of household indebtedness is reducing consumers’ capacity for consumption of other goods and services. While Australian consumers previously had a good appetite for debt, more conservative attitudes to debt and saving are giving rise to more value </w:t>
      </w:r>
      <w:r w:rsidR="00DC4B63">
        <w:t>conscious</w:t>
      </w:r>
      <w:r w:rsidR="00B27586" w:rsidRPr="00D55313">
        <w:t xml:space="preserve"> and price sensitive consumers since the GFC. As</w:t>
      </w:r>
      <w:r w:rsidR="00441AF3">
        <w:t> </w:t>
      </w:r>
      <w:r w:rsidR="00B27586" w:rsidRPr="00D55313">
        <w:t>technology has empowered consumers to shop harder, some growth strategies in retail will deliver high volume growth by trading off the price (meaning that this would not contribute to overall nominal GDP growth).</w:t>
      </w:r>
    </w:p>
    <w:p w14:paraId="3CD00D3A" w14:textId="77777777" w:rsidR="000F5B72" w:rsidRDefault="000F5B72">
      <w:pPr>
        <w:spacing w:after="200" w:line="276" w:lineRule="auto"/>
        <w:jc w:val="left"/>
      </w:pPr>
      <w:r>
        <w:br w:type="page"/>
      </w:r>
    </w:p>
    <w:p w14:paraId="445CC36C" w14:textId="6EC5FEE2" w:rsidR="00A3764C" w:rsidRPr="00D55313" w:rsidRDefault="000F5DA6" w:rsidP="00C35B15">
      <w:pPr>
        <w:pStyle w:val="Bullet"/>
        <w:spacing w:after="200" w:line="260" w:lineRule="exact"/>
      </w:pPr>
      <w:r w:rsidRPr="00D55313">
        <w:t xml:space="preserve">Businesses in </w:t>
      </w:r>
      <w:r w:rsidR="00B27586" w:rsidRPr="00D55313">
        <w:t xml:space="preserve">South Australia </w:t>
      </w:r>
      <w:r w:rsidRPr="00D55313">
        <w:t xml:space="preserve">were relatively sanguine and noted </w:t>
      </w:r>
      <w:r w:rsidR="00B27586" w:rsidRPr="00D55313">
        <w:t xml:space="preserve">concerns about </w:t>
      </w:r>
      <w:r w:rsidRPr="00D55313">
        <w:t xml:space="preserve">the </w:t>
      </w:r>
      <w:r w:rsidR="00B27586" w:rsidRPr="00D55313">
        <w:t>immediate challenges related to energy</w:t>
      </w:r>
      <w:r w:rsidRPr="00D55313">
        <w:t xml:space="preserve"> security and escalating</w:t>
      </w:r>
      <w:r w:rsidR="00B27586" w:rsidRPr="00D55313">
        <w:t xml:space="preserve"> prices</w:t>
      </w:r>
      <w:r w:rsidR="00A3764C" w:rsidRPr="00D55313">
        <w:t xml:space="preserve">. This is a significant factor for manufacturing and will </w:t>
      </w:r>
      <w:r w:rsidR="00E17F03">
        <w:t xml:space="preserve">lean </w:t>
      </w:r>
      <w:r w:rsidR="00A3764C" w:rsidRPr="00D55313">
        <w:t xml:space="preserve">against </w:t>
      </w:r>
      <w:r w:rsidR="00E17F03">
        <w:t>future investments to base</w:t>
      </w:r>
      <w:r w:rsidR="00A3764C" w:rsidRPr="00D55313">
        <w:t xml:space="preserve"> </w:t>
      </w:r>
      <w:r w:rsidR="009D7F7E">
        <w:t xml:space="preserve">operations in South Australia. </w:t>
      </w:r>
      <w:r w:rsidR="00A3764C" w:rsidRPr="00D55313">
        <w:t>More generally, businesses noted that because of the small size of the local market they have to overcome a negative perception around the fact that they are not able to test new innovations and drive sales in the local market before seeking to market the product overseas.</w:t>
      </w:r>
      <w:r w:rsidR="00E17F03">
        <w:t xml:space="preserve"> </w:t>
      </w:r>
      <w:r w:rsidR="005A2AA2">
        <w:t>By</w:t>
      </w:r>
      <w:r w:rsidR="00E17F03">
        <w:t xml:space="preserve"> contrast, some noted that the need to gro</w:t>
      </w:r>
      <w:r w:rsidR="00D7039E">
        <w:t>w their market outside of South </w:t>
      </w:r>
      <w:r w:rsidR="00E17F03">
        <w:t xml:space="preserve">Australia ensured they built the skills necessary to take their businesses overseas. </w:t>
      </w:r>
      <w:r w:rsidR="00EA0CF8">
        <w:t>It was noted that conditions across all sectors are not uniform – with tourism in South Australia performing strongly.</w:t>
      </w:r>
    </w:p>
    <w:p w14:paraId="7E764199" w14:textId="5CBCDC87" w:rsidR="00D60260" w:rsidRDefault="00D60260" w:rsidP="00C35B15">
      <w:pPr>
        <w:pStyle w:val="Bullet"/>
        <w:spacing w:after="200" w:line="260" w:lineRule="exact"/>
      </w:pPr>
      <w:r w:rsidRPr="00D55313">
        <w:t>Contacts discussed that some regional centres in Victoria are seeing growth due to commuters moving further out due to cost of living pressures in Melbourne</w:t>
      </w:r>
      <w:r w:rsidR="00E86FFD">
        <w:t>. This</w:t>
      </w:r>
      <w:r w:rsidR="00DC4B63">
        <w:t xml:space="preserve"> has been facilitated by investment in regional rail transport upgrades</w:t>
      </w:r>
      <w:r w:rsidRPr="00D55313">
        <w:t>. Other regional areas around the country were noted as experiencing strong conditions due to inv</w:t>
      </w:r>
      <w:r w:rsidR="00523D27">
        <w:t>estments in medical facilities.</w:t>
      </w:r>
    </w:p>
    <w:p w14:paraId="00665F56" w14:textId="3FE74D60" w:rsidR="00DB0E6D" w:rsidRDefault="00DB0E6D" w:rsidP="00C35B15">
      <w:pPr>
        <w:pStyle w:val="Bullet"/>
        <w:spacing w:after="200" w:line="260" w:lineRule="exact"/>
      </w:pPr>
      <w:r w:rsidRPr="005349BD">
        <w:t>In the Northern Territory, one contact suggested that the next round of mining investment will likely need to come from second tier firms as the top tier firms are consolidating. There is a diversified commodity set available but one impediment is a lack of supporting infrastructure to get goods to market.</w:t>
      </w:r>
    </w:p>
    <w:p w14:paraId="2B56E6F7" w14:textId="1ADCDAB9" w:rsidR="00DB0E6D" w:rsidRPr="005349BD" w:rsidRDefault="00DB0E6D" w:rsidP="00DB0E6D">
      <w:pPr>
        <w:pStyle w:val="FigureMainHeading"/>
      </w:pPr>
      <w:r w:rsidRPr="002D0CD2">
        <w:t>Charts 6 and 7: Business</w:t>
      </w:r>
      <w:r>
        <w:t xml:space="preserve"> investment by State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AD1916" w14:paraId="01C03F05" w14:textId="77777777" w:rsidTr="0020294C">
        <w:trPr>
          <w:trHeight w:val="3628"/>
        </w:trPr>
        <w:tc>
          <w:tcPr>
            <w:tcW w:w="4621" w:type="dxa"/>
          </w:tcPr>
          <w:p w14:paraId="730FB4AF" w14:textId="56F4B469" w:rsidR="00AD1916" w:rsidRDefault="001A49D6" w:rsidP="00DA194B">
            <w:pPr>
              <w:pStyle w:val="TableGraphic"/>
              <w:jc w:val="left"/>
            </w:pPr>
            <w:r>
              <w:fldChar w:fldCharType="begin"/>
            </w:r>
            <w:r>
              <w:instrText xml:space="preserve"> LINK Excel.Sheet.12 "\\\\romulus\\ECD_PRO$\\CHARTS\\BI\\Charts for CFFR report\\BI by state.xlsx!Charts![BI by state.xlsx]Charts Chart 3" "" \a \p  \* MERGEFORMAT </w:instrText>
            </w:r>
            <w:r>
              <w:fldChar w:fldCharType="separate"/>
            </w:r>
            <w:r>
              <w:rPr>
                <w:noProof/>
              </w:rPr>
              <w:drawing>
                <wp:inline distT="0" distB="0" distL="0" distR="0" wp14:anchorId="04B9FBB6" wp14:editId="2E09317C">
                  <wp:extent cx="2739995" cy="2605177"/>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rotWithShape="1">
                          <a:blip r:embed="rId55">
                            <a:extLst>
                              <a:ext uri="{28A0092B-C50C-407E-A947-70E740481C1C}">
                                <a14:useLocalDpi xmlns:a14="http://schemas.microsoft.com/office/drawing/2010/main" val="0"/>
                              </a:ext>
                            </a:extLst>
                          </a:blip>
                          <a:srcRect l="4014" t="1526" r="1673"/>
                          <a:stretch/>
                        </pic:blipFill>
                        <pic:spPr bwMode="auto">
                          <a:xfrm>
                            <a:off x="0" y="0"/>
                            <a:ext cx="2741424" cy="260653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4621" w:type="dxa"/>
          </w:tcPr>
          <w:p w14:paraId="3C9380C8" w14:textId="745BB616" w:rsidR="00AD1916" w:rsidRDefault="001A49D6" w:rsidP="00DA194B">
            <w:pPr>
              <w:pStyle w:val="TableGraphic"/>
              <w:jc w:val="right"/>
            </w:pPr>
            <w:r>
              <w:object w:dxaOrig="4515" w:dyaOrig="4516" w14:anchorId="537F157A">
                <v:shape id="_x0000_i1027" type="#_x0000_t75" style="width:217.9pt;height:206.6pt" o:ole="">
                  <v:imagedata r:id="rId56" o:title="" croptop="823f" cropleft="2469f" cropright="823f"/>
                </v:shape>
                <o:OLEObject Type="Link" ProgID="Excel.Sheet.12" ShapeID="_x0000_i1027" DrawAspect="Content" r:id="rId57" UpdateMode="Always">
                  <o:LinkType>EnhancedMetaFile</o:LinkType>
                  <o:LockedField>false</o:LockedField>
                  <o:FieldCodes>\* MERGEFORMAT</o:FieldCodes>
                </o:OLEObject>
              </w:object>
            </w:r>
          </w:p>
        </w:tc>
      </w:tr>
    </w:tbl>
    <w:p w14:paraId="0C6F307D" w14:textId="0F499C25" w:rsidR="001A49D6" w:rsidRDefault="001A49D6" w:rsidP="001A49D6">
      <w:pPr>
        <w:pStyle w:val="Source"/>
      </w:pPr>
      <w:bookmarkStart w:id="57" w:name="_Toc491704026"/>
      <w:bookmarkStart w:id="58" w:name="_Toc491705742"/>
      <w:bookmarkStart w:id="59" w:name="_Toc492465360"/>
      <w:bookmarkStart w:id="60" w:name="_Toc492571381"/>
      <w:bookmarkStart w:id="61" w:name="_Toc492902183"/>
      <w:bookmarkStart w:id="62" w:name="_Toc489864467"/>
      <w:bookmarkStart w:id="63" w:name="_Toc489351238"/>
      <w:bookmarkStart w:id="64" w:name="_Toc489370835"/>
      <w:bookmarkEnd w:id="49"/>
      <w:bookmarkEnd w:id="50"/>
      <w:bookmarkEnd w:id="51"/>
      <w:bookmarkEnd w:id="52"/>
      <w:r w:rsidRPr="002030BA">
        <w:t>Source: ABS cat. no 5220.0</w:t>
      </w:r>
      <w:r w:rsidR="003B2FBC">
        <w:t>.</w:t>
      </w:r>
    </w:p>
    <w:p w14:paraId="6DEF8F81" w14:textId="20A3E8B4" w:rsidR="001A49D6" w:rsidRPr="003B2FBC" w:rsidRDefault="001A49D6" w:rsidP="001A49D6">
      <w:pPr>
        <w:pStyle w:val="Source"/>
      </w:pPr>
      <w:r w:rsidRPr="003B2FBC">
        <w:t xml:space="preserve">Note: Data include second-hand asset transfers. </w:t>
      </w:r>
      <w:r w:rsidRPr="007E21BC">
        <w:t>Investment is in nominal dollars.</w:t>
      </w:r>
    </w:p>
    <w:p w14:paraId="64E9F47E" w14:textId="77777777" w:rsidR="00C35B15" w:rsidRDefault="00C35B15" w:rsidP="00C35B15">
      <w:pPr>
        <w:rPr>
          <w:rFonts w:ascii="Arial Narrow" w:eastAsiaTheme="majorEastAsia" w:hAnsi="Arial Narrow" w:cstheme="majorBidi"/>
          <w:color w:val="4FA4DA"/>
          <w:spacing w:val="-8"/>
          <w:sz w:val="38"/>
          <w:szCs w:val="26"/>
        </w:rPr>
      </w:pPr>
      <w:r>
        <w:br w:type="page"/>
      </w:r>
    </w:p>
    <w:p w14:paraId="5E926F9B" w14:textId="73E8EE43" w:rsidR="00DA6DCB" w:rsidRPr="00533581" w:rsidRDefault="009051F4" w:rsidP="002D4A85">
      <w:pPr>
        <w:pStyle w:val="Heading2"/>
      </w:pPr>
      <w:bookmarkStart w:id="65" w:name="_Toc496095478"/>
      <w:bookmarkStart w:id="66" w:name="_Toc496097052"/>
      <w:r>
        <w:t>S</w:t>
      </w:r>
      <w:r w:rsidR="00887191">
        <w:t>tructural factors</w:t>
      </w:r>
      <w:bookmarkEnd w:id="57"/>
      <w:bookmarkEnd w:id="58"/>
      <w:bookmarkEnd w:id="59"/>
      <w:bookmarkEnd w:id="60"/>
      <w:bookmarkEnd w:id="61"/>
      <w:bookmarkEnd w:id="65"/>
      <w:bookmarkEnd w:id="66"/>
    </w:p>
    <w:p w14:paraId="5ED92766" w14:textId="704D2A4A" w:rsidR="007C04B4" w:rsidRPr="00DC24A6" w:rsidRDefault="00526CA4" w:rsidP="00887191">
      <w:pPr>
        <w:rPr>
          <w:highlight w:val="yellow"/>
        </w:rPr>
      </w:pPr>
      <w:r>
        <w:rPr>
          <w:noProof/>
          <w:lang w:eastAsia="en-AU"/>
        </w:rPr>
        <w:drawing>
          <wp:anchor distT="0" distB="0" distL="114300" distR="114300" simplePos="0" relativeHeight="251660800" behindDoc="0" locked="0" layoutInCell="1" allowOverlap="1" wp14:anchorId="30541509" wp14:editId="2B3E923A">
            <wp:simplePos x="0" y="0"/>
            <wp:positionH relativeFrom="column">
              <wp:posOffset>3599815</wp:posOffset>
            </wp:positionH>
            <wp:positionV relativeFrom="paragraph">
              <wp:posOffset>374650</wp:posOffset>
            </wp:positionV>
            <wp:extent cx="2159635" cy="803910"/>
            <wp:effectExtent l="0" t="0" r="0" b="0"/>
            <wp:wrapSquare wrapText="bothSides"/>
            <wp:docPr id="701" name="Picture 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Z:\2017\Reports and Reviews\Intergovernmental Review of Business Investment\pullQuote-10.p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159635" cy="80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191">
        <w:t>Structural factors explain some of the weakness in</w:t>
      </w:r>
      <w:r>
        <w:t xml:space="preserve"> </w:t>
      </w:r>
      <w:r w:rsidR="00887191">
        <w:t>non-mining</w:t>
      </w:r>
      <w:r w:rsidR="008D7405">
        <w:t xml:space="preserve"> </w:t>
      </w:r>
      <w:r w:rsidR="00887191">
        <w:t>business</w:t>
      </w:r>
      <w:r w:rsidR="008D7405">
        <w:t xml:space="preserve"> </w:t>
      </w:r>
      <w:r w:rsidR="00887191">
        <w:t xml:space="preserve">investment. </w:t>
      </w:r>
      <w:r w:rsidR="00887191" w:rsidRPr="00A64068">
        <w:t xml:space="preserve">There is a global trend, particularly in advanced economies like Australia, towards less capital intensive services as a larger share of the economy. </w:t>
      </w:r>
      <w:r w:rsidR="00DA6DCB" w:rsidRPr="007B4530">
        <w:t>The five</w:t>
      </w:r>
      <w:r w:rsidR="0057485D">
        <w:t> </w:t>
      </w:r>
      <w:r w:rsidR="00DA6DCB" w:rsidRPr="007B4530">
        <w:t>industries that have contributed most to economic growth</w:t>
      </w:r>
      <w:r w:rsidR="00DA6DCB">
        <w:t xml:space="preserve"> in the non-mining economy </w:t>
      </w:r>
      <w:r w:rsidR="00DA6DCB" w:rsidRPr="007B4530">
        <w:t>over the past decade</w:t>
      </w:r>
      <w:r w:rsidR="00E6512F">
        <w:t xml:space="preserve"> are</w:t>
      </w:r>
      <w:r w:rsidR="00DA6DCB" w:rsidRPr="007B4530">
        <w:t xml:space="preserve"> — financial </w:t>
      </w:r>
      <w:r w:rsidR="00DA6DCB">
        <w:t>&amp;</w:t>
      </w:r>
      <w:r w:rsidR="00DA6DCB" w:rsidRPr="007B4530">
        <w:t xml:space="preserve"> insurance services, construction, healthcare</w:t>
      </w:r>
      <w:r w:rsidR="00DA6DCB">
        <w:t xml:space="preserve"> services</w:t>
      </w:r>
      <w:r w:rsidR="00DA6DCB" w:rsidRPr="007B4530">
        <w:t>, professional services, and education</w:t>
      </w:r>
      <w:r w:rsidR="00DA6DCB">
        <w:t xml:space="preserve"> &amp;</w:t>
      </w:r>
      <w:r w:rsidR="00DA6DCB" w:rsidRPr="007B4530">
        <w:t xml:space="preserve"> </w:t>
      </w:r>
      <w:r w:rsidR="00DA6DCB">
        <w:t>training</w:t>
      </w:r>
      <w:r w:rsidR="000F1738">
        <w:t>.</w:t>
      </w:r>
    </w:p>
    <w:p w14:paraId="3CD5A1BE" w14:textId="7F127567" w:rsidR="002D4A85" w:rsidRDefault="00942BE7" w:rsidP="00887191">
      <w:r w:rsidRPr="005349BD">
        <w:t>T</w:t>
      </w:r>
      <w:r w:rsidR="00E6512F" w:rsidRPr="005349BD">
        <w:t xml:space="preserve">hese </w:t>
      </w:r>
      <w:r w:rsidR="005349BD" w:rsidRPr="005349BD">
        <w:t xml:space="preserve">growth </w:t>
      </w:r>
      <w:r w:rsidR="00FA7449" w:rsidRPr="005349BD">
        <w:t xml:space="preserve">industries </w:t>
      </w:r>
      <w:r w:rsidR="007C04B4" w:rsidRPr="005349BD">
        <w:t xml:space="preserve">have </w:t>
      </w:r>
      <w:r w:rsidR="007F03F3" w:rsidRPr="005349BD">
        <w:t xml:space="preserve">a </w:t>
      </w:r>
      <w:r w:rsidR="007C04B4" w:rsidRPr="005349BD">
        <w:t>relatively l</w:t>
      </w:r>
      <w:r w:rsidR="00DA6DCB" w:rsidRPr="005349BD">
        <w:t>ower investment intensity</w:t>
      </w:r>
      <w:r w:rsidR="00C82D6D" w:rsidRPr="005349BD">
        <w:t>, which</w:t>
      </w:r>
      <w:r w:rsidR="00DA6DCB" w:rsidRPr="005349BD">
        <w:t xml:space="preserve"> implies that businesses in these industries do not need as much capital expenditure to maintain and expand output</w:t>
      </w:r>
      <w:r w:rsidR="007C04B4" w:rsidRPr="005349BD">
        <w:t xml:space="preserve"> (Chart</w:t>
      </w:r>
      <w:r w:rsidR="00E0527F">
        <w:t> </w:t>
      </w:r>
      <w:r w:rsidR="007C04B4" w:rsidRPr="005349BD">
        <w:t>8)</w:t>
      </w:r>
      <w:r w:rsidR="00DA6DCB" w:rsidRPr="005349BD">
        <w:t>.</w:t>
      </w:r>
      <w:r w:rsidR="001E1453" w:rsidRPr="005349BD">
        <w:t xml:space="preserve"> </w:t>
      </w:r>
      <w:r w:rsidRPr="005349BD">
        <w:t>A</w:t>
      </w:r>
      <w:r w:rsidR="005349BD" w:rsidRPr="005349BD">
        <w:t xml:space="preserve">s well as a </w:t>
      </w:r>
      <w:r w:rsidRPr="005349BD">
        <w:t>shift towards less capital intense industries, t</w:t>
      </w:r>
      <w:r w:rsidRPr="005349BD">
        <w:rPr>
          <w:noProof/>
          <w:lang w:eastAsia="en-AU"/>
        </w:rPr>
        <w:t>here</w:t>
      </w:r>
      <w:r w:rsidRPr="005349BD">
        <w:t xml:space="preserve"> </w:t>
      </w:r>
      <w:r w:rsidR="005349BD" w:rsidRPr="005349BD">
        <w:t>appears to be</w:t>
      </w:r>
      <w:r w:rsidRPr="005349BD">
        <w:rPr>
          <w:noProof/>
          <w:lang w:eastAsia="en-AU"/>
        </w:rPr>
        <w:t xml:space="preserve"> a global trend towards less capital inte</w:t>
      </w:r>
      <w:r w:rsidR="003D30A2" w:rsidRPr="005349BD">
        <w:rPr>
          <w:noProof/>
          <w:lang w:eastAsia="en-AU"/>
        </w:rPr>
        <w:t xml:space="preserve">nsity </w:t>
      </w:r>
      <w:r w:rsidR="005349BD" w:rsidRPr="005349BD">
        <w:rPr>
          <w:noProof/>
          <w:lang w:eastAsia="en-AU"/>
        </w:rPr>
        <w:t xml:space="preserve">within some </w:t>
      </w:r>
      <w:r w:rsidR="003D30A2" w:rsidRPr="005349BD">
        <w:rPr>
          <w:noProof/>
          <w:lang w:eastAsia="en-AU"/>
        </w:rPr>
        <w:t>production process</w:t>
      </w:r>
      <w:r w:rsidR="005349BD" w:rsidRPr="005349BD">
        <w:rPr>
          <w:noProof/>
          <w:lang w:eastAsia="en-AU"/>
        </w:rPr>
        <w:t>es</w:t>
      </w:r>
      <w:r w:rsidR="003D30A2" w:rsidRPr="005349BD">
        <w:rPr>
          <w:noProof/>
          <w:lang w:eastAsia="en-AU"/>
        </w:rPr>
        <w:t xml:space="preserve">. </w:t>
      </w:r>
      <w:r w:rsidR="005349BD" w:rsidRPr="005349BD">
        <w:rPr>
          <w:noProof/>
          <w:lang w:eastAsia="en-AU"/>
        </w:rPr>
        <w:t xml:space="preserve">Within Australia, </w:t>
      </w:r>
      <w:r w:rsidRPr="005349BD">
        <w:rPr>
          <w:noProof/>
          <w:lang w:eastAsia="en-AU"/>
        </w:rPr>
        <w:t xml:space="preserve">capital </w:t>
      </w:r>
      <w:r w:rsidR="005349BD" w:rsidRPr="005349BD">
        <w:rPr>
          <w:noProof/>
          <w:lang w:eastAsia="en-AU"/>
        </w:rPr>
        <w:t>i</w:t>
      </w:r>
      <w:r w:rsidRPr="005349BD">
        <w:rPr>
          <w:noProof/>
          <w:lang w:eastAsia="en-AU"/>
        </w:rPr>
        <w:t>ntensity has declined over the past decade across a number of industries</w:t>
      </w:r>
      <w:r w:rsidRPr="005349BD">
        <w:t xml:space="preserve"> (Chart 9).</w:t>
      </w:r>
      <w:r w:rsidR="002817EA" w:rsidRPr="005349BD">
        <w:t xml:space="preserve"> </w:t>
      </w:r>
      <w:r w:rsidR="003D30A2" w:rsidRPr="005349BD">
        <w:t>T</w:t>
      </w:r>
      <w:r w:rsidR="002817EA" w:rsidRPr="005349BD">
        <w:t xml:space="preserve">he precise </w:t>
      </w:r>
      <w:r w:rsidR="005349BD" w:rsidRPr="005349BD">
        <w:t xml:space="preserve">mechanisms and </w:t>
      </w:r>
      <w:r w:rsidR="002817EA" w:rsidRPr="005349BD">
        <w:t>impact</w:t>
      </w:r>
      <w:r w:rsidR="005349BD" w:rsidRPr="005349BD">
        <w:t>s</w:t>
      </w:r>
      <w:r w:rsidR="002817EA" w:rsidRPr="005349BD">
        <w:t xml:space="preserve"> of these </w:t>
      </w:r>
      <w:r w:rsidR="005349BD" w:rsidRPr="005349BD">
        <w:t xml:space="preserve">high-level trends require </w:t>
      </w:r>
      <w:r w:rsidR="002817EA" w:rsidRPr="005349BD">
        <w:t>further detailed analysis</w:t>
      </w:r>
      <w:r w:rsidR="005349BD" w:rsidRPr="005349BD">
        <w:t xml:space="preserve"> to understand their implications for future growth</w:t>
      </w:r>
      <w:r w:rsidR="002817EA" w:rsidRPr="005349B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0"/>
        <w:gridCol w:w="4620"/>
      </w:tblGrid>
      <w:tr w:rsidR="00824E36" w14:paraId="7F08C2B9" w14:textId="77777777" w:rsidTr="00E0527F">
        <w:tc>
          <w:tcPr>
            <w:tcW w:w="4620" w:type="dxa"/>
            <w:shd w:val="clear" w:color="auto" w:fill="auto"/>
          </w:tcPr>
          <w:p w14:paraId="1DF597E6" w14:textId="3754256A" w:rsidR="00824E36" w:rsidRDefault="00824E36" w:rsidP="00E0527F">
            <w:pPr>
              <w:pStyle w:val="FigureMainHeading"/>
            </w:pPr>
            <w:r w:rsidRPr="005349BD">
              <w:t>Chart 8: Investment intensity of industries that have driven growth</w:t>
            </w:r>
            <w:r w:rsidR="00E0527F">
              <w:br/>
            </w:r>
            <w:r w:rsidRPr="005349BD">
              <w:t>in the non-mining sector</w:t>
            </w:r>
          </w:p>
        </w:tc>
        <w:tc>
          <w:tcPr>
            <w:tcW w:w="4620" w:type="dxa"/>
            <w:shd w:val="clear" w:color="auto" w:fill="auto"/>
          </w:tcPr>
          <w:p w14:paraId="71D121C0" w14:textId="07AADAC5" w:rsidR="00824E36" w:rsidRPr="00DA194B" w:rsidRDefault="00824E36" w:rsidP="00DA194B">
            <w:pPr>
              <w:pStyle w:val="FigureMainHeading"/>
              <w:rPr>
                <w:sz w:val="18"/>
              </w:rPr>
            </w:pPr>
            <w:r w:rsidRPr="005349BD">
              <w:t>Chart 9: Nominal investment per unit of output</w:t>
            </w:r>
          </w:p>
        </w:tc>
      </w:tr>
      <w:tr w:rsidR="00824E36" w14:paraId="3EE199A1" w14:textId="77777777" w:rsidTr="00E0527F">
        <w:tc>
          <w:tcPr>
            <w:tcW w:w="4620" w:type="dxa"/>
            <w:shd w:val="clear" w:color="auto" w:fill="auto"/>
          </w:tcPr>
          <w:p w14:paraId="0E233CB4" w14:textId="4FAFBA7F" w:rsidR="00824E36" w:rsidRDefault="00824E36" w:rsidP="00824E36">
            <w:pPr>
              <w:pStyle w:val="ChartGraphic"/>
            </w:pPr>
            <w:r w:rsidRPr="005349BD">
              <w:rPr>
                <w:noProof/>
                <w:lang w:eastAsia="en-AU"/>
              </w:rPr>
              <w:drawing>
                <wp:inline distT="0" distB="0" distL="0" distR="0" wp14:anchorId="239273D4" wp14:editId="0B4D73B2">
                  <wp:extent cx="2791465" cy="2376000"/>
                  <wp:effectExtent l="0" t="0" r="889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778" b="1053"/>
                          <a:stretch/>
                        </pic:blipFill>
                        <pic:spPr bwMode="auto">
                          <a:xfrm>
                            <a:off x="0" y="0"/>
                            <a:ext cx="2791465" cy="237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0" w:type="dxa"/>
            <w:shd w:val="clear" w:color="auto" w:fill="auto"/>
          </w:tcPr>
          <w:p w14:paraId="78DC84DA" w14:textId="4D3E6CF1" w:rsidR="00824E36" w:rsidRDefault="00824E36" w:rsidP="00824E36">
            <w:pPr>
              <w:pStyle w:val="ChartGraphic"/>
            </w:pPr>
            <w:r w:rsidRPr="005349BD">
              <w:rPr>
                <w:noProof/>
                <w:lang w:eastAsia="en-AU"/>
              </w:rPr>
              <w:drawing>
                <wp:inline distT="0" distB="0" distL="0" distR="0" wp14:anchorId="11D88B86" wp14:editId="317EBE24">
                  <wp:extent cx="2568513" cy="2372264"/>
                  <wp:effectExtent l="0" t="0" r="381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2558" cy="2376000"/>
                          </a:xfrm>
                          <a:prstGeom prst="rect">
                            <a:avLst/>
                          </a:prstGeom>
                          <a:noFill/>
                          <a:ln>
                            <a:noFill/>
                          </a:ln>
                        </pic:spPr>
                      </pic:pic>
                    </a:graphicData>
                  </a:graphic>
                </wp:inline>
              </w:drawing>
            </w:r>
          </w:p>
        </w:tc>
      </w:tr>
      <w:tr w:rsidR="00824E36" w14:paraId="3E28E95A" w14:textId="77777777" w:rsidTr="00E0527F">
        <w:tc>
          <w:tcPr>
            <w:tcW w:w="4620" w:type="dxa"/>
            <w:shd w:val="clear" w:color="auto" w:fill="auto"/>
          </w:tcPr>
          <w:p w14:paraId="0B27C2C9" w14:textId="34B3821A" w:rsidR="00824E36" w:rsidRPr="005349BD" w:rsidRDefault="00824E36" w:rsidP="00824E36">
            <w:pPr>
              <w:pStyle w:val="Source"/>
            </w:pPr>
            <w:r w:rsidRPr="005349BD">
              <w:t>Source: AB</w:t>
            </w:r>
            <w:r w:rsidR="00523D27">
              <w:t>S cat. no. 5204.0 and Treasury.</w:t>
            </w:r>
          </w:p>
          <w:p w14:paraId="203C8309" w14:textId="4738DA56" w:rsidR="00824E36" w:rsidRPr="005349BD" w:rsidRDefault="00824E36" w:rsidP="00824E36">
            <w:pPr>
              <w:pStyle w:val="Source"/>
              <w:rPr>
                <w:noProof/>
                <w:lang w:eastAsia="en-AU"/>
              </w:rPr>
            </w:pPr>
            <w:r w:rsidRPr="005349BD">
              <w:t>Note: In Chart 8, investment intensity as measured as the average ratio of nominal investment to nominal GVA for the period 2005-06 to 2015-16</w:t>
            </w:r>
            <w:r w:rsidR="003B2FBC">
              <w:t>.</w:t>
            </w:r>
          </w:p>
        </w:tc>
        <w:tc>
          <w:tcPr>
            <w:tcW w:w="4620" w:type="dxa"/>
            <w:shd w:val="clear" w:color="auto" w:fill="auto"/>
          </w:tcPr>
          <w:p w14:paraId="4C7BA2FF" w14:textId="6592F96F" w:rsidR="00824E36" w:rsidRPr="00DA194B" w:rsidRDefault="00824E36" w:rsidP="00824E36">
            <w:pPr>
              <w:pStyle w:val="Source"/>
              <w:rPr>
                <w:szCs w:val="18"/>
              </w:rPr>
            </w:pPr>
            <w:r w:rsidRPr="00171FCC">
              <w:rPr>
                <w:szCs w:val="18"/>
              </w:rPr>
              <w:t>Source: ABS cat. no. 5204.0 and Treasury</w:t>
            </w:r>
            <w:r w:rsidR="00523D27">
              <w:rPr>
                <w:szCs w:val="18"/>
              </w:rPr>
              <w:t>.</w:t>
            </w:r>
          </w:p>
        </w:tc>
      </w:tr>
    </w:tbl>
    <w:p w14:paraId="5BED1B77" w14:textId="77777777" w:rsidR="00E0527F" w:rsidRDefault="00E0527F" w:rsidP="00E0527F">
      <w:pPr>
        <w:pStyle w:val="SingleParagraph"/>
        <w:rPr>
          <w:noProof/>
          <w:lang w:eastAsia="en-AU"/>
        </w:rPr>
      </w:pPr>
    </w:p>
    <w:p w14:paraId="0ACD25F1" w14:textId="36DCFB8A" w:rsidR="00942BE7" w:rsidRPr="00E0527F" w:rsidRDefault="00F77208" w:rsidP="00E0527F">
      <w:r w:rsidRPr="00BA5228">
        <w:rPr>
          <w:lang w:eastAsia="en-AU"/>
        </w:rPr>
        <w:t>The</w:t>
      </w:r>
      <w:r w:rsidR="003D30A2" w:rsidRPr="00BA5228">
        <w:rPr>
          <w:lang w:eastAsia="en-AU"/>
        </w:rPr>
        <w:t xml:space="preserve"> changing natur</w:t>
      </w:r>
      <w:r w:rsidR="00AC017A" w:rsidRPr="00BA5228">
        <w:rPr>
          <w:lang w:eastAsia="en-AU"/>
        </w:rPr>
        <w:t>e of sectors within the economy</w:t>
      </w:r>
      <w:r w:rsidR="003D30A2" w:rsidRPr="00BA5228">
        <w:rPr>
          <w:lang w:eastAsia="en-AU"/>
        </w:rPr>
        <w:t xml:space="preserve"> </w:t>
      </w:r>
      <w:r w:rsidR="00B41B8D" w:rsidRPr="00BA5228">
        <w:rPr>
          <w:lang w:eastAsia="en-AU"/>
        </w:rPr>
        <w:t xml:space="preserve">due to technological advances, </w:t>
      </w:r>
      <w:r w:rsidR="003D30A2" w:rsidRPr="00BA5228">
        <w:rPr>
          <w:lang w:eastAsia="en-AU"/>
        </w:rPr>
        <w:t xml:space="preserve">complicates the analysis of </w:t>
      </w:r>
      <w:r w:rsidR="001B215F" w:rsidRPr="00BA5228">
        <w:rPr>
          <w:lang w:eastAsia="en-AU"/>
        </w:rPr>
        <w:t>trends in business investment</w:t>
      </w:r>
      <w:r w:rsidR="003D30A2" w:rsidRPr="00BA5228">
        <w:rPr>
          <w:lang w:eastAsia="en-AU"/>
        </w:rPr>
        <w:t>. For ex</w:t>
      </w:r>
      <w:r w:rsidR="00FE1275" w:rsidRPr="00BA5228">
        <w:rPr>
          <w:lang w:eastAsia="en-AU"/>
        </w:rPr>
        <w:t>am</w:t>
      </w:r>
      <w:r w:rsidR="003D30A2" w:rsidRPr="00BA5228">
        <w:rPr>
          <w:lang w:eastAsia="en-AU"/>
        </w:rPr>
        <w:t xml:space="preserve">ple, some of </w:t>
      </w:r>
      <w:r w:rsidR="00B41B8D" w:rsidRPr="00BA5228">
        <w:rPr>
          <w:lang w:eastAsia="en-AU"/>
        </w:rPr>
        <w:t>what business owners consider investment is not cap</w:t>
      </w:r>
      <w:r w:rsidR="003720E4">
        <w:rPr>
          <w:lang w:eastAsia="en-AU"/>
        </w:rPr>
        <w:t>t</w:t>
      </w:r>
      <w:r w:rsidR="00B41B8D" w:rsidRPr="00BA5228">
        <w:rPr>
          <w:lang w:eastAsia="en-AU"/>
        </w:rPr>
        <w:t>ured as business investment by our statistical agencies. Instead the expenditure is captured</w:t>
      </w:r>
      <w:r w:rsidR="003D30A2" w:rsidRPr="00E0527F">
        <w:t xml:space="preserve"> in private investment and/or consumption. </w:t>
      </w:r>
      <w:r w:rsidR="00B41B8D" w:rsidRPr="00E0527F">
        <w:t>As an example, r</w:t>
      </w:r>
      <w:r w:rsidR="003D30A2" w:rsidRPr="00E0527F">
        <w:t>esidential dwelling construction is private investment</w:t>
      </w:r>
      <w:r w:rsidR="00B41B8D" w:rsidRPr="00E0527F">
        <w:t xml:space="preserve"> – and this may be where some Airbnb activit</w:t>
      </w:r>
      <w:r w:rsidR="00306BFF" w:rsidRPr="00E0527F">
        <w:t>y</w:t>
      </w:r>
      <w:r w:rsidR="00B41B8D" w:rsidRPr="00E0527F">
        <w:t xml:space="preserve"> </w:t>
      </w:r>
      <w:r w:rsidR="00306BFF" w:rsidRPr="00E0527F">
        <w:t>arises</w:t>
      </w:r>
      <w:r w:rsidR="003D30A2" w:rsidRPr="00E0527F">
        <w:t>.</w:t>
      </w:r>
      <w:r w:rsidR="00B41B8D" w:rsidRPr="00E0527F">
        <w:t xml:space="preserve"> Another example is e</w:t>
      </w:r>
      <w:r w:rsidR="00493FF4" w:rsidRPr="00BA5228">
        <w:rPr>
          <w:lang w:eastAsia="en-AU"/>
        </w:rPr>
        <w:t xml:space="preserve">ducation and training </w:t>
      </w:r>
      <w:r w:rsidR="00B41B8D" w:rsidRPr="00BA5228">
        <w:rPr>
          <w:lang w:eastAsia="en-AU"/>
        </w:rPr>
        <w:t>expenditure. This expenditure builds hu</w:t>
      </w:r>
      <w:r w:rsidR="00D747A7" w:rsidRPr="00BA5228">
        <w:rPr>
          <w:lang w:eastAsia="en-AU"/>
        </w:rPr>
        <w:t xml:space="preserve">man capital </w:t>
      </w:r>
      <w:r w:rsidR="00B41B8D" w:rsidRPr="00BA5228">
        <w:rPr>
          <w:lang w:eastAsia="en-AU"/>
        </w:rPr>
        <w:t>and is not</w:t>
      </w:r>
      <w:r w:rsidR="00493FF4" w:rsidRPr="00BA5228">
        <w:rPr>
          <w:lang w:eastAsia="en-AU"/>
        </w:rPr>
        <w:t xml:space="preserve"> part of official measure</w:t>
      </w:r>
      <w:r w:rsidR="00F42058" w:rsidRPr="00BA5228">
        <w:rPr>
          <w:lang w:eastAsia="en-AU"/>
        </w:rPr>
        <w:t>s</w:t>
      </w:r>
      <w:r w:rsidR="00493FF4" w:rsidRPr="00BA5228">
        <w:rPr>
          <w:lang w:eastAsia="en-AU"/>
        </w:rPr>
        <w:t xml:space="preserve"> of business investment.</w:t>
      </w:r>
    </w:p>
    <w:p w14:paraId="1CB1DBEB" w14:textId="5F48FFF8" w:rsidR="00942BE7" w:rsidRPr="00BA5228" w:rsidRDefault="00306BFF" w:rsidP="00E0527F">
      <w:pPr>
        <w:rPr>
          <w:lang w:eastAsia="en-AU"/>
        </w:rPr>
      </w:pPr>
      <w:r w:rsidRPr="00BA5228">
        <w:rPr>
          <w:lang w:eastAsia="en-AU"/>
        </w:rPr>
        <w:t>Many of the factors causing a shift to services, such as changes in consumer demand patter</w:t>
      </w:r>
      <w:r w:rsidR="003720E4">
        <w:rPr>
          <w:lang w:eastAsia="en-AU"/>
        </w:rPr>
        <w:t>n</w:t>
      </w:r>
      <w:r w:rsidRPr="00BA5228">
        <w:rPr>
          <w:lang w:eastAsia="en-AU"/>
        </w:rPr>
        <w:t xml:space="preserve">s and new technology such as automation, are structural in nature. </w:t>
      </w:r>
      <w:r w:rsidR="00266115" w:rsidRPr="00BA5228">
        <w:rPr>
          <w:lang w:eastAsia="en-AU"/>
        </w:rPr>
        <w:t xml:space="preserve">As </w:t>
      </w:r>
      <w:r w:rsidR="001B215F" w:rsidRPr="00BA5228">
        <w:rPr>
          <w:lang w:eastAsia="en-AU"/>
        </w:rPr>
        <w:t xml:space="preserve">technology changes the way businesses operate, for instance </w:t>
      </w:r>
      <w:r w:rsidRPr="00BA5228">
        <w:rPr>
          <w:lang w:eastAsia="en-AU"/>
        </w:rPr>
        <w:t xml:space="preserve">in the </w:t>
      </w:r>
      <w:r w:rsidR="001B215F" w:rsidRPr="00BA5228">
        <w:rPr>
          <w:lang w:eastAsia="en-AU"/>
        </w:rPr>
        <w:t>sharing economy, measurement of investments</w:t>
      </w:r>
      <w:r w:rsidRPr="00BA5228">
        <w:rPr>
          <w:lang w:eastAsia="en-AU"/>
        </w:rPr>
        <w:t>, relative to traditional business investment,</w:t>
      </w:r>
      <w:r w:rsidR="00266115" w:rsidRPr="00BA5228">
        <w:rPr>
          <w:lang w:eastAsia="en-AU"/>
        </w:rPr>
        <w:t xml:space="preserve"> nee</w:t>
      </w:r>
      <w:r w:rsidR="00FE1275" w:rsidRPr="00BA5228">
        <w:rPr>
          <w:lang w:eastAsia="en-AU"/>
        </w:rPr>
        <w:t>d</w:t>
      </w:r>
      <w:r w:rsidR="001B215F" w:rsidRPr="00BA5228">
        <w:rPr>
          <w:lang w:eastAsia="en-AU"/>
        </w:rPr>
        <w:t>s</w:t>
      </w:r>
      <w:r w:rsidR="00266115" w:rsidRPr="00BA5228">
        <w:rPr>
          <w:lang w:eastAsia="en-AU"/>
        </w:rPr>
        <w:t xml:space="preserve"> to be considered. </w:t>
      </w:r>
      <w:r w:rsidR="00FE1275" w:rsidRPr="00BA5228">
        <w:rPr>
          <w:lang w:eastAsia="en-AU"/>
        </w:rPr>
        <w:t>Already we have seen the impacts of the car ride-sharing services on the taxi industry and measurement of investment in ve</w:t>
      </w:r>
      <w:r w:rsidR="00523D27">
        <w:rPr>
          <w:lang w:eastAsia="en-AU"/>
        </w:rPr>
        <w:t>hicles between the two differs.</w:t>
      </w:r>
    </w:p>
    <w:p w14:paraId="24749D88" w14:textId="719B0732" w:rsidR="00663BFD" w:rsidRDefault="00E07463" w:rsidP="00E07463">
      <w:pPr>
        <w:rPr>
          <w:noProof/>
          <w:lang w:eastAsia="en-AU"/>
        </w:rPr>
      </w:pPr>
      <w:r>
        <w:rPr>
          <w:noProof/>
          <w:lang w:eastAsia="en-AU"/>
        </w:rPr>
        <w:t>D</w:t>
      </w:r>
      <w:r w:rsidR="00FE1275">
        <w:rPr>
          <w:noProof/>
          <w:lang w:eastAsia="en-AU"/>
        </w:rPr>
        <w:t>igital d</w:t>
      </w:r>
      <w:r w:rsidR="009A1022">
        <w:rPr>
          <w:noProof/>
          <w:lang w:eastAsia="en-AU"/>
        </w:rPr>
        <w:t>isruption</w:t>
      </w:r>
      <w:r w:rsidR="00DA6DCB">
        <w:rPr>
          <w:noProof/>
          <w:lang w:eastAsia="en-AU"/>
        </w:rPr>
        <w:t xml:space="preserve"> seems to have some way to go in certain industries. While tradit</w:t>
      </w:r>
      <w:r w:rsidR="00CB2C7E">
        <w:rPr>
          <w:noProof/>
          <w:lang w:eastAsia="en-AU"/>
        </w:rPr>
        <w:t>i</w:t>
      </w:r>
      <w:r w:rsidR="00DA6DCB">
        <w:rPr>
          <w:noProof/>
          <w:lang w:eastAsia="en-AU"/>
        </w:rPr>
        <w:t>onal media businesses have been overhauled by the competitive impact of social media and the reduction in barriers to entry the new technolgies represent, the journey for the financial services industry appears to be in its infancy. The rise of fintech and reduced barriers to entry in financial services offers up the potential for sign</w:t>
      </w:r>
      <w:r w:rsidR="00F42058">
        <w:rPr>
          <w:noProof/>
          <w:lang w:eastAsia="en-AU"/>
        </w:rPr>
        <w:t>i</w:t>
      </w:r>
      <w:r w:rsidR="00DA6DCB">
        <w:rPr>
          <w:noProof/>
          <w:lang w:eastAsia="en-AU"/>
        </w:rPr>
        <w:t xml:space="preserve">ficant efficiencies across the economy, </w:t>
      </w:r>
      <w:r w:rsidR="00316BAE">
        <w:rPr>
          <w:noProof/>
          <w:lang w:eastAsia="en-AU"/>
        </w:rPr>
        <w:t>particularly</w:t>
      </w:r>
      <w:r w:rsidR="00DA6DCB">
        <w:rPr>
          <w:noProof/>
          <w:lang w:eastAsia="en-AU"/>
        </w:rPr>
        <w:t xml:space="preserve"> in relation to retail and small business financial services.</w:t>
      </w:r>
    </w:p>
    <w:p w14:paraId="6E34017E" w14:textId="636FEDA4" w:rsidR="00AA5EAA" w:rsidRDefault="000F5B72" w:rsidP="00E07463">
      <w:pPr>
        <w:rPr>
          <w:noProof/>
          <w:lang w:eastAsia="en-AU"/>
        </w:rPr>
      </w:pPr>
      <w:r>
        <w:rPr>
          <w:noProof/>
          <w:lang w:eastAsia="en-AU"/>
        </w:rPr>
        <w:drawing>
          <wp:anchor distT="0" distB="0" distL="114300" distR="114300" simplePos="0" relativeHeight="251654656" behindDoc="0" locked="0" layoutInCell="1" allowOverlap="1" wp14:anchorId="206D43DA" wp14:editId="2FC6AA0E">
            <wp:simplePos x="0" y="0"/>
            <wp:positionH relativeFrom="column">
              <wp:posOffset>3838575</wp:posOffset>
            </wp:positionH>
            <wp:positionV relativeFrom="paragraph">
              <wp:posOffset>34925</wp:posOffset>
            </wp:positionV>
            <wp:extent cx="1907540" cy="719455"/>
            <wp:effectExtent l="0" t="0" r="0" b="4445"/>
            <wp:wrapSquare wrapText="bothSides"/>
            <wp:docPr id="702" name="Picture 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Z:\2017\Reports and Reviews\Intergovernmental Review of Business Investment\pullQuote-11.p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317" t="8143" r="5226" b="6886"/>
                    <a:stretch/>
                  </pic:blipFill>
                  <pic:spPr bwMode="auto">
                    <a:xfrm>
                      <a:off x="0" y="0"/>
                      <a:ext cx="1907540" cy="71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17A">
        <w:rPr>
          <w:noProof/>
          <w:lang w:eastAsia="en-AU"/>
        </w:rPr>
        <w:t>The rapidly evolving digital landscape is creating as much cause for concern for existing businesses as is the opportunity inherent in new technologies. Technological disruption is happening at a rapid pace, transforming industries and the competitive landscape.</w:t>
      </w:r>
    </w:p>
    <w:p w14:paraId="768A1F79" w14:textId="11673216" w:rsidR="00DA6DCB" w:rsidRDefault="00DA6DCB" w:rsidP="00824E36">
      <w:pPr>
        <w:pStyle w:val="FigureMainHeading"/>
      </w:pPr>
      <w:r w:rsidRPr="00AA2B59">
        <w:t xml:space="preserve">Chart </w:t>
      </w:r>
      <w:r w:rsidR="00171FCC">
        <w:t>10</w:t>
      </w:r>
      <w:r w:rsidRPr="00AA2B59">
        <w:t>: Technological change</w:t>
      </w:r>
    </w:p>
    <w:p w14:paraId="5F0E3301" w14:textId="495A6A2B" w:rsidR="00C64A53" w:rsidRDefault="00C64A53" w:rsidP="00C64A53">
      <w:pPr>
        <w:pStyle w:val="FigureMainHeading-Sub"/>
      </w:pPr>
      <w:r>
        <w:t>Australia, by industry</w:t>
      </w:r>
    </w:p>
    <w:p w14:paraId="6C659DE4" w14:textId="5AE26B01" w:rsidR="00824E36" w:rsidRPr="00663BFD" w:rsidRDefault="00824E36" w:rsidP="00DB0E6D">
      <w:pPr>
        <w:pStyle w:val="ChartGraphic"/>
        <w:keepNext/>
        <w:keepLines/>
        <w:rPr>
          <w:noProof/>
          <w:lang w:eastAsia="en-AU"/>
        </w:rPr>
      </w:pPr>
      <w:r w:rsidRPr="001A6B02">
        <w:rPr>
          <w:noProof/>
          <w:lang w:eastAsia="en-AU"/>
        </w:rPr>
        <w:drawing>
          <wp:inline distT="0" distB="0" distL="0" distR="0" wp14:anchorId="3B2FE0ED" wp14:editId="183BBD60">
            <wp:extent cx="3708000" cy="4294650"/>
            <wp:effectExtent l="0" t="0" r="698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8257" r="2511" b="2777"/>
                    <a:stretch/>
                  </pic:blipFill>
                  <pic:spPr bwMode="auto">
                    <a:xfrm>
                      <a:off x="0" y="0"/>
                      <a:ext cx="3708000" cy="4294650"/>
                    </a:xfrm>
                    <a:prstGeom prst="rect">
                      <a:avLst/>
                    </a:prstGeom>
                    <a:noFill/>
                    <a:ln>
                      <a:noFill/>
                    </a:ln>
                    <a:extLst>
                      <a:ext uri="{53640926-AAD7-44D8-BBD7-CCE9431645EC}">
                        <a14:shadowObscured xmlns:a14="http://schemas.microsoft.com/office/drawing/2010/main"/>
                      </a:ext>
                    </a:extLst>
                  </pic:spPr>
                </pic:pic>
              </a:graphicData>
            </a:graphic>
          </wp:inline>
        </w:drawing>
      </w:r>
    </w:p>
    <w:p w14:paraId="6082D94D" w14:textId="627FE108" w:rsidR="00DC4B63" w:rsidRDefault="001C3B1A" w:rsidP="00DB0E6D">
      <w:pPr>
        <w:pStyle w:val="Source"/>
        <w:keepNext/>
        <w:keepLines/>
      </w:pPr>
      <w:r w:rsidRPr="009A1022">
        <w:t>Source: Manyika et al., ‘Harnessing automation for a future that works’, McKinsey Global Institute, January 2017</w:t>
      </w:r>
      <w:r w:rsidR="00523D27">
        <w:t>.</w:t>
      </w:r>
    </w:p>
    <w:p w14:paraId="373ECD97" w14:textId="42802B89" w:rsidR="0020294C" w:rsidRDefault="00DC4B63" w:rsidP="000F5B72">
      <w:pPr>
        <w:pStyle w:val="Source"/>
      </w:pPr>
      <w:r w:rsidRPr="009A1022">
        <w:t>Note: The central scenario is that by 2055, around half of all current work activities could be automated using currently available technology. This scenario is mapped onto current employment data.</w:t>
      </w:r>
      <w:r w:rsidR="0020294C">
        <w:br w:type="page"/>
      </w:r>
    </w:p>
    <w:p w14:paraId="0D7035B9" w14:textId="34E22BF7" w:rsidR="00DA6DCB" w:rsidRDefault="00DA6DCB" w:rsidP="00E0527F">
      <w:r w:rsidRPr="00385DAC">
        <w:t xml:space="preserve">The rapid rate of technological </w:t>
      </w:r>
      <w:r w:rsidRPr="00580835">
        <w:t xml:space="preserve">change </w:t>
      </w:r>
      <w:r w:rsidRPr="00DE471A">
        <w:t>and extent of disruption across</w:t>
      </w:r>
      <w:r w:rsidRPr="000F6D14">
        <w:t xml:space="preserve"> the economy</w:t>
      </w:r>
      <w:r w:rsidRPr="00580835">
        <w:t xml:space="preserve"> means </w:t>
      </w:r>
      <w:r w:rsidRPr="00385DAC">
        <w:t>that some investors consider it is difficult to know what to invest in</w:t>
      </w:r>
      <w:r>
        <w:t xml:space="preserve"> next, as yields, businesses – e</w:t>
      </w:r>
      <w:r w:rsidRPr="00385DAC">
        <w:t xml:space="preserve">ven industries </w:t>
      </w:r>
      <w:r w:rsidR="004A184D">
        <w:t xml:space="preserve">– </w:t>
      </w:r>
      <w:r w:rsidRPr="00385DAC">
        <w:t>can be wiped out</w:t>
      </w:r>
      <w:r>
        <w:t>.</w:t>
      </w:r>
      <w:r w:rsidRPr="00910925">
        <w:t xml:space="preserve"> </w:t>
      </w:r>
      <w:r>
        <w:t>The s</w:t>
      </w:r>
      <w:r w:rsidRPr="00385DAC">
        <w:t xml:space="preserve">table revenue streams of </w:t>
      </w:r>
      <w:r w:rsidRPr="00580835">
        <w:t>the past are no longer considered stable</w:t>
      </w:r>
      <w:r>
        <w:t>.</w:t>
      </w:r>
    </w:p>
    <w:p w14:paraId="6C1E0568" w14:textId="033E56E3" w:rsidR="009E39F2" w:rsidRPr="00786E6D" w:rsidRDefault="009E39F2" w:rsidP="00FE6924">
      <w:pPr>
        <w:pStyle w:val="Bullet"/>
      </w:pPr>
      <w:r w:rsidRPr="00786E6D">
        <w:t>Contacts discussed that the lifespan of technology investment is now shorter so the timeframe for returns needs to be shorter. “Pay back periods have come right in.” Shorter payback periods are not just limited to investments in technology</w:t>
      </w:r>
      <w:r w:rsidR="00F42058" w:rsidRPr="00786E6D">
        <w:t>. I</w:t>
      </w:r>
      <w:r w:rsidRPr="00786E6D">
        <w:t>n general</w:t>
      </w:r>
      <w:r w:rsidR="009A1022" w:rsidRPr="00786E6D">
        <w:t>,</w:t>
      </w:r>
      <w:r w:rsidRPr="00786E6D">
        <w:t xml:space="preserve"> disruption across industries means that investors need to consider options for a good return over 3-5 years but after which the investment might be ‘dead’.</w:t>
      </w:r>
    </w:p>
    <w:p w14:paraId="24C9C176" w14:textId="5EE8DF66" w:rsidR="00DA6DCB" w:rsidRPr="00786E6D" w:rsidRDefault="00DA6DCB" w:rsidP="00FE6924">
      <w:pPr>
        <w:pStyle w:val="Bullet"/>
      </w:pPr>
      <w:r w:rsidRPr="00306BFF">
        <w:t xml:space="preserve">One contact commented that the digital revolution is different to the internet arriving and the transformations required are hard. </w:t>
      </w:r>
      <w:r w:rsidR="009E39F2" w:rsidRPr="00306BFF">
        <w:t>“I</w:t>
      </w:r>
      <w:r w:rsidRPr="00306BFF">
        <w:t>t is very difficult for retailers to get ‘match fit’ for the arrival of</w:t>
      </w:r>
      <w:r w:rsidRPr="00786E6D">
        <w:t xml:space="preserve"> major online competitors.</w:t>
      </w:r>
      <w:r w:rsidR="009E39F2" w:rsidRPr="00786E6D">
        <w:t>”</w:t>
      </w:r>
    </w:p>
    <w:p w14:paraId="4FB218CE" w14:textId="758B813D" w:rsidR="00DA6DCB" w:rsidRDefault="00DA6DCB" w:rsidP="001B3352">
      <w:r>
        <w:t>There were different views on the impacts of automation in different industries, and whether this would i</w:t>
      </w:r>
      <w:r w:rsidR="00523D27">
        <w:t>ncrease or decrease investment.</w:t>
      </w:r>
    </w:p>
    <w:p w14:paraId="577C55BC" w14:textId="407FFE59" w:rsidR="002750C6" w:rsidRPr="00786E6D" w:rsidRDefault="002750C6" w:rsidP="00FE6924">
      <w:pPr>
        <w:pStyle w:val="Bullet"/>
      </w:pPr>
      <w:r w:rsidRPr="00786E6D">
        <w:t xml:space="preserve">A few contacts discussed examples where automation as </w:t>
      </w:r>
      <w:r w:rsidR="009A1022" w:rsidRPr="00786E6D">
        <w:t xml:space="preserve">an </w:t>
      </w:r>
      <w:r w:rsidRPr="00786E6D">
        <w:t xml:space="preserve">efficiency measure could temporarily increase </w:t>
      </w:r>
      <w:r w:rsidR="00291F0D" w:rsidRPr="00786E6D">
        <w:t>capital expenditure (</w:t>
      </w:r>
      <w:r w:rsidR="00080402" w:rsidRPr="00786E6D">
        <w:t>Capex</w:t>
      </w:r>
      <w:r w:rsidR="00291F0D" w:rsidRPr="00786E6D">
        <w:t>)</w:t>
      </w:r>
      <w:r w:rsidR="002960F2" w:rsidRPr="00786E6D">
        <w:t>. One talked of varying levels of automation in warehousing operations, while another talked about increased automation in major agriculture operations. The potential for automation</w:t>
      </w:r>
      <w:r w:rsidR="00112B11" w:rsidRPr="00786E6D">
        <w:t>, and bespoke operations through technology such as 3D printing,</w:t>
      </w:r>
      <w:r w:rsidR="002960F2" w:rsidRPr="00786E6D">
        <w:t xml:space="preserve"> to result in some manufacturing operations mo</w:t>
      </w:r>
      <w:r w:rsidR="00523D27">
        <w:t>ving back onshore was pondered.</w:t>
      </w:r>
    </w:p>
    <w:p w14:paraId="43CF6767" w14:textId="0997ED1A" w:rsidR="002750C6" w:rsidRPr="00786E6D" w:rsidRDefault="002750C6" w:rsidP="00FE6924">
      <w:pPr>
        <w:pStyle w:val="Bullet"/>
      </w:pPr>
      <w:r w:rsidRPr="00786E6D">
        <w:t xml:space="preserve">Some banks talked about cost cutting </w:t>
      </w:r>
      <w:r w:rsidR="00080402" w:rsidRPr="00786E6D">
        <w:t xml:space="preserve">in the industry </w:t>
      </w:r>
      <w:r w:rsidRPr="00786E6D">
        <w:t>including through digitisation and greater automation</w:t>
      </w:r>
      <w:r w:rsidR="00F42058" w:rsidRPr="00786E6D">
        <w:t>,</w:t>
      </w:r>
      <w:r w:rsidRPr="00786E6D">
        <w:t xml:space="preserve"> for example in loan origination.</w:t>
      </w:r>
    </w:p>
    <w:p w14:paraId="01CAD936" w14:textId="4B30D32A" w:rsidR="0019200E" w:rsidRDefault="0019200E" w:rsidP="001B3352">
      <w:pPr>
        <w:pStyle w:val="Heading2"/>
      </w:pPr>
      <w:bookmarkStart w:id="67" w:name="_Toc490237246"/>
      <w:bookmarkStart w:id="68" w:name="_Toc490729909"/>
      <w:bookmarkStart w:id="69" w:name="_Toc491081800"/>
      <w:bookmarkStart w:id="70" w:name="_Toc491108198"/>
      <w:bookmarkStart w:id="71" w:name="_Toc491168316"/>
      <w:bookmarkStart w:id="72" w:name="_Toc491704027"/>
      <w:bookmarkStart w:id="73" w:name="_Toc491705743"/>
      <w:bookmarkStart w:id="74" w:name="_Toc492465361"/>
      <w:bookmarkStart w:id="75" w:name="_Toc492571382"/>
      <w:bookmarkStart w:id="76" w:name="_Toc492902184"/>
      <w:bookmarkStart w:id="77" w:name="_Toc496095479"/>
      <w:bookmarkStart w:id="78" w:name="_Toc496097053"/>
      <w:bookmarkStart w:id="79" w:name="_Toc489864468"/>
      <w:bookmarkStart w:id="80" w:name="_Toc490218368"/>
      <w:bookmarkStart w:id="81" w:name="_Toc490237241"/>
      <w:bookmarkStart w:id="82" w:name="_Toc490729913"/>
      <w:bookmarkStart w:id="83" w:name="_Toc491081804"/>
      <w:r>
        <w:t xml:space="preserve">Business strategies </w:t>
      </w:r>
      <w:r w:rsidR="00291F0D">
        <w:t>and risk appetite</w:t>
      </w:r>
      <w:bookmarkEnd w:id="67"/>
      <w:bookmarkEnd w:id="68"/>
      <w:bookmarkEnd w:id="69"/>
      <w:bookmarkEnd w:id="70"/>
      <w:bookmarkEnd w:id="71"/>
      <w:bookmarkEnd w:id="72"/>
      <w:bookmarkEnd w:id="73"/>
      <w:bookmarkEnd w:id="74"/>
      <w:bookmarkEnd w:id="75"/>
      <w:bookmarkEnd w:id="76"/>
      <w:bookmarkEnd w:id="77"/>
      <w:bookmarkEnd w:id="78"/>
    </w:p>
    <w:p w14:paraId="61CAB7D9" w14:textId="3CDDD894" w:rsidR="00620416" w:rsidRDefault="00112B11" w:rsidP="001B3352">
      <w:pPr>
        <w:rPr>
          <w:noProof/>
          <w:lang w:eastAsia="en-AU"/>
        </w:rPr>
      </w:pPr>
      <w:r>
        <w:rPr>
          <w:noProof/>
          <w:lang w:eastAsia="en-AU"/>
        </w:rPr>
        <w:t>S</w:t>
      </w:r>
      <w:r w:rsidR="0019200E">
        <w:rPr>
          <w:noProof/>
          <w:lang w:eastAsia="en-AU"/>
        </w:rPr>
        <w:t xml:space="preserve">ome businesses indicated strong investment intentions and strategies to expand and grow their businesses. </w:t>
      </w:r>
      <w:r w:rsidR="00291F0D">
        <w:rPr>
          <w:noProof/>
          <w:lang w:eastAsia="en-AU"/>
        </w:rPr>
        <w:t>O</w:t>
      </w:r>
      <w:r w:rsidR="0019200E">
        <w:rPr>
          <w:noProof/>
          <w:lang w:eastAsia="en-AU"/>
        </w:rPr>
        <w:t>thers indicated that business investment is increasingly being targeted at reducing costs and inc</w:t>
      </w:r>
      <w:r w:rsidR="00F32E88">
        <w:rPr>
          <w:noProof/>
          <w:lang w:eastAsia="en-AU"/>
        </w:rPr>
        <w:t>reasing operational efficiency.</w:t>
      </w:r>
    </w:p>
    <w:p w14:paraId="181A22D3" w14:textId="0026D759" w:rsidR="0019200E" w:rsidRDefault="00F32E88" w:rsidP="001B3352">
      <w:pPr>
        <w:rPr>
          <w:noProof/>
          <w:lang w:eastAsia="en-AU"/>
        </w:rPr>
      </w:pPr>
      <w:r>
        <w:rPr>
          <w:noProof/>
          <w:lang w:eastAsia="en-AU"/>
        </w:rPr>
        <w:drawing>
          <wp:anchor distT="0" distB="0" distL="114300" distR="114300" simplePos="0" relativeHeight="251655680" behindDoc="0" locked="0" layoutInCell="1" allowOverlap="1" wp14:anchorId="2463644A" wp14:editId="72F03006">
            <wp:simplePos x="0" y="0"/>
            <wp:positionH relativeFrom="column">
              <wp:posOffset>-24130</wp:posOffset>
            </wp:positionH>
            <wp:positionV relativeFrom="paragraph">
              <wp:posOffset>403225</wp:posOffset>
            </wp:positionV>
            <wp:extent cx="2012315" cy="818515"/>
            <wp:effectExtent l="0" t="0" r="6985" b="635"/>
            <wp:wrapSquare wrapText="bothSides"/>
            <wp:docPr id="703" name="Picture 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Z:\2017\Reports and Reviews\Intergovernmental Review of Business Investment\pullQuote-12.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988" r="3436" b="1031"/>
                    <a:stretch/>
                  </pic:blipFill>
                  <pic:spPr bwMode="auto">
                    <a:xfrm>
                      <a:off x="0" y="0"/>
                      <a:ext cx="2012315" cy="81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0416">
        <w:rPr>
          <w:noProof/>
          <w:lang w:eastAsia="en-AU"/>
        </w:rPr>
        <w:t xml:space="preserve">Our consultations indicate that for some this is driven by a concern that the ‘new normal’ </w:t>
      </w:r>
      <w:r w:rsidR="00620416">
        <w:t xml:space="preserve">is </w:t>
      </w:r>
      <w:r w:rsidR="00620416">
        <w:rPr>
          <w:noProof/>
          <w:lang w:eastAsia="en-AU"/>
        </w:rPr>
        <w:t xml:space="preserve">an economy characterised by </w:t>
      </w:r>
      <w:r w:rsidR="00112B11">
        <w:rPr>
          <w:noProof/>
          <w:lang w:eastAsia="en-AU"/>
        </w:rPr>
        <w:t>s</w:t>
      </w:r>
      <w:r w:rsidR="00620416">
        <w:rPr>
          <w:noProof/>
          <w:lang w:eastAsia="en-AU"/>
        </w:rPr>
        <w:t xml:space="preserve">lower economic growth and fewer revenue growth opportunities. The </w:t>
      </w:r>
      <w:r w:rsidR="00112B11">
        <w:rPr>
          <w:noProof/>
          <w:lang w:eastAsia="en-AU"/>
        </w:rPr>
        <w:t xml:space="preserve">recent </w:t>
      </w:r>
      <w:r w:rsidR="00620416">
        <w:rPr>
          <w:noProof/>
          <w:lang w:eastAsia="en-AU"/>
        </w:rPr>
        <w:t xml:space="preserve">economic </w:t>
      </w:r>
      <w:r w:rsidR="00112B11">
        <w:rPr>
          <w:noProof/>
          <w:lang w:eastAsia="en-AU"/>
        </w:rPr>
        <w:t xml:space="preserve">activity </w:t>
      </w:r>
      <w:r w:rsidR="00620416">
        <w:rPr>
          <w:noProof/>
          <w:lang w:eastAsia="en-AU"/>
        </w:rPr>
        <w:t xml:space="preserve">appears to </w:t>
      </w:r>
      <w:r w:rsidR="00133FAE">
        <w:rPr>
          <w:noProof/>
          <w:lang w:eastAsia="en-AU"/>
        </w:rPr>
        <w:t>ha</w:t>
      </w:r>
      <w:r w:rsidR="00112B11">
        <w:rPr>
          <w:noProof/>
          <w:lang w:eastAsia="en-AU"/>
        </w:rPr>
        <w:t>ve</w:t>
      </w:r>
      <w:r w:rsidR="00133FAE" w:rsidRPr="00133FAE">
        <w:rPr>
          <w:rFonts w:asciiTheme="minorHAnsi" w:hAnsiTheme="minorHAnsi"/>
        </w:rPr>
        <w:t xml:space="preserve"> </w:t>
      </w:r>
      <w:r w:rsidR="00133FAE" w:rsidRPr="003A012C">
        <w:rPr>
          <w:rFonts w:asciiTheme="minorHAnsi" w:hAnsiTheme="minorHAnsi"/>
        </w:rPr>
        <w:t xml:space="preserve">encouraged defensive strategies from corporates to generate and maintain </w:t>
      </w:r>
      <w:r w:rsidR="00133FAE">
        <w:rPr>
          <w:rFonts w:asciiTheme="minorHAnsi" w:hAnsiTheme="minorHAnsi"/>
        </w:rPr>
        <w:t xml:space="preserve">investor </w:t>
      </w:r>
      <w:r w:rsidR="00133FAE" w:rsidRPr="003A012C">
        <w:rPr>
          <w:rFonts w:asciiTheme="minorHAnsi" w:hAnsiTheme="minorHAnsi"/>
        </w:rPr>
        <w:t>interest in holding their stock</w:t>
      </w:r>
      <w:r w:rsidR="008F5BEB">
        <w:rPr>
          <w:rFonts w:asciiTheme="minorHAnsi" w:hAnsiTheme="minorHAnsi"/>
        </w:rPr>
        <w:t>,</w:t>
      </w:r>
      <w:r w:rsidR="00133FAE">
        <w:rPr>
          <w:rFonts w:asciiTheme="minorHAnsi" w:hAnsiTheme="minorHAnsi"/>
        </w:rPr>
        <w:t xml:space="preserve"> including</w:t>
      </w:r>
      <w:r w:rsidR="00133FAE" w:rsidRPr="003A012C">
        <w:rPr>
          <w:rFonts w:asciiTheme="minorHAnsi" w:hAnsiTheme="minorHAnsi"/>
        </w:rPr>
        <w:t xml:space="preserve"> cost cutting</w:t>
      </w:r>
      <w:r w:rsidR="008F5BEB">
        <w:rPr>
          <w:rFonts w:asciiTheme="minorHAnsi" w:hAnsiTheme="minorHAnsi"/>
        </w:rPr>
        <w:t>.</w:t>
      </w:r>
      <w:r w:rsidR="00620416" w:rsidRPr="00620416">
        <w:rPr>
          <w:noProof/>
          <w:lang w:eastAsia="en-AU"/>
        </w:rPr>
        <w:t xml:space="preserve"> </w:t>
      </w:r>
      <w:r w:rsidR="00620416">
        <w:rPr>
          <w:noProof/>
          <w:lang w:eastAsia="en-AU"/>
        </w:rPr>
        <w:t>Cost control and operational efficiency is becoming as important</w:t>
      </w:r>
      <w:r w:rsidR="00820D25">
        <w:rPr>
          <w:noProof/>
          <w:lang w:eastAsia="en-AU"/>
        </w:rPr>
        <w:t xml:space="preserve"> as expansion to drive economic</w:t>
      </w:r>
      <w:r w:rsidR="007C3DBA">
        <w:rPr>
          <w:noProof/>
          <w:lang w:eastAsia="en-AU"/>
        </w:rPr>
        <w:t xml:space="preserve"> </w:t>
      </w:r>
      <w:r w:rsidR="00620416">
        <w:rPr>
          <w:noProof/>
          <w:lang w:eastAsia="en-AU"/>
        </w:rPr>
        <w:t>value</w:t>
      </w:r>
      <w:r w:rsidR="00D01E82">
        <w:rPr>
          <w:noProof/>
          <w:lang w:eastAsia="en-AU"/>
        </w:rPr>
        <w:t>-</w:t>
      </w:r>
      <w:r w:rsidR="00620416">
        <w:rPr>
          <w:noProof/>
          <w:lang w:eastAsia="en-AU"/>
        </w:rPr>
        <w:t>add with firms.</w:t>
      </w:r>
    </w:p>
    <w:p w14:paraId="3DB6BFD6" w14:textId="7968426C" w:rsidR="0019200E" w:rsidRPr="00786E6D" w:rsidRDefault="0019200E" w:rsidP="00FE6924">
      <w:pPr>
        <w:pStyle w:val="Bullet"/>
      </w:pPr>
      <w:r w:rsidRPr="00786E6D">
        <w:t xml:space="preserve">A number of </w:t>
      </w:r>
      <w:r w:rsidR="004A184D" w:rsidRPr="00786E6D">
        <w:t>contacts</w:t>
      </w:r>
      <w:r w:rsidRPr="00786E6D">
        <w:t xml:space="preserve"> discussed the trend towards consolidation and cost cutting in the banking sector. Re-investment strategies are much more technology focussed </w:t>
      </w:r>
      <w:r w:rsidR="00133FAE" w:rsidRPr="00786E6D">
        <w:t>–</w:t>
      </w:r>
      <w:r w:rsidRPr="00786E6D">
        <w:t xml:space="preserve"> shifting towards greater investment in operational expenditure (Op</w:t>
      </w:r>
      <w:r w:rsidR="00133FAE" w:rsidRPr="00786E6D">
        <w:t>e</w:t>
      </w:r>
      <w:r w:rsidRPr="00786E6D">
        <w:t xml:space="preserve">x) over </w:t>
      </w:r>
      <w:r w:rsidR="00133FAE" w:rsidRPr="00786E6D">
        <w:t xml:space="preserve">capex </w:t>
      </w:r>
      <w:r w:rsidR="00523D27">
        <w:t>because the returns are faster.</w:t>
      </w:r>
    </w:p>
    <w:p w14:paraId="26EA3DA6" w14:textId="2FC9320E" w:rsidR="0019200E" w:rsidRPr="00786E6D" w:rsidRDefault="0019200E" w:rsidP="00FE6924">
      <w:pPr>
        <w:pStyle w:val="Bullet"/>
      </w:pPr>
      <w:r w:rsidRPr="00786E6D">
        <w:t>The tough retail environment is resulting in price deflation with the competitive market forcing price compression while costs are rising. As a result</w:t>
      </w:r>
      <w:r w:rsidR="008F5BEB" w:rsidRPr="00786E6D">
        <w:t>,</w:t>
      </w:r>
      <w:r w:rsidRPr="00786E6D">
        <w:t xml:space="preserve"> companies are pursuing margin recovery through increased efficiencies and higher productivity across operations.</w:t>
      </w:r>
    </w:p>
    <w:p w14:paraId="2DAD1DFE" w14:textId="27B16D69" w:rsidR="0019200E" w:rsidRDefault="00B371EB" w:rsidP="001B3352">
      <w:r>
        <w:t xml:space="preserve">Other defensive business strategies evident include </w:t>
      </w:r>
      <w:r w:rsidR="0019200E" w:rsidRPr="003A012C">
        <w:t>aggressive capital management app</w:t>
      </w:r>
      <w:r w:rsidR="005B6E1C">
        <w:t>roaches such as increasing debt-</w:t>
      </w:r>
      <w:r w:rsidR="0019200E" w:rsidRPr="003A012C">
        <w:t>to</w:t>
      </w:r>
      <w:r w:rsidR="005B6E1C">
        <w:t>-</w:t>
      </w:r>
      <w:r w:rsidR="0019200E" w:rsidRPr="003A012C">
        <w:t>equity ratios, increasing dividend payout ratios, share buybacks and expansion via mergers, acquisitions and other brownfield investm</w:t>
      </w:r>
      <w:r w:rsidR="00523D27">
        <w:t>ent strategies.</w:t>
      </w:r>
    </w:p>
    <w:p w14:paraId="656454EA" w14:textId="77777777" w:rsidR="0019200E" w:rsidRPr="00786E6D" w:rsidRDefault="0019200E" w:rsidP="00786E6D">
      <w:pPr>
        <w:pStyle w:val="Bullet"/>
        <w:tabs>
          <w:tab w:val="clear" w:pos="425"/>
        </w:tabs>
        <w:rPr>
          <w:rFonts w:asciiTheme="minorHAnsi" w:hAnsiTheme="minorHAnsi"/>
        </w:rPr>
      </w:pPr>
      <w:r w:rsidRPr="00786E6D">
        <w:rPr>
          <w:rFonts w:asciiTheme="minorHAnsi" w:hAnsiTheme="minorHAnsi"/>
        </w:rPr>
        <w:t>One contact suggested that uncertainty combined with less reliable economic data means that it is diffic</w:t>
      </w:r>
      <w:r w:rsidRPr="00FE6924">
        <w:t>u</w:t>
      </w:r>
      <w:r w:rsidRPr="00786E6D">
        <w:rPr>
          <w:rFonts w:asciiTheme="minorHAnsi" w:hAnsiTheme="minorHAnsi"/>
        </w:rPr>
        <w:t>lt to get a good aggregate picture of what is happening in the economy and often (eight times out of ten) results in a default to pay dividends rather than investing.</w:t>
      </w:r>
    </w:p>
    <w:p w14:paraId="729FC7E1" w14:textId="6C8BBC14" w:rsidR="006054EE" w:rsidRPr="00DA194B" w:rsidRDefault="00112B11" w:rsidP="00DA194B">
      <w:pPr>
        <w:rPr>
          <w:rFonts w:asciiTheme="minorHAnsi" w:hAnsiTheme="minorHAnsi"/>
        </w:rPr>
      </w:pPr>
      <w:r>
        <w:t>Di</w:t>
      </w:r>
      <w:r w:rsidR="0019200E" w:rsidRPr="0092696B">
        <w:t>vidend payments to shareholders are at historic highs and cash hold</w:t>
      </w:r>
      <w:r w:rsidR="0019200E">
        <w:t>ings are substantial</w:t>
      </w:r>
      <w:r>
        <w:t xml:space="preserve"> (Chart 1</w:t>
      </w:r>
      <w:r w:rsidR="00F42058">
        <w:t>1</w:t>
      </w:r>
      <w:r>
        <w:t>)</w:t>
      </w:r>
      <w:r w:rsidR="0019200E">
        <w:t>.</w:t>
      </w:r>
      <w:r w:rsidR="0019200E" w:rsidRPr="006B6B58">
        <w:t xml:space="preserve"> </w:t>
      </w:r>
      <w:r w:rsidR="0019200E">
        <w:t>It is evident that b</w:t>
      </w:r>
      <w:r w:rsidR="0019200E" w:rsidRPr="00626E0B">
        <w:t xml:space="preserve">usinesses </w:t>
      </w:r>
      <w:r w:rsidR="0019200E" w:rsidRPr="00626E0B" w:rsidDel="00D01E82">
        <w:t xml:space="preserve">are </w:t>
      </w:r>
      <w:r w:rsidDel="00D01E82">
        <w:t xml:space="preserve">currently </w:t>
      </w:r>
      <w:r w:rsidR="0019200E" w:rsidRPr="00626E0B">
        <w:t>deciding to hold more cash or return it to shareholders</w:t>
      </w:r>
      <w:r w:rsidR="0019200E">
        <w:t xml:space="preserve">, which typically comes </w:t>
      </w:r>
      <w:r w:rsidR="0019200E" w:rsidRPr="003A012C">
        <w:rPr>
          <w:rFonts w:asciiTheme="minorHAnsi" w:hAnsiTheme="minorHAnsi"/>
        </w:rPr>
        <w:t>at the expense of new investment in the productive capacity of the economy</w:t>
      </w:r>
      <w:r w:rsidR="00DA194B">
        <w:rPr>
          <w:rFonts w:asciiTheme="minorHAnsi" w:hAnsiTheme="minorHAnsi"/>
        </w:rPr>
        <w:t>.</w:t>
      </w:r>
    </w:p>
    <w:p w14:paraId="56D6E173" w14:textId="1CFC1CEC" w:rsidR="0019200E" w:rsidRPr="00622083" w:rsidRDefault="0019200E" w:rsidP="00691261">
      <w:pPr>
        <w:pStyle w:val="FigureMainHeading"/>
      </w:pPr>
      <w:r w:rsidRPr="00AA2B59">
        <w:t xml:space="preserve">Chart </w:t>
      </w:r>
      <w:r w:rsidR="006039C0">
        <w:t>1</w:t>
      </w:r>
      <w:r w:rsidR="00171FCC">
        <w:t>1</w:t>
      </w:r>
      <w:r w:rsidRPr="00AA2B59">
        <w:t>: Dividend payouts and deposits</w:t>
      </w:r>
    </w:p>
    <w:p w14:paraId="0C93EABF" w14:textId="5B7D495A" w:rsidR="0019200E" w:rsidRDefault="00824E36" w:rsidP="00824E36">
      <w:pPr>
        <w:pStyle w:val="ChartGraphic"/>
      </w:pPr>
      <w:r w:rsidRPr="00786995">
        <w:rPr>
          <w:noProof/>
          <w:lang w:eastAsia="en-AU"/>
        </w:rPr>
        <w:drawing>
          <wp:inline distT="0" distB="0" distL="0" distR="0" wp14:anchorId="7073EBDE" wp14:editId="6C95523C">
            <wp:extent cx="4966199" cy="22320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457" t="2041" r="1264"/>
                    <a:stretch/>
                  </pic:blipFill>
                  <pic:spPr bwMode="auto">
                    <a:xfrm>
                      <a:off x="0" y="0"/>
                      <a:ext cx="4966199" cy="2232000"/>
                    </a:xfrm>
                    <a:prstGeom prst="rect">
                      <a:avLst/>
                    </a:prstGeom>
                    <a:noFill/>
                    <a:ln>
                      <a:noFill/>
                    </a:ln>
                    <a:extLst>
                      <a:ext uri="{53640926-AAD7-44D8-BBD7-CCE9431645EC}">
                        <a14:shadowObscured xmlns:a14="http://schemas.microsoft.com/office/drawing/2010/main"/>
                      </a:ext>
                    </a:extLst>
                  </pic:spPr>
                </pic:pic>
              </a:graphicData>
            </a:graphic>
          </wp:inline>
        </w:drawing>
      </w:r>
    </w:p>
    <w:p w14:paraId="21A15F6E" w14:textId="5012921B" w:rsidR="0019200E" w:rsidRPr="00CA2A64" w:rsidRDefault="0019200E" w:rsidP="00824E36">
      <w:pPr>
        <w:pStyle w:val="Source"/>
        <w:rPr>
          <w:b/>
          <w:i/>
        </w:rPr>
      </w:pPr>
      <w:r w:rsidRPr="00CA2A64">
        <w:t>Source: ABS cat. no. 5204.0, 5206.0 &amp; 5232.0</w:t>
      </w:r>
      <w:r w:rsidR="00523D27">
        <w:t>.</w:t>
      </w:r>
    </w:p>
    <w:p w14:paraId="7A25BA3D" w14:textId="5ACCD08D" w:rsidR="00ED7B86" w:rsidRDefault="00ED7B86" w:rsidP="00ED7B86">
      <w:pPr>
        <w:spacing w:after="0"/>
      </w:pPr>
    </w:p>
    <w:p w14:paraId="2690B6F8" w14:textId="0BA59DA5" w:rsidR="00B371EB" w:rsidRDefault="00F32E88" w:rsidP="001B3352">
      <w:r>
        <w:rPr>
          <w:noProof/>
          <w:lang w:eastAsia="en-AU"/>
        </w:rPr>
        <w:drawing>
          <wp:anchor distT="0" distB="0" distL="114300" distR="114300" simplePos="0" relativeHeight="251656704" behindDoc="0" locked="0" layoutInCell="1" allowOverlap="1" wp14:anchorId="77B4B4E1" wp14:editId="32DCF003">
            <wp:simplePos x="0" y="0"/>
            <wp:positionH relativeFrom="column">
              <wp:posOffset>3784600</wp:posOffset>
            </wp:positionH>
            <wp:positionV relativeFrom="paragraph">
              <wp:posOffset>50165</wp:posOffset>
            </wp:positionV>
            <wp:extent cx="1960880" cy="817880"/>
            <wp:effectExtent l="0" t="0" r="1270" b="1270"/>
            <wp:wrapSquare wrapText="bothSides"/>
            <wp:docPr id="288"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Z:\2017\Reports and Reviews\Intergovernmental Review of Business Investment\pullQuote-13.pn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4431" r="4339"/>
                    <a:stretch/>
                  </pic:blipFill>
                  <pic:spPr bwMode="auto">
                    <a:xfrm>
                      <a:off x="0" y="0"/>
                      <a:ext cx="1960880" cy="817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1EB" w:rsidRPr="003A012C">
        <w:t>A persistent theme from contacts</w:t>
      </w:r>
      <w:r w:rsidR="00B371EB">
        <w:t xml:space="preserve"> was a low risk appetite from both corporate boards of directors and investors</w:t>
      </w:r>
      <w:r w:rsidR="00B371EB" w:rsidRPr="003A012C">
        <w:t xml:space="preserve">. </w:t>
      </w:r>
      <w:r w:rsidR="00B371EB">
        <w:t>Over time, investors have expressed a preference for s</w:t>
      </w:r>
      <w:r w:rsidR="00B371EB" w:rsidRPr="003A012C">
        <w:t>olid</w:t>
      </w:r>
      <w:r w:rsidR="00B371EB">
        <w:t>,</w:t>
      </w:r>
      <w:r w:rsidR="00B371EB" w:rsidRPr="003A012C">
        <w:t xml:space="preserve"> steady returns over</w:t>
      </w:r>
      <w:r w:rsidR="00B371EB">
        <w:t xml:space="preserve"> potentially</w:t>
      </w:r>
      <w:r w:rsidR="00B371EB" w:rsidRPr="003A012C">
        <w:t xml:space="preserve"> high</w:t>
      </w:r>
      <w:r w:rsidR="00B371EB">
        <w:t>er</w:t>
      </w:r>
      <w:r w:rsidR="00B371EB" w:rsidRPr="003A012C">
        <w:t xml:space="preserve"> returns </w:t>
      </w:r>
      <w:r w:rsidR="00B371EB">
        <w:t>due to</w:t>
      </w:r>
      <w:r w:rsidR="00B371EB" w:rsidRPr="003A012C">
        <w:t xml:space="preserve"> the associated risk </w:t>
      </w:r>
      <w:r w:rsidR="00B371EB">
        <w:t>of</w:t>
      </w:r>
      <w:r w:rsidR="00B371EB" w:rsidRPr="003A012C">
        <w:t xml:space="preserve"> volatility</w:t>
      </w:r>
      <w:r w:rsidR="00B371EB">
        <w:t xml:space="preserve"> with the latter</w:t>
      </w:r>
      <w:r w:rsidR="00B371EB" w:rsidRPr="003A012C">
        <w:t xml:space="preserve">. </w:t>
      </w:r>
      <w:r w:rsidR="00B371EB">
        <w:t>Other relevant factor</w:t>
      </w:r>
      <w:r w:rsidR="004A184D">
        <w:t>s</w:t>
      </w:r>
      <w:r w:rsidR="00B371EB">
        <w:t xml:space="preserve"> </w:t>
      </w:r>
      <w:r w:rsidR="004A184D">
        <w:t>identified by stakeholders as</w:t>
      </w:r>
      <w:r w:rsidR="00B371EB">
        <w:t xml:space="preserve"> contributing to low risk defensive business strategies include:</w:t>
      </w:r>
    </w:p>
    <w:p w14:paraId="258A042F" w14:textId="028B263A" w:rsidR="00B371EB" w:rsidRPr="00786E6D" w:rsidRDefault="0019200E" w:rsidP="00FE6924">
      <w:pPr>
        <w:pStyle w:val="Bullet"/>
      </w:pPr>
      <w:r w:rsidRPr="00786E6D">
        <w:t>A number of examples of high</w:t>
      </w:r>
      <w:r w:rsidR="00112B11" w:rsidRPr="00786E6D">
        <w:t>-</w:t>
      </w:r>
      <w:r w:rsidRPr="00786E6D">
        <w:t xml:space="preserve">profile failed investments in Australia </w:t>
      </w:r>
      <w:r w:rsidR="00B371EB" w:rsidRPr="00786E6D">
        <w:t xml:space="preserve">which </w:t>
      </w:r>
      <w:r w:rsidRPr="00786E6D">
        <w:t>were cited as having a strong negative impact on share price performance</w:t>
      </w:r>
      <w:r w:rsidR="00B40DC9" w:rsidRPr="00786E6D">
        <w:t xml:space="preserve"> and </w:t>
      </w:r>
      <w:r w:rsidR="00523D27">
        <w:t>executive careers</w:t>
      </w:r>
      <w:r w:rsidR="00C44F9D">
        <w:t>;</w:t>
      </w:r>
    </w:p>
    <w:p w14:paraId="37D2A9FA" w14:textId="40EF77A1" w:rsidR="0019200E" w:rsidRPr="00786E6D" w:rsidRDefault="00B371EB" w:rsidP="00FE6924">
      <w:pPr>
        <w:pStyle w:val="Bullet"/>
      </w:pPr>
      <w:r w:rsidRPr="00786E6D">
        <w:t>G</w:t>
      </w:r>
      <w:r w:rsidR="0019200E" w:rsidRPr="00786E6D">
        <w:t>reater scrutiny by regulators</w:t>
      </w:r>
      <w:r w:rsidR="00112B11" w:rsidRPr="00786E6D">
        <w:t xml:space="preserve"> in the financial sector following the </w:t>
      </w:r>
      <w:r w:rsidR="0019200E" w:rsidRPr="00786E6D">
        <w:t>GFC</w:t>
      </w:r>
      <w:r w:rsidR="004A184D" w:rsidRPr="00786E6D">
        <w:t>,</w:t>
      </w:r>
      <w:r w:rsidR="0019200E" w:rsidRPr="00786E6D">
        <w:t xml:space="preserve"> </w:t>
      </w:r>
      <w:r w:rsidRPr="00786E6D">
        <w:t>which</w:t>
      </w:r>
      <w:r w:rsidR="0019200E" w:rsidRPr="00786E6D">
        <w:t xml:space="preserve"> has resulted in corporate governance requirements </w:t>
      </w:r>
      <w:r w:rsidR="00112B11" w:rsidRPr="00786E6D">
        <w:t>becoming more of a barrier to</w:t>
      </w:r>
      <w:r w:rsidR="0019200E" w:rsidRPr="00786E6D">
        <w:t xml:space="preserve"> entrepreneurial investment and ap</w:t>
      </w:r>
      <w:r w:rsidR="005B6E1C">
        <w:t>propriately managing</w:t>
      </w:r>
      <w:r w:rsidR="00523D27">
        <w:t xml:space="preserve"> risk-taking</w:t>
      </w:r>
      <w:r w:rsidR="00C44F9D">
        <w:t>; and</w:t>
      </w:r>
    </w:p>
    <w:p w14:paraId="67FEAD58" w14:textId="273C899C" w:rsidR="00A47E63" w:rsidRPr="00786E6D" w:rsidRDefault="00A47E63" w:rsidP="00FE6924">
      <w:pPr>
        <w:pStyle w:val="Bullet"/>
      </w:pPr>
      <w:r w:rsidRPr="00786E6D">
        <w:t xml:space="preserve">The cultural appetite for risk which is an important determinant on whether people choose to grow a business. The potential for policy settings to impact this is </w:t>
      </w:r>
      <w:r w:rsidR="00AD2C88">
        <w:t>discussed</w:t>
      </w:r>
      <w:r w:rsidRPr="00786E6D">
        <w:t xml:space="preserve"> in the </w:t>
      </w:r>
      <w:r w:rsidRPr="007E21BC">
        <w:rPr>
          <w:i/>
        </w:rPr>
        <w:t>Institutional Settings and Policies</w:t>
      </w:r>
      <w:r w:rsidRPr="00786E6D">
        <w:t xml:space="preserve"> section of this report on p.</w:t>
      </w:r>
      <w:r w:rsidR="00C44F9D">
        <w:t>34-</w:t>
      </w:r>
      <w:r w:rsidR="00DF363B" w:rsidRPr="00786E6D">
        <w:t>3</w:t>
      </w:r>
      <w:r w:rsidR="00AD2C88">
        <w:t>5</w:t>
      </w:r>
      <w:r w:rsidR="00523D27">
        <w:t>.</w:t>
      </w:r>
    </w:p>
    <w:p w14:paraId="2592AB6A" w14:textId="0AF5AED1" w:rsidR="0019200E" w:rsidRDefault="0019200E" w:rsidP="001B3352">
      <w:r>
        <w:t xml:space="preserve">Some stakeholders </w:t>
      </w:r>
      <w:r w:rsidR="00B371EB">
        <w:t xml:space="preserve">raised concerns </w:t>
      </w:r>
      <w:r>
        <w:t>that</w:t>
      </w:r>
      <w:r w:rsidRPr="00CD35BF">
        <w:t xml:space="preserve"> </w:t>
      </w:r>
      <w:r w:rsidR="00D01E82">
        <w:t>b</w:t>
      </w:r>
      <w:r w:rsidRPr="00CD35BF">
        <w:t>oards</w:t>
      </w:r>
      <w:r>
        <w:t xml:space="preserve"> are</w:t>
      </w:r>
      <w:r w:rsidRPr="00CD35BF">
        <w:t xml:space="preserve"> increasingly becoming focused on operational </w:t>
      </w:r>
      <w:r>
        <w:t xml:space="preserve">detail (without necessarily having the required expertise) </w:t>
      </w:r>
      <w:r w:rsidRPr="00CD35BF">
        <w:t xml:space="preserve">and leaving </w:t>
      </w:r>
      <w:r w:rsidR="00112B11">
        <w:t>less</w:t>
      </w:r>
      <w:r w:rsidRPr="00CD35BF">
        <w:t xml:space="preserve"> t</w:t>
      </w:r>
      <w:r w:rsidR="00523D27">
        <w:t>o the discretion of management.</w:t>
      </w:r>
    </w:p>
    <w:p w14:paraId="06C6B79C" w14:textId="76E2125C" w:rsidR="0019200E" w:rsidRPr="00786E6D" w:rsidRDefault="0019200E" w:rsidP="00FE6924">
      <w:pPr>
        <w:pStyle w:val="Bullet"/>
      </w:pPr>
      <w:r w:rsidRPr="00786E6D">
        <w:t>One contact said too many companies have been captured by their management and Non</w:t>
      </w:r>
      <w:r w:rsidRPr="00786E6D">
        <w:noBreakHyphen/>
        <w:t>Executive Dir</w:t>
      </w:r>
      <w:r w:rsidR="00B87AB5">
        <w:t>ectors, and that board decision-</w:t>
      </w:r>
      <w:r w:rsidRPr="00786E6D">
        <w:t>making and responsibilities are too frequently a compliance role, wi</w:t>
      </w:r>
      <w:r w:rsidR="00523D27">
        <w:t>th no real strategic decisions.</w:t>
      </w:r>
    </w:p>
    <w:p w14:paraId="107E94B2" w14:textId="1933AE67" w:rsidR="0019200E" w:rsidRPr="00CD35BF" w:rsidRDefault="0019200E" w:rsidP="001B3352">
      <w:r w:rsidRPr="00CD35BF">
        <w:t xml:space="preserve">There were mixed views on </w:t>
      </w:r>
      <w:r>
        <w:t xml:space="preserve">whether the requirement to </w:t>
      </w:r>
      <w:r w:rsidRPr="00CD35BF">
        <w:t>hav</w:t>
      </w:r>
      <w:r>
        <w:t xml:space="preserve">e a majority of independent directors on the board of a company strikes an appropriate balance. </w:t>
      </w:r>
      <w:r w:rsidRPr="00CD35BF">
        <w:t xml:space="preserve">Some considered </w:t>
      </w:r>
      <w:r>
        <w:t xml:space="preserve">that having more shareholder board members could be </w:t>
      </w:r>
      <w:r w:rsidRPr="00CD35BF">
        <w:t>a welcome alignment of interest</w:t>
      </w:r>
      <w:r w:rsidR="00D01E82">
        <w:t>. O</w:t>
      </w:r>
      <w:r w:rsidRPr="00CD35BF">
        <w:t xml:space="preserve">thers </w:t>
      </w:r>
      <w:r>
        <w:t>noted</w:t>
      </w:r>
      <w:r w:rsidRPr="00CD35BF">
        <w:t xml:space="preserve"> that this could create a tension between the incentives for short-term profit and investment to grow profits over the longer term. It was </w:t>
      </w:r>
      <w:r>
        <w:t xml:space="preserve">however </w:t>
      </w:r>
      <w:r w:rsidRPr="00CD35BF">
        <w:t>acknowledged that it is hard to generalise whether su</w:t>
      </w:r>
      <w:r w:rsidR="00D01E82">
        <w:t>ch incentives exist in publicly-</w:t>
      </w:r>
      <w:r w:rsidRPr="00CD35BF">
        <w:t>listed companies</w:t>
      </w:r>
      <w:r>
        <w:t xml:space="preserve"> and that short</w:t>
      </w:r>
      <w:r w:rsidR="00E31442">
        <w:t>-</w:t>
      </w:r>
      <w:r>
        <w:t>term and long</w:t>
      </w:r>
      <w:r w:rsidR="00E31442">
        <w:t>-</w:t>
      </w:r>
      <w:r>
        <w:t>term profits are not necessarily mutually exclusive</w:t>
      </w:r>
      <w:r w:rsidRPr="00CD35BF">
        <w:t>.</w:t>
      </w:r>
    </w:p>
    <w:p w14:paraId="631B2CE8" w14:textId="5381B159" w:rsidR="0019200E" w:rsidRPr="00CD35BF" w:rsidRDefault="0019200E" w:rsidP="001B3352">
      <w:r w:rsidRPr="00CD35BF">
        <w:t xml:space="preserve">More broadly, </w:t>
      </w:r>
      <w:r>
        <w:t>while many considerations need to be taken into account, there were some</w:t>
      </w:r>
      <w:r w:rsidRPr="00CD35BF">
        <w:t xml:space="preserve"> interesting</w:t>
      </w:r>
      <w:r>
        <w:t xml:space="preserve"> general</w:t>
      </w:r>
      <w:r w:rsidRPr="00CD35BF">
        <w:t xml:space="preserve"> distinction</w:t>
      </w:r>
      <w:r>
        <w:t>s</w:t>
      </w:r>
      <w:r w:rsidRPr="00CD35BF">
        <w:t xml:space="preserve"> made </w:t>
      </w:r>
      <w:r>
        <w:t xml:space="preserve">by </w:t>
      </w:r>
      <w:r w:rsidR="00972D5A">
        <w:t>contacts</w:t>
      </w:r>
      <w:r>
        <w:t xml:space="preserve"> </w:t>
      </w:r>
      <w:r w:rsidRPr="00CD35BF">
        <w:t>between listed and non-listed companies.</w:t>
      </w:r>
      <w:r>
        <w:t xml:space="preserve"> I</w:t>
      </w:r>
      <w:r w:rsidRPr="00CD35BF">
        <w:t>t was noted that operating non</w:t>
      </w:r>
      <w:r>
        <w:noBreakHyphen/>
      </w:r>
      <w:r w:rsidRPr="00CD35BF">
        <w:t xml:space="preserve">listed companies is considerably easier as there </w:t>
      </w:r>
      <w:r>
        <w:t>are not</w:t>
      </w:r>
      <w:r w:rsidRPr="00CD35BF">
        <w:t xml:space="preserve"> </w:t>
      </w:r>
      <w:r>
        <w:t xml:space="preserve">as </w:t>
      </w:r>
      <w:r w:rsidR="005126BD">
        <w:t>much</w:t>
      </w:r>
      <w:r w:rsidRPr="00CD35BF">
        <w:t xml:space="preserve"> bureaucracy or rep</w:t>
      </w:r>
      <w:r>
        <w:t>orting and auditing obligations</w:t>
      </w:r>
      <w:r w:rsidRPr="00CD35BF">
        <w:t>. Decision-makers have more freedom as the company is not valued on the market every day, and there are less people in the decision</w:t>
      </w:r>
      <w:r w:rsidRPr="00CD35BF">
        <w:noBreakHyphen/>
        <w:t>making process (not driven by investor preferences). Nevertheless</w:t>
      </w:r>
      <w:r w:rsidR="00E31442">
        <w:t>,</w:t>
      </w:r>
      <w:r w:rsidRPr="00CD35BF">
        <w:t xml:space="preserve"> </w:t>
      </w:r>
      <w:r w:rsidR="00B371EB">
        <w:t>stakeholders</w:t>
      </w:r>
      <w:r w:rsidR="00B371EB" w:rsidRPr="00CD35BF">
        <w:t xml:space="preserve"> </w:t>
      </w:r>
      <w:r w:rsidRPr="00CD35BF">
        <w:t xml:space="preserve">generally agreed that </w:t>
      </w:r>
      <w:r>
        <w:t xml:space="preserve">regulation and </w:t>
      </w:r>
      <w:r w:rsidRPr="00CD35BF">
        <w:t>corporate governance is necessary and important in keeping corruption out of businesses and pr</w:t>
      </w:r>
      <w:r w:rsidR="009D7F7E">
        <w:t>otecting investors’ interests.</w:t>
      </w:r>
    </w:p>
    <w:p w14:paraId="64D92E19" w14:textId="7974B5B1" w:rsidR="007F1908" w:rsidRPr="004A5E09" w:rsidRDefault="007F1908" w:rsidP="001B3352">
      <w:pPr>
        <w:pStyle w:val="Heading2"/>
        <w:rPr>
          <w:b w:val="0"/>
        </w:rPr>
      </w:pPr>
      <w:bookmarkStart w:id="84" w:name="_Toc490729914"/>
      <w:bookmarkStart w:id="85" w:name="_Toc491081805"/>
      <w:bookmarkStart w:id="86" w:name="_Toc491108200"/>
      <w:bookmarkStart w:id="87" w:name="_Toc491168317"/>
      <w:bookmarkStart w:id="88" w:name="_Toc491704028"/>
      <w:bookmarkStart w:id="89" w:name="_Toc491705744"/>
      <w:bookmarkStart w:id="90" w:name="_Toc492465362"/>
      <w:bookmarkStart w:id="91" w:name="_Toc492571383"/>
      <w:bookmarkStart w:id="92" w:name="_Toc492902185"/>
      <w:bookmarkStart w:id="93" w:name="_Toc496095480"/>
      <w:bookmarkStart w:id="94" w:name="_Toc496097054"/>
      <w:bookmarkEnd w:id="79"/>
      <w:bookmarkEnd w:id="80"/>
      <w:bookmarkEnd w:id="81"/>
      <w:bookmarkEnd w:id="82"/>
      <w:bookmarkEnd w:id="83"/>
      <w:r w:rsidRPr="004A5E09">
        <w:t>Uncertainty and firm behaviour</w:t>
      </w:r>
      <w:bookmarkEnd w:id="84"/>
      <w:bookmarkEnd w:id="85"/>
      <w:bookmarkEnd w:id="86"/>
      <w:bookmarkEnd w:id="87"/>
      <w:bookmarkEnd w:id="88"/>
      <w:bookmarkEnd w:id="89"/>
      <w:bookmarkEnd w:id="90"/>
      <w:bookmarkEnd w:id="91"/>
      <w:bookmarkEnd w:id="92"/>
      <w:bookmarkEnd w:id="93"/>
      <w:bookmarkEnd w:id="94"/>
    </w:p>
    <w:p w14:paraId="7298CBB3" w14:textId="317D97B2" w:rsidR="00DA6DCB" w:rsidRDefault="00662FE4" w:rsidP="004B57F7">
      <w:pPr>
        <w:pStyle w:val="PullGraphic"/>
      </w:pPr>
      <w:r>
        <w:drawing>
          <wp:anchor distT="0" distB="0" distL="114300" distR="114300" simplePos="0" relativeHeight="251661824" behindDoc="0" locked="0" layoutInCell="1" allowOverlap="1" wp14:anchorId="0801C20F" wp14:editId="04EDFBFE">
            <wp:simplePos x="0" y="0"/>
            <wp:positionH relativeFrom="column">
              <wp:posOffset>3837940</wp:posOffset>
            </wp:positionH>
            <wp:positionV relativeFrom="paragraph">
              <wp:posOffset>559435</wp:posOffset>
            </wp:positionV>
            <wp:extent cx="1907540" cy="719455"/>
            <wp:effectExtent l="0" t="0" r="0" b="4445"/>
            <wp:wrapSquare wrapText="bothSides"/>
            <wp:docPr id="290" name="Pictur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Z:\2017\Reports and Reviews\Intergovernmental Review of Business Investment\pullQuote-14.pn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6647" t="8144" r="6982" b="8061"/>
                    <a:stretch/>
                  </pic:blipFill>
                  <pic:spPr bwMode="auto">
                    <a:xfrm>
                      <a:off x="0" y="0"/>
                      <a:ext cx="1907540" cy="71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1F1">
        <w:t>There</w:t>
      </w:r>
      <w:r w:rsidR="00DA6DCB">
        <w:t xml:space="preserve"> has been almost universal feedback that uncertainty has been elevated for the past decade and that this is impacting firm behaviour</w:t>
      </w:r>
      <w:r w:rsidR="007A6EC0">
        <w:t xml:space="preserve"> – both business strategy and investment decisions</w:t>
      </w:r>
      <w:r w:rsidR="00DA6DCB">
        <w:t xml:space="preserve">. </w:t>
      </w:r>
      <w:r w:rsidR="00DA6DCB" w:rsidRPr="0015709C">
        <w:t xml:space="preserve">As many fixed investments involve irreversible costs, uncertainty </w:t>
      </w:r>
      <w:r w:rsidR="007A6EC0">
        <w:t xml:space="preserve">and risk </w:t>
      </w:r>
      <w:r w:rsidR="00DA6DCB" w:rsidRPr="0015709C">
        <w:t>around expected returns can weigh heavily on investment decisions</w:t>
      </w:r>
      <w:r w:rsidR="00CF11F1">
        <w:t>. D</w:t>
      </w:r>
      <w:r w:rsidR="00DA6DCB" w:rsidRPr="0015709C">
        <w:t>espite</w:t>
      </w:r>
      <w:r w:rsidR="00102E23">
        <w:t xml:space="preserve"> the fact</w:t>
      </w:r>
      <w:r w:rsidR="00DA6DCB" w:rsidRPr="0015709C">
        <w:t xml:space="preserve"> that</w:t>
      </w:r>
      <w:r>
        <w:t xml:space="preserve"> </w:t>
      </w:r>
      <w:r w:rsidR="00DA6DCB" w:rsidRPr="0015709C">
        <w:t>long</w:t>
      </w:r>
      <w:r w:rsidR="007A6EC0">
        <w:t>-</w:t>
      </w:r>
      <w:r w:rsidR="00DA6DCB" w:rsidRPr="0015709C">
        <w:t>lived investments are generally over multiple time periods that will see changes in business strategies</w:t>
      </w:r>
      <w:r w:rsidR="00CF11F1">
        <w:t xml:space="preserve">, </w:t>
      </w:r>
      <w:r w:rsidR="00CF11F1" w:rsidRPr="0015709C">
        <w:t>firms may postpone investment</w:t>
      </w:r>
      <w:r w:rsidR="00CF11F1">
        <w:t xml:space="preserve"> i</w:t>
      </w:r>
      <w:r w:rsidR="00DA6DCB" w:rsidRPr="0015709C">
        <w:t>n periods of heightened eco</w:t>
      </w:r>
      <w:r w:rsidR="00CF11F1">
        <w:t>nomic and political uncertainty</w:t>
      </w:r>
      <w:r w:rsidR="00DA6DCB" w:rsidRPr="0015709C">
        <w:t xml:space="preserve">. </w:t>
      </w:r>
      <w:r w:rsidR="007A6EC0">
        <w:t>This i</w:t>
      </w:r>
      <w:r w:rsidR="006807B4">
        <w:t>s a rational business decision.</w:t>
      </w:r>
    </w:p>
    <w:p w14:paraId="6ACB7D19" w14:textId="5A3DE962" w:rsidR="00DA6DCB" w:rsidRPr="0015709C" w:rsidRDefault="00DA6DCB" w:rsidP="001B3352">
      <w:r w:rsidRPr="0015709C">
        <w:t xml:space="preserve">Our consultations revealed a number of </w:t>
      </w:r>
      <w:r w:rsidR="007A6EC0">
        <w:t xml:space="preserve">heightened </w:t>
      </w:r>
      <w:r w:rsidRPr="0015709C">
        <w:t xml:space="preserve">sources of uncertainty </w:t>
      </w:r>
      <w:r w:rsidR="007A6EC0">
        <w:t xml:space="preserve">for </w:t>
      </w:r>
      <w:r w:rsidRPr="0015709C">
        <w:t>business</w:t>
      </w:r>
      <w:r w:rsidR="007A6EC0">
        <w:t xml:space="preserve"> in the current environment</w:t>
      </w:r>
      <w:r w:rsidRPr="0015709C">
        <w:t>:</w:t>
      </w:r>
    </w:p>
    <w:p w14:paraId="70449907" w14:textId="5877F1DF" w:rsidR="00D4612F" w:rsidRPr="00786E6D" w:rsidRDefault="00D4612F" w:rsidP="00786E6D">
      <w:pPr>
        <w:pStyle w:val="Bullet"/>
        <w:tabs>
          <w:tab w:val="clear" w:pos="425"/>
        </w:tabs>
        <w:rPr>
          <w:rFonts w:asciiTheme="minorHAnsi" w:hAnsiTheme="minorHAnsi"/>
        </w:rPr>
      </w:pPr>
      <w:r w:rsidRPr="00786E6D">
        <w:rPr>
          <w:rFonts w:asciiTheme="minorHAnsi" w:hAnsiTheme="minorHAnsi"/>
        </w:rPr>
        <w:t>T</w:t>
      </w:r>
      <w:r w:rsidR="00DA6DCB" w:rsidRPr="00786E6D">
        <w:rPr>
          <w:rFonts w:asciiTheme="minorHAnsi" w:hAnsiTheme="minorHAnsi"/>
        </w:rPr>
        <w:t>he impact of technological innovations</w:t>
      </w:r>
      <w:r w:rsidRPr="00786E6D">
        <w:rPr>
          <w:rFonts w:asciiTheme="minorHAnsi" w:hAnsiTheme="minorHAnsi"/>
        </w:rPr>
        <w:t xml:space="preserve"> inclu</w:t>
      </w:r>
      <w:r w:rsidR="00523D27">
        <w:rPr>
          <w:rFonts w:asciiTheme="minorHAnsi" w:hAnsiTheme="minorHAnsi"/>
        </w:rPr>
        <w:t>ding disruption in the economy;</w:t>
      </w:r>
    </w:p>
    <w:p w14:paraId="7E101ACA" w14:textId="596E244F" w:rsidR="0092512B" w:rsidRPr="00786E6D" w:rsidRDefault="008C7578" w:rsidP="00786E6D">
      <w:pPr>
        <w:pStyle w:val="Bullet"/>
        <w:tabs>
          <w:tab w:val="clear" w:pos="425"/>
        </w:tabs>
        <w:rPr>
          <w:rFonts w:asciiTheme="minorHAnsi" w:hAnsiTheme="minorHAnsi"/>
        </w:rPr>
      </w:pPr>
      <w:r w:rsidRPr="00786E6D">
        <w:rPr>
          <w:rFonts w:asciiTheme="minorHAnsi" w:hAnsiTheme="minorHAnsi"/>
        </w:rPr>
        <w:t xml:space="preserve">Global economic </w:t>
      </w:r>
      <w:r w:rsidR="00B40DC9" w:rsidRPr="00786E6D">
        <w:rPr>
          <w:rFonts w:asciiTheme="minorHAnsi" w:hAnsiTheme="minorHAnsi"/>
        </w:rPr>
        <w:t xml:space="preserve">and financial market </w:t>
      </w:r>
      <w:r w:rsidRPr="00786E6D">
        <w:rPr>
          <w:rFonts w:asciiTheme="minorHAnsi" w:hAnsiTheme="minorHAnsi"/>
        </w:rPr>
        <w:t>uncertainty following the GFC</w:t>
      </w:r>
      <w:r w:rsidR="0092512B" w:rsidRPr="00786E6D">
        <w:rPr>
          <w:rFonts w:asciiTheme="minorHAnsi" w:hAnsiTheme="minorHAnsi"/>
        </w:rPr>
        <w:t>;</w:t>
      </w:r>
    </w:p>
    <w:p w14:paraId="421726FA" w14:textId="30989E9C" w:rsidR="00DA6DCB" w:rsidRPr="00786E6D" w:rsidRDefault="00DA6DCB" w:rsidP="00786E6D">
      <w:pPr>
        <w:pStyle w:val="Bullet"/>
        <w:tabs>
          <w:tab w:val="clear" w:pos="425"/>
        </w:tabs>
        <w:rPr>
          <w:rFonts w:asciiTheme="minorHAnsi" w:hAnsiTheme="minorHAnsi"/>
        </w:rPr>
      </w:pPr>
      <w:r w:rsidRPr="00786E6D">
        <w:rPr>
          <w:rFonts w:asciiTheme="minorHAnsi" w:hAnsiTheme="minorHAnsi"/>
        </w:rPr>
        <w:t>Geo-political uncertainty</w:t>
      </w:r>
      <w:r w:rsidR="0092512B" w:rsidRPr="00786E6D">
        <w:rPr>
          <w:rFonts w:asciiTheme="minorHAnsi" w:hAnsiTheme="minorHAnsi"/>
        </w:rPr>
        <w:t>;</w:t>
      </w:r>
      <w:r w:rsidRPr="00786E6D">
        <w:rPr>
          <w:rFonts w:asciiTheme="minorHAnsi" w:hAnsiTheme="minorHAnsi"/>
        </w:rPr>
        <w:t xml:space="preserve"> </w:t>
      </w:r>
      <w:r w:rsidR="00CF11F1" w:rsidRPr="00786E6D">
        <w:rPr>
          <w:rFonts w:asciiTheme="minorHAnsi" w:hAnsiTheme="minorHAnsi"/>
        </w:rPr>
        <w:t>and</w:t>
      </w:r>
    </w:p>
    <w:p w14:paraId="0D3F1F56" w14:textId="09D472D8" w:rsidR="00DA6DCB" w:rsidRPr="00786E6D" w:rsidRDefault="00DA6DCB" w:rsidP="00786E6D">
      <w:pPr>
        <w:pStyle w:val="Bullet"/>
        <w:tabs>
          <w:tab w:val="clear" w:pos="425"/>
        </w:tabs>
        <w:rPr>
          <w:rFonts w:asciiTheme="minorHAnsi" w:hAnsiTheme="minorHAnsi"/>
        </w:rPr>
      </w:pPr>
      <w:r w:rsidRPr="00786E6D">
        <w:rPr>
          <w:rFonts w:asciiTheme="minorHAnsi" w:hAnsiTheme="minorHAnsi"/>
        </w:rPr>
        <w:t xml:space="preserve">Domestic </w:t>
      </w:r>
      <w:r w:rsidR="00D7182A" w:rsidRPr="00786E6D">
        <w:rPr>
          <w:rFonts w:asciiTheme="minorHAnsi" w:hAnsiTheme="minorHAnsi"/>
        </w:rPr>
        <w:t xml:space="preserve">political </w:t>
      </w:r>
      <w:r w:rsidR="00B40DC9" w:rsidRPr="00786E6D">
        <w:rPr>
          <w:rFonts w:asciiTheme="minorHAnsi" w:hAnsiTheme="minorHAnsi"/>
        </w:rPr>
        <w:t>uncertainty</w:t>
      </w:r>
      <w:r w:rsidR="00D7182A" w:rsidRPr="00786E6D">
        <w:rPr>
          <w:rFonts w:asciiTheme="minorHAnsi" w:hAnsiTheme="minorHAnsi"/>
        </w:rPr>
        <w:t xml:space="preserve"> and </w:t>
      </w:r>
      <w:r w:rsidRPr="00786E6D">
        <w:rPr>
          <w:rFonts w:asciiTheme="minorHAnsi" w:hAnsiTheme="minorHAnsi"/>
        </w:rPr>
        <w:t xml:space="preserve">policy </w:t>
      </w:r>
      <w:r w:rsidR="00320C8C" w:rsidRPr="00786E6D">
        <w:rPr>
          <w:rFonts w:asciiTheme="minorHAnsi" w:hAnsiTheme="minorHAnsi"/>
        </w:rPr>
        <w:t xml:space="preserve">stability and </w:t>
      </w:r>
      <w:r w:rsidRPr="00786E6D">
        <w:rPr>
          <w:rFonts w:asciiTheme="minorHAnsi" w:hAnsiTheme="minorHAnsi"/>
        </w:rPr>
        <w:t xml:space="preserve">continuity at </w:t>
      </w:r>
      <w:r w:rsidR="007A6EC0" w:rsidRPr="00786E6D">
        <w:rPr>
          <w:rFonts w:asciiTheme="minorHAnsi" w:hAnsiTheme="minorHAnsi"/>
        </w:rPr>
        <w:t xml:space="preserve">all levels of </w:t>
      </w:r>
      <w:r w:rsidR="0099102A">
        <w:rPr>
          <w:rFonts w:asciiTheme="minorHAnsi" w:hAnsiTheme="minorHAnsi"/>
        </w:rPr>
        <w:t>g</w:t>
      </w:r>
      <w:r w:rsidR="007A6EC0" w:rsidRPr="00786E6D">
        <w:rPr>
          <w:rFonts w:asciiTheme="minorHAnsi" w:hAnsiTheme="minorHAnsi"/>
        </w:rPr>
        <w:t>overnment</w:t>
      </w:r>
      <w:r w:rsidR="002A1786" w:rsidRPr="00786E6D">
        <w:rPr>
          <w:rFonts w:asciiTheme="minorHAnsi" w:hAnsiTheme="minorHAnsi"/>
        </w:rPr>
        <w:t>.</w:t>
      </w:r>
    </w:p>
    <w:p w14:paraId="49A1E9E7" w14:textId="0F368393" w:rsidR="00DA6DCB" w:rsidRPr="00252EA4" w:rsidRDefault="007A6EC0" w:rsidP="001B3352">
      <w:r>
        <w:t xml:space="preserve">Even with </w:t>
      </w:r>
      <w:r w:rsidR="00DA6DCB" w:rsidRPr="00252EA4">
        <w:t xml:space="preserve">recent signs of </w:t>
      </w:r>
      <w:r>
        <w:t xml:space="preserve">transition from the mining sector to broader based domestic economic growth and a pickup in </w:t>
      </w:r>
      <w:r w:rsidR="00DA6DCB" w:rsidRPr="00252EA4">
        <w:t xml:space="preserve">global </w:t>
      </w:r>
      <w:r>
        <w:t>activity</w:t>
      </w:r>
      <w:r w:rsidR="002A1786">
        <w:t>,</w:t>
      </w:r>
      <w:r>
        <w:t xml:space="preserve"> t</w:t>
      </w:r>
      <w:r w:rsidR="00DA6DCB" w:rsidRPr="00252EA4">
        <w:t xml:space="preserve">he outlook remains mixed. </w:t>
      </w:r>
      <w:r w:rsidR="00DA6DCB" w:rsidRPr="00252EA4">
        <w:rPr>
          <w:rFonts w:cstheme="minorHAnsi"/>
        </w:rPr>
        <w:t xml:space="preserve">Heightened global political instability and </w:t>
      </w:r>
      <w:r w:rsidR="008C7578">
        <w:rPr>
          <w:rFonts w:cstheme="minorHAnsi"/>
        </w:rPr>
        <w:t>the fracturing of a</w:t>
      </w:r>
      <w:r w:rsidR="00DA6DCB" w:rsidRPr="00252EA4">
        <w:t xml:space="preserve"> broad consensus about the benefits of free trade</w:t>
      </w:r>
      <w:r w:rsidR="00320C8C">
        <w:t xml:space="preserve"> and investment flows</w:t>
      </w:r>
      <w:r w:rsidR="00DA6DCB" w:rsidRPr="00252EA4">
        <w:t>, associated with a resurgence of protectionism rhetoric</w:t>
      </w:r>
      <w:r w:rsidR="00DA6DCB" w:rsidRPr="00252EA4">
        <w:rPr>
          <w:rFonts w:cstheme="minorHAnsi"/>
        </w:rPr>
        <w:t xml:space="preserve"> is </w:t>
      </w:r>
      <w:r w:rsidR="00DA6DCB" w:rsidRPr="00252EA4">
        <w:t>worrying to business.</w:t>
      </w:r>
    </w:p>
    <w:p w14:paraId="3756AEBA" w14:textId="076DE4D0" w:rsidR="00DA6DCB" w:rsidRDefault="007E6D53" w:rsidP="001B3352">
      <w:r>
        <w:rPr>
          <w:noProof/>
          <w:lang w:eastAsia="en-AU"/>
        </w:rPr>
        <w:drawing>
          <wp:anchor distT="0" distB="0" distL="114300" distR="114300" simplePos="0" relativeHeight="251662848" behindDoc="0" locked="0" layoutInCell="1" allowOverlap="1" wp14:anchorId="7CB84720" wp14:editId="40AA02EF">
            <wp:simplePos x="0" y="0"/>
            <wp:positionH relativeFrom="column">
              <wp:posOffset>4015740</wp:posOffset>
            </wp:positionH>
            <wp:positionV relativeFrom="paragraph">
              <wp:posOffset>21590</wp:posOffset>
            </wp:positionV>
            <wp:extent cx="1727835" cy="683895"/>
            <wp:effectExtent l="0" t="0" r="5715" b="1905"/>
            <wp:wrapSquare wrapText="bothSides"/>
            <wp:docPr id="292" name="Pictur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Z:\2017\Reports and Reviews\Intergovernmental Review of Business Investment\pullQuote-15.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1522" t="8144" r="11431" b="10394"/>
                    <a:stretch/>
                  </pic:blipFill>
                  <pic:spPr bwMode="auto">
                    <a:xfrm>
                      <a:off x="0" y="0"/>
                      <a:ext cx="1727835" cy="68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DCB" w:rsidRPr="00252EA4">
        <w:rPr>
          <w:rFonts w:cstheme="minorHAnsi"/>
        </w:rPr>
        <w:t xml:space="preserve">Years of economic uncertainty and slower growth have been identified as </w:t>
      </w:r>
      <w:r w:rsidR="00DA6DCB">
        <w:rPr>
          <w:rFonts w:cstheme="minorHAnsi"/>
        </w:rPr>
        <w:t>an</w:t>
      </w:r>
      <w:r w:rsidR="00DA6DCB" w:rsidRPr="00252EA4">
        <w:rPr>
          <w:rFonts w:cstheme="minorHAnsi"/>
        </w:rPr>
        <w:t xml:space="preserve"> impediment to investment. </w:t>
      </w:r>
      <w:r w:rsidR="00DA6DCB" w:rsidRPr="00252EA4">
        <w:t>There is a strong view that coming out of the financial downturn, the psychological impacts described as the ‘scars’ of the GFC</w:t>
      </w:r>
      <w:r w:rsidR="007A6EC0">
        <w:t xml:space="preserve"> on </w:t>
      </w:r>
      <w:r w:rsidR="004B2E53">
        <w:t xml:space="preserve">business </w:t>
      </w:r>
      <w:r w:rsidR="007A6EC0">
        <w:t>decision makers</w:t>
      </w:r>
      <w:r w:rsidR="00DA6DCB" w:rsidRPr="00252EA4">
        <w:t xml:space="preserve">, are deeper and more extensive than we had </w:t>
      </w:r>
      <w:r w:rsidR="007A6EC0">
        <w:t xml:space="preserve">originally </w:t>
      </w:r>
      <w:r w:rsidR="00DA6DCB" w:rsidRPr="00252EA4">
        <w:t>expected.</w:t>
      </w:r>
      <w:r w:rsidR="00DA6DCB">
        <w:t xml:space="preserve"> The GFC introduced new risk </w:t>
      </w:r>
      <w:r w:rsidR="00320C8C">
        <w:t>premia for</w:t>
      </w:r>
      <w:r w:rsidR="00DA6DCB">
        <w:t xml:space="preserve"> advanced economies; that of </w:t>
      </w:r>
      <w:r w:rsidR="00320C8C">
        <w:t>an economic, financial or political shock</w:t>
      </w:r>
      <w:r w:rsidR="00DA6DCB">
        <w:t xml:space="preserve"> which had for decades previously</w:t>
      </w:r>
      <w:r w:rsidR="00CF11F1">
        <w:t xml:space="preserve"> largely</w:t>
      </w:r>
      <w:r w:rsidR="00DA6DCB">
        <w:t xml:space="preserve"> been the domain of emerging </w:t>
      </w:r>
      <w:r w:rsidR="00320C8C">
        <w:t xml:space="preserve">and frontier </w:t>
      </w:r>
      <w:r w:rsidR="00DA6DCB">
        <w:t xml:space="preserve">economies. Tail events, that is, low probability, high impact events, now weigh on the minds of business leaders and financial </w:t>
      </w:r>
      <w:r w:rsidR="00320C8C">
        <w:t>market particip</w:t>
      </w:r>
      <w:r w:rsidR="00FF52CA">
        <w:t>a</w:t>
      </w:r>
      <w:r w:rsidR="00320C8C">
        <w:t>nts</w:t>
      </w:r>
      <w:r w:rsidR="00DA6DCB">
        <w:t xml:space="preserve">. </w:t>
      </w:r>
      <w:r w:rsidR="007A6EC0">
        <w:t xml:space="preserve">It was suggested that this is </w:t>
      </w:r>
      <w:r w:rsidR="00DA6DCB">
        <w:t>reduc</w:t>
      </w:r>
      <w:r w:rsidR="007A6EC0">
        <w:t>ing the</w:t>
      </w:r>
      <w:r w:rsidR="00DA6DCB">
        <w:t xml:space="preserve"> risk appetite f</w:t>
      </w:r>
      <w:r w:rsidR="007A6EC0">
        <w:t>or sections of the business community</w:t>
      </w:r>
      <w:r w:rsidR="00102E23">
        <w:t>.</w:t>
      </w:r>
    </w:p>
    <w:p w14:paraId="1379E7FF" w14:textId="0DCBAE4B" w:rsidR="00DA6DCB" w:rsidRPr="004A5E09" w:rsidRDefault="00DA6DCB" w:rsidP="001B3352">
      <w:r w:rsidRPr="004A5E09">
        <w:t xml:space="preserve">While Australian-based subsidiaries </w:t>
      </w:r>
      <w:r w:rsidR="00320C8C">
        <w:t>of</w:t>
      </w:r>
      <w:r w:rsidRPr="004A5E09">
        <w:t xml:space="preserve"> foreign companies generally shared a view that political</w:t>
      </w:r>
      <w:r w:rsidR="00080402">
        <w:t xml:space="preserve"> and</w:t>
      </w:r>
      <w:r w:rsidR="00CF11F1">
        <w:t xml:space="preserve"> policy</w:t>
      </w:r>
      <w:r w:rsidRPr="004A5E09">
        <w:t xml:space="preserve"> uncertainty in Australia compares well to overseas experience, many businesses feel that it is currently elevated in Australia – this is explored in detail in the next section </w:t>
      </w:r>
      <w:r w:rsidRPr="004A5E09">
        <w:rPr>
          <w:i/>
        </w:rPr>
        <w:t>Institutional Settings</w:t>
      </w:r>
      <w:r w:rsidR="00CF11F1">
        <w:rPr>
          <w:i/>
        </w:rPr>
        <w:t xml:space="preserve"> and Policies</w:t>
      </w:r>
      <w:r w:rsidR="00523D27">
        <w:t>.</w:t>
      </w:r>
    </w:p>
    <w:p w14:paraId="73A0EC93" w14:textId="59EA3050" w:rsidR="00DA6DCB" w:rsidRDefault="00DA6DCB" w:rsidP="001B3352">
      <w:r w:rsidRPr="004A5E09">
        <w:t xml:space="preserve">Discussions indicate that it can be difficult to disentangle statements about </w:t>
      </w:r>
      <w:r w:rsidR="007A6EC0">
        <w:t xml:space="preserve">general </w:t>
      </w:r>
      <w:r w:rsidRPr="004A5E09">
        <w:t xml:space="preserve">uncertainty from perspectives on the outlook for demand or risk appetites. However, it is important for government and policy-makers to try to understand the links and the impacts that these </w:t>
      </w:r>
      <w:r w:rsidR="00D01E82">
        <w:t>factors</w:t>
      </w:r>
      <w:r w:rsidR="007A6EC0">
        <w:t xml:space="preserve"> </w:t>
      </w:r>
      <w:r w:rsidRPr="004A5E09">
        <w:t>can have on business decision-making.</w:t>
      </w:r>
      <w:r w:rsidR="00080402">
        <w:t xml:space="preserve"> </w:t>
      </w:r>
      <w:r>
        <w:t xml:space="preserve">As an example, the minimum </w:t>
      </w:r>
      <w:r w:rsidRPr="0092696B">
        <w:t xml:space="preserve">expected return on </w:t>
      </w:r>
      <w:r>
        <w:t xml:space="preserve">potential </w:t>
      </w:r>
      <w:r w:rsidRPr="0092696B">
        <w:t>investment projects requi</w:t>
      </w:r>
      <w:r>
        <w:t xml:space="preserve">red to gain managerial approval </w:t>
      </w:r>
      <w:r w:rsidRPr="00D7269D">
        <w:t xml:space="preserve">— </w:t>
      </w:r>
      <w:r>
        <w:t>known as the ‘</w:t>
      </w:r>
      <w:r w:rsidRPr="00D40F41">
        <w:t>hurdle rate’</w:t>
      </w:r>
      <w:r>
        <w:t xml:space="preserve"> </w:t>
      </w:r>
      <w:r w:rsidRPr="00D7269D">
        <w:t>—</w:t>
      </w:r>
      <w:r>
        <w:t xml:space="preserve"> </w:t>
      </w:r>
      <w:r w:rsidRPr="00D7269D">
        <w:t>remain</w:t>
      </w:r>
      <w:r>
        <w:t>s</w:t>
      </w:r>
      <w:r w:rsidRPr="00D7269D">
        <w:t xml:space="preserve"> elevated</w:t>
      </w:r>
      <w:r w:rsidR="007A6EC0">
        <w:t xml:space="preserve"> despite current low interest rates and bond yields </w:t>
      </w:r>
      <w:r w:rsidR="007A6EC0" w:rsidRPr="00176541">
        <w:t xml:space="preserve">(Chart </w:t>
      </w:r>
      <w:r w:rsidR="00176541" w:rsidRPr="00176541">
        <w:t>12</w:t>
      </w:r>
      <w:r w:rsidR="002A1786">
        <w:t xml:space="preserve"> and Chart 13</w:t>
      </w:r>
      <w:r w:rsidR="007A6EC0" w:rsidRPr="00176541">
        <w:t>)</w:t>
      </w:r>
      <w:r w:rsidRPr="00176541">
        <w:t>.</w:t>
      </w:r>
    </w:p>
    <w:p w14:paraId="284D767D" w14:textId="49F203B0" w:rsidR="002A1786" w:rsidRDefault="00EF3E39" w:rsidP="00691261">
      <w:pPr>
        <w:pStyle w:val="FigureMainHeading"/>
      </w:pPr>
      <w:r w:rsidRPr="00AA2B59">
        <w:t xml:space="preserve">Chart </w:t>
      </w:r>
      <w:r w:rsidR="00176541">
        <w:t>12</w:t>
      </w:r>
      <w:r w:rsidRPr="00AA2B59">
        <w:t xml:space="preserve">: </w:t>
      </w:r>
      <w:r>
        <w:t>Government bond yields</w:t>
      </w:r>
    </w:p>
    <w:p w14:paraId="20AA8D0E" w14:textId="358D872E" w:rsidR="00824E36" w:rsidRPr="00933F41" w:rsidRDefault="00C148EF" w:rsidP="00C148EF">
      <w:pPr>
        <w:pStyle w:val="ChartGraphic"/>
      </w:pPr>
      <w:r>
        <w:object w:dxaOrig="14625" w:dyaOrig="9014" w14:anchorId="6D1E7C58">
          <v:shape id="_x0000_i1028" type="#_x0000_t75" style="width:415.1pt;height:250.45pt" o:ole="">
            <v:imagedata r:id="rId68" o:title="" croptop="23531f" cropbottom="3509f" cropleft="24339f" cropright="1724f"/>
          </v:shape>
          <o:OLEObject Type="Link" ProgID="Excel.Sheet.8" ShapeID="_x0000_i1028" DrawAspect="Content" r:id="rId69" UpdateMode="Always">
            <o:LinkType>EnhancedMetaFile</o:LinkType>
            <o:LockedField>false</o:LockedField>
            <o:FieldCodes>\* MERGEFORMAT</o:FieldCodes>
          </o:OLEObject>
        </w:object>
      </w:r>
    </w:p>
    <w:p w14:paraId="5D06AA91" w14:textId="084C4854" w:rsidR="00EF3E39" w:rsidRDefault="00EF3E39" w:rsidP="00824E36">
      <w:pPr>
        <w:pStyle w:val="Source"/>
      </w:pPr>
      <w:r w:rsidRPr="00B86574">
        <w:t>Source: Bloomberg</w:t>
      </w:r>
      <w:r w:rsidR="00523D27">
        <w:t>.</w:t>
      </w:r>
    </w:p>
    <w:p w14:paraId="53E1D579" w14:textId="622745E8" w:rsidR="00DA6DCB" w:rsidRDefault="00DA6DCB" w:rsidP="00691261">
      <w:pPr>
        <w:pStyle w:val="FigureMainHeading"/>
      </w:pPr>
      <w:r w:rsidRPr="00AA2B59">
        <w:t xml:space="preserve">Chart </w:t>
      </w:r>
      <w:r w:rsidR="006039C0">
        <w:t>1</w:t>
      </w:r>
      <w:r w:rsidR="00176541">
        <w:t>3</w:t>
      </w:r>
      <w:r w:rsidRPr="00AA2B59">
        <w:t xml:space="preserve">: Investment hurdle </w:t>
      </w:r>
      <w:r w:rsidRPr="00176541">
        <w:t>rates</w:t>
      </w:r>
      <w:r w:rsidR="007A6EC0" w:rsidRPr="00176541">
        <w:t xml:space="preserve"> (nominal)</w:t>
      </w:r>
    </w:p>
    <w:p w14:paraId="31F3A16A" w14:textId="7F213D26" w:rsidR="00824E36" w:rsidRPr="00AA2B59" w:rsidRDefault="00824E36" w:rsidP="00824E36">
      <w:pPr>
        <w:pStyle w:val="ChartGraphic"/>
      </w:pPr>
      <w:r w:rsidRPr="005A60C7">
        <w:rPr>
          <w:noProof/>
          <w:lang w:eastAsia="en-AU"/>
        </w:rPr>
        <w:drawing>
          <wp:inline distT="0" distB="0" distL="0" distR="0" wp14:anchorId="3DFF60E2" wp14:editId="5703054A">
            <wp:extent cx="5520906" cy="2475781"/>
            <wp:effectExtent l="0" t="0" r="3810" b="127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082" b="1538"/>
                    <a:stretch/>
                  </pic:blipFill>
                  <pic:spPr bwMode="auto">
                    <a:xfrm>
                      <a:off x="0" y="0"/>
                      <a:ext cx="5521261" cy="2475940"/>
                    </a:xfrm>
                    <a:prstGeom prst="rect">
                      <a:avLst/>
                    </a:prstGeom>
                    <a:noFill/>
                    <a:ln>
                      <a:noFill/>
                    </a:ln>
                    <a:extLst>
                      <a:ext uri="{53640926-AAD7-44D8-BBD7-CCE9431645EC}">
                        <a14:shadowObscured xmlns:a14="http://schemas.microsoft.com/office/drawing/2010/main"/>
                      </a:ext>
                    </a:extLst>
                  </pic:spPr>
                </pic:pic>
              </a:graphicData>
            </a:graphic>
          </wp:inline>
        </w:drawing>
      </w:r>
    </w:p>
    <w:p w14:paraId="012FCEEA" w14:textId="1A1E09F8" w:rsidR="00402A0E" w:rsidRPr="00AA2B59" w:rsidRDefault="00402A0E" w:rsidP="00824E36">
      <w:pPr>
        <w:pStyle w:val="Source"/>
      </w:pPr>
      <w:r w:rsidRPr="00AA2B59">
        <w:t>Source</w:t>
      </w:r>
      <w:r w:rsidR="00523D27">
        <w:t>: NAB Quarterly Business Survey.</w:t>
      </w:r>
    </w:p>
    <w:p w14:paraId="77FA465F" w14:textId="77777777" w:rsidR="0020294C" w:rsidRDefault="0020294C" w:rsidP="0020294C">
      <w:pPr>
        <w:pStyle w:val="SingleParagraph"/>
      </w:pPr>
    </w:p>
    <w:p w14:paraId="19878599" w14:textId="0D711E4D" w:rsidR="00DA6DCB" w:rsidRDefault="00CF11F1" w:rsidP="00824E36">
      <w:r>
        <w:t>A</w:t>
      </w:r>
      <w:r w:rsidR="00DA6DCB">
        <w:t xml:space="preserve"> lower average cost of capital should theore</w:t>
      </w:r>
      <w:r>
        <w:t>tically drive down hurdle rates. Some companies consulted suggested that in real world decision-making</w:t>
      </w:r>
      <w:r w:rsidR="001F0B52">
        <w:t>,</w:t>
      </w:r>
      <w:r>
        <w:t xml:space="preserve"> real </w:t>
      </w:r>
      <w:r w:rsidRPr="003A012C">
        <w:t>hurdle rates are</w:t>
      </w:r>
      <w:r>
        <w:t xml:space="preserve"> not </w:t>
      </w:r>
      <w:r w:rsidRPr="003A012C">
        <w:t xml:space="preserve">as important and are not </w:t>
      </w:r>
      <w:r w:rsidR="007A6EC0">
        <w:t xml:space="preserve">as </w:t>
      </w:r>
      <w:r w:rsidRPr="003A012C">
        <w:t>regularly reviewed</w:t>
      </w:r>
      <w:r w:rsidR="007A6EC0">
        <w:t xml:space="preserve"> as theoretical literature would suggest or assume</w:t>
      </w:r>
      <w:r>
        <w:t>. Others</w:t>
      </w:r>
      <w:r w:rsidR="00DA6DCB">
        <w:t xml:space="preserve"> i</w:t>
      </w:r>
      <w:r w:rsidR="00DA6DCB" w:rsidRPr="003A012C">
        <w:t>ndicated that hurdle rates are reviewed every few years and had b</w:t>
      </w:r>
      <w:r w:rsidR="00DA6DCB">
        <w:t xml:space="preserve">een modestly reduced recently. </w:t>
      </w:r>
      <w:r w:rsidR="00D01E82">
        <w:t>However, companies noted that b</w:t>
      </w:r>
      <w:r>
        <w:t xml:space="preserve">oards are requiring more downside scenario planning which has </w:t>
      </w:r>
      <w:r w:rsidR="007A6EC0">
        <w:t>a negative impact</w:t>
      </w:r>
      <w:r>
        <w:t xml:space="preserve"> on the feasibility of investments. </w:t>
      </w:r>
      <w:r w:rsidR="00DA6DCB" w:rsidRPr="003A012C">
        <w:t xml:space="preserve">One contact </w:t>
      </w:r>
      <w:r>
        <w:t>commented</w:t>
      </w:r>
      <w:r w:rsidR="00DA6DCB" w:rsidRPr="003A012C">
        <w:t xml:space="preserve"> that they do not tend to adjust hurdle rates for cyclical fluctuations and that it depends on the gearing assumptions (less likely to revise down if highly leveraged).</w:t>
      </w:r>
    </w:p>
    <w:p w14:paraId="18FCC765" w14:textId="3A02D2DA" w:rsidR="00DA6DCB" w:rsidRDefault="00EF6A92" w:rsidP="001B3352">
      <w:r>
        <w:t>All c</w:t>
      </w:r>
      <w:r w:rsidR="00DA6DCB" w:rsidRPr="003A012C">
        <w:t xml:space="preserve">ontacts discussed their </w:t>
      </w:r>
      <w:r w:rsidR="00D80EF0">
        <w:t xml:space="preserve">increased </w:t>
      </w:r>
      <w:r w:rsidR="00DA6DCB" w:rsidRPr="003A012C">
        <w:t>use of downside scenario planning</w:t>
      </w:r>
      <w:r w:rsidR="00D80EF0">
        <w:t xml:space="preserve"> relative to business decision making a decade ago</w:t>
      </w:r>
      <w:r w:rsidR="00DA6DCB" w:rsidRPr="003A012C">
        <w:t xml:space="preserve">, and noted that </w:t>
      </w:r>
      <w:r w:rsidR="00DA6DCB">
        <w:t xml:space="preserve">discount rates or </w:t>
      </w:r>
      <w:r w:rsidR="00DA6DCB" w:rsidRPr="003A012C">
        <w:t>hurdle rates cannot be considered in isolation of the business cases.</w:t>
      </w:r>
      <w:r w:rsidR="00DA6DCB">
        <w:t xml:space="preserve"> This </w:t>
      </w:r>
      <w:r w:rsidR="00DA6DCB" w:rsidRPr="0056138A">
        <w:t xml:space="preserve">strong focus on </w:t>
      </w:r>
      <w:r w:rsidR="007A6EC0">
        <w:t xml:space="preserve">downside </w:t>
      </w:r>
      <w:r w:rsidR="00DA6DCB" w:rsidRPr="0056138A">
        <w:t>risks seems to be adding a subjective project risk p</w:t>
      </w:r>
      <w:r w:rsidR="00DA6DCB">
        <w:t xml:space="preserve">remium to </w:t>
      </w:r>
      <w:r w:rsidR="00D80EF0">
        <w:t xml:space="preserve">investment </w:t>
      </w:r>
      <w:r w:rsidR="00DA6DCB">
        <w:t>assessment</w:t>
      </w:r>
      <w:r w:rsidR="00D80EF0">
        <w:t>s</w:t>
      </w:r>
      <w:r w:rsidR="007A6EC0">
        <w:t xml:space="preserve"> (</w:t>
      </w:r>
      <w:r w:rsidR="00DA6DCB" w:rsidRPr="0056138A">
        <w:t xml:space="preserve">Box </w:t>
      </w:r>
      <w:r w:rsidR="00E41078">
        <w:t>2</w:t>
      </w:r>
      <w:r w:rsidR="007A6EC0">
        <w:t>).</w:t>
      </w:r>
    </w:p>
    <w:p w14:paraId="0F958C80" w14:textId="77777777" w:rsidR="0020294C" w:rsidRPr="0020294C" w:rsidRDefault="0020294C" w:rsidP="0020294C">
      <w:r w:rsidRPr="0020294C">
        <w:br w:type="page"/>
      </w:r>
    </w:p>
    <w:tbl>
      <w:tblPr>
        <w:tblStyle w:val="KeyPoints"/>
        <w:tblW w:w="0" w:type="auto"/>
        <w:tblInd w:w="198" w:type="dxa"/>
        <w:tblBorders>
          <w:top w:val="none" w:sz="0" w:space="0" w:color="auto"/>
          <w:left w:val="none" w:sz="0" w:space="0" w:color="auto"/>
          <w:bottom w:val="none" w:sz="0" w:space="0" w:color="auto"/>
          <w:right w:val="none" w:sz="0" w:space="0" w:color="auto"/>
        </w:tblBorders>
        <w:tblLayout w:type="fixed"/>
        <w:tblCellMar>
          <w:left w:w="198" w:type="dxa"/>
          <w:right w:w="227" w:type="dxa"/>
        </w:tblCellMar>
        <w:tblLook w:val="04A0" w:firstRow="1" w:lastRow="0" w:firstColumn="1" w:lastColumn="0" w:noHBand="0" w:noVBand="1"/>
      </w:tblPr>
      <w:tblGrid>
        <w:gridCol w:w="567"/>
        <w:gridCol w:w="8562"/>
      </w:tblGrid>
      <w:tr w:rsidR="00DA6DCB" w:rsidRPr="008F2DDF" w14:paraId="2B2FA016" w14:textId="77777777" w:rsidTr="003622B4">
        <w:trPr>
          <w:trHeight w:val="491"/>
        </w:trPr>
        <w:tc>
          <w:tcPr>
            <w:tcW w:w="567" w:type="dxa"/>
            <w:shd w:val="clear" w:color="auto" w:fill="4FA4DA"/>
          </w:tcPr>
          <w:p w14:paraId="7F59E869" w14:textId="77777777" w:rsidR="00DA6DCB" w:rsidRPr="002E7EA9" w:rsidRDefault="00DA6DCB" w:rsidP="001B3352">
            <w:pPr>
              <w:pStyle w:val="BoxHeading-KeyIssues"/>
              <w:rPr>
                <w:highlight w:val="magenta"/>
              </w:rPr>
            </w:pPr>
          </w:p>
        </w:tc>
        <w:tc>
          <w:tcPr>
            <w:tcW w:w="8562" w:type="dxa"/>
            <w:shd w:val="clear" w:color="auto" w:fill="EAEAEA"/>
            <w:tcMar>
              <w:right w:w="227" w:type="dxa"/>
            </w:tcMar>
          </w:tcPr>
          <w:p w14:paraId="3735EF71" w14:textId="1B1011CE" w:rsidR="00DA6DCB" w:rsidRPr="002E7EA9" w:rsidRDefault="00DA6DCB" w:rsidP="00EA0CF8">
            <w:pPr>
              <w:pStyle w:val="BoxHeading-KeyIssues"/>
              <w:rPr>
                <w:highlight w:val="magenta"/>
              </w:rPr>
            </w:pPr>
            <w:r w:rsidRPr="00743B21">
              <w:t xml:space="preserve">box </w:t>
            </w:r>
            <w:r w:rsidR="00EA0CF8">
              <w:t>2</w:t>
            </w:r>
            <w:r w:rsidRPr="00743B21">
              <w:t>: hurdle rates and Uncertainty</w:t>
            </w:r>
          </w:p>
        </w:tc>
      </w:tr>
      <w:tr w:rsidR="00DA6DCB" w:rsidRPr="007E6D53" w14:paraId="3113F785" w14:textId="77777777" w:rsidTr="00037369">
        <w:trPr>
          <w:trHeight w:val="713"/>
        </w:trPr>
        <w:tc>
          <w:tcPr>
            <w:tcW w:w="567" w:type="dxa"/>
            <w:shd w:val="clear" w:color="auto" w:fill="002833" w:themeFill="text1"/>
          </w:tcPr>
          <w:p w14:paraId="5D1D4442" w14:textId="77777777" w:rsidR="00DA6DCB" w:rsidRPr="007E6D53" w:rsidRDefault="00DA6DCB" w:rsidP="007E6D53">
            <w:pPr>
              <w:pStyle w:val="BoxText"/>
              <w:spacing w:before="100" w:after="100"/>
            </w:pPr>
          </w:p>
        </w:tc>
        <w:tc>
          <w:tcPr>
            <w:tcW w:w="8562" w:type="dxa"/>
            <w:shd w:val="clear" w:color="auto" w:fill="EAEAEA"/>
            <w:tcMar>
              <w:right w:w="227" w:type="dxa"/>
            </w:tcMar>
          </w:tcPr>
          <w:p w14:paraId="46D070C4" w14:textId="7107E83B" w:rsidR="00DA6DCB" w:rsidRPr="007E6D53" w:rsidRDefault="00DA6DCB" w:rsidP="007E6D53">
            <w:pPr>
              <w:pStyle w:val="BoxText"/>
              <w:spacing w:before="100" w:after="100"/>
            </w:pPr>
            <w:r w:rsidRPr="007E6D53">
              <w:t xml:space="preserve">The hurdle rate is </w:t>
            </w:r>
            <w:r w:rsidR="00D80EF0" w:rsidRPr="007E6D53">
              <w:t xml:space="preserve">defined as </w:t>
            </w:r>
            <w:r w:rsidRPr="007E6D53">
              <w:t xml:space="preserve">the lowest required return for an investment project to go ahead. The hurdle rate consists </w:t>
            </w:r>
            <w:r w:rsidR="00D80EF0" w:rsidRPr="007E6D53">
              <w:t xml:space="preserve">in theory </w:t>
            </w:r>
            <w:r w:rsidRPr="007E6D53">
              <w:t>of the long-term funding rate for the business plus a premium that reflects the risk of the project. Alternatively, the hurdle rate can be viewed as the firm’s weighted average cost of capital (WACC), which is a blend of debt and equity costs, plus a premium for the undiversifiable element of the project risk.</w:t>
            </w:r>
          </w:p>
          <w:p w14:paraId="4582F268" w14:textId="03BBBB55" w:rsidR="00DA6DCB" w:rsidRPr="007E6D53" w:rsidRDefault="00DA6DCB" w:rsidP="007E6D53">
            <w:pPr>
              <w:pStyle w:val="BoxText"/>
              <w:spacing w:before="100" w:after="100"/>
            </w:pPr>
            <w:r w:rsidRPr="007E6D53">
              <w:t>In either case, theoretical models would imply that the sustained fall in debt funding costs</w:t>
            </w:r>
            <w:r w:rsidR="00D80EF0" w:rsidRPr="007E6D53">
              <w:t xml:space="preserve"> across the yield curve</w:t>
            </w:r>
            <w:r w:rsidRPr="007E6D53">
              <w:t xml:space="preserve"> over the past decade should, all else being equal, have put downward pressure on investment project hurdle rates. Evidence from survey data and consultations suggests that this is not the case. Hurdle rates have been ‘sticky’ and in some cases have not fallen at all despite an extended period of historically low interest rates</w:t>
            </w:r>
            <w:r w:rsidR="00D80EF0" w:rsidRPr="007E6D53">
              <w:t xml:space="preserve"> and an expectation that future rates will remain lower than historical rates</w:t>
            </w:r>
            <w:r w:rsidRPr="007E6D53">
              <w:t>.</w:t>
            </w:r>
          </w:p>
          <w:p w14:paraId="4B9A6C80" w14:textId="541FCFB1" w:rsidR="00DA6DCB" w:rsidRPr="007E6D53" w:rsidRDefault="00DA6DCB" w:rsidP="007E6D53">
            <w:pPr>
              <w:pStyle w:val="BoxText"/>
              <w:spacing w:before="100" w:after="100"/>
            </w:pPr>
            <w:r w:rsidRPr="007E6D53">
              <w:t xml:space="preserve">One </w:t>
            </w:r>
            <w:r w:rsidR="00D80EF0" w:rsidRPr="007E6D53">
              <w:t xml:space="preserve">explanation </w:t>
            </w:r>
            <w:r w:rsidRPr="007E6D53">
              <w:t>of steady hurdle rates in the presence of falling long-term funding costs is increased risk premiums, either embedded in the equity cost of capital or directly in the asses</w:t>
            </w:r>
            <w:r w:rsidR="00523D27">
              <w:t>sment of project specific risk.</w:t>
            </w:r>
          </w:p>
          <w:p w14:paraId="7E4159D7" w14:textId="77777777" w:rsidR="00DA6DCB" w:rsidRPr="007E6D53" w:rsidRDefault="00DA6DCB" w:rsidP="007E6D53">
            <w:pPr>
              <w:pStyle w:val="BoxText"/>
              <w:spacing w:before="100" w:after="100"/>
            </w:pPr>
            <w:r w:rsidRPr="007E6D53">
              <w:t>An elevated equity risk premium may reflect a lower risk appetite on the part of investors. The elevated equity risk premium will cause the equity cost of capital that a firm faces to rise relative to the debt funding costs. As appears to be the case in the current environment this results in a much smaller decline (or no decline) in the WACC that firms face despite lower long-term interest rates.</w:t>
            </w:r>
          </w:p>
          <w:p w14:paraId="2C208A2A" w14:textId="0D93A3C7" w:rsidR="00DA6DCB" w:rsidRPr="007E6D53" w:rsidRDefault="00DA6DCB" w:rsidP="007E6D53">
            <w:pPr>
              <w:pStyle w:val="BoxText"/>
              <w:spacing w:before="100" w:after="100"/>
            </w:pPr>
            <w:r w:rsidRPr="007E6D53">
              <w:t xml:space="preserve">Alternatively it could reflect that many businesses take the view that hurdle rates need to reflect a long-term assessment of the cost of capital and should not move in line with cyclical moves in economic activity and interest rates. </w:t>
            </w:r>
            <w:r w:rsidR="00D80EF0" w:rsidRPr="007E6D53">
              <w:t>This would suggest a gap between the business community and the financial markets who currently expect rates to remain lower in future than has historically been the case. It appears that h</w:t>
            </w:r>
            <w:r w:rsidRPr="007E6D53">
              <w:t xml:space="preserve">urdle rates are reviewed </w:t>
            </w:r>
            <w:r w:rsidR="00D80EF0" w:rsidRPr="007E6D53">
              <w:t xml:space="preserve">less </w:t>
            </w:r>
            <w:r w:rsidRPr="007E6D53">
              <w:t xml:space="preserve">frequently </w:t>
            </w:r>
            <w:r w:rsidR="00D80EF0" w:rsidRPr="007E6D53">
              <w:t xml:space="preserve">than the literature would suggest </w:t>
            </w:r>
            <w:r w:rsidRPr="007E6D53">
              <w:t xml:space="preserve">and often require </w:t>
            </w:r>
            <w:r w:rsidR="00EF6A92" w:rsidRPr="007E6D53">
              <w:t>the</w:t>
            </w:r>
            <w:r w:rsidRPr="007E6D53">
              <w:t xml:space="preserve"> sign</w:t>
            </w:r>
            <w:r w:rsidR="001F0B52" w:rsidRPr="007E6D53">
              <w:noBreakHyphen/>
            </w:r>
            <w:r w:rsidRPr="007E6D53">
              <w:t xml:space="preserve">off of the </w:t>
            </w:r>
            <w:r w:rsidR="00D01E82" w:rsidRPr="007E6D53">
              <w:t>b</w:t>
            </w:r>
            <w:r w:rsidRPr="007E6D53">
              <w:t>oard to make adjustments.</w:t>
            </w:r>
          </w:p>
          <w:p w14:paraId="776126E0" w14:textId="2FEA950A" w:rsidR="00DA6DCB" w:rsidRPr="007E6D53" w:rsidRDefault="00DA6DCB" w:rsidP="007E6D53">
            <w:pPr>
              <w:pStyle w:val="BoxText"/>
              <w:spacing w:before="100" w:after="100"/>
            </w:pPr>
            <w:r w:rsidRPr="007E6D53">
              <w:t xml:space="preserve">Hurdle rates can be impacted by increased </w:t>
            </w:r>
            <w:r w:rsidR="00D80EF0" w:rsidRPr="007E6D53">
              <w:t xml:space="preserve">risk </w:t>
            </w:r>
            <w:r w:rsidRPr="007E6D53">
              <w:t xml:space="preserve">around investment projects that lead to less confidence in cash flow projections that underpin the calculations. Uncertainty </w:t>
            </w:r>
            <w:r w:rsidR="00D80EF0" w:rsidRPr="007E6D53">
              <w:t xml:space="preserve">and downside risks </w:t>
            </w:r>
            <w:r w:rsidRPr="007E6D53">
              <w:t>w</w:t>
            </w:r>
            <w:r w:rsidR="00D80EF0" w:rsidRPr="007E6D53">
              <w:t>ere</w:t>
            </w:r>
            <w:r w:rsidRPr="007E6D53">
              <w:t xml:space="preserve"> persistent theme</w:t>
            </w:r>
            <w:r w:rsidR="00D80EF0" w:rsidRPr="007E6D53">
              <w:t>s</w:t>
            </w:r>
            <w:r w:rsidRPr="007E6D53">
              <w:t xml:space="preserve"> in feedback from business and many contacts believed that the higher risks premiums reflect a range of economic, political and financial factors.</w:t>
            </w:r>
          </w:p>
          <w:p w14:paraId="651D535D" w14:textId="45B8F3B9" w:rsidR="00DA6DCB" w:rsidRPr="007E6D53" w:rsidRDefault="00DA6DCB" w:rsidP="007E6D53">
            <w:pPr>
              <w:pStyle w:val="BoxText"/>
              <w:spacing w:before="100" w:after="100"/>
            </w:pPr>
            <w:r w:rsidRPr="007E6D53">
              <w:t xml:space="preserve">Contacts agree that the implication of this hurdle rate stickiness is less investment than would </w:t>
            </w:r>
            <w:r w:rsidR="009D7F7E" w:rsidRPr="007E6D53">
              <w:t>otherwise have been the case.</w:t>
            </w:r>
          </w:p>
        </w:tc>
      </w:tr>
    </w:tbl>
    <w:p w14:paraId="3AC23CBD" w14:textId="77777777" w:rsidR="0020294C" w:rsidRPr="0099102A" w:rsidRDefault="0020294C" w:rsidP="0099102A">
      <w:bookmarkStart w:id="95" w:name="_Toc491168318"/>
      <w:bookmarkStart w:id="96" w:name="_Toc491704029"/>
      <w:bookmarkStart w:id="97" w:name="_Toc491705745"/>
      <w:bookmarkStart w:id="98" w:name="_Toc492465363"/>
      <w:bookmarkStart w:id="99" w:name="_Toc492571384"/>
      <w:bookmarkStart w:id="100" w:name="_Toc492902186"/>
      <w:bookmarkStart w:id="101" w:name="_Toc490218362"/>
      <w:bookmarkStart w:id="102" w:name="_Toc490237235"/>
      <w:bookmarkStart w:id="103" w:name="_Toc490218374"/>
      <w:bookmarkStart w:id="104" w:name="_Toc490237250"/>
      <w:bookmarkEnd w:id="62"/>
      <w:bookmarkEnd w:id="63"/>
      <w:bookmarkEnd w:id="64"/>
    </w:p>
    <w:p w14:paraId="0A357EE5" w14:textId="77777777" w:rsidR="0099102A" w:rsidRPr="0099102A" w:rsidRDefault="0099102A" w:rsidP="0099102A">
      <w:r w:rsidRPr="0099102A">
        <w:br w:type="page"/>
      </w:r>
    </w:p>
    <w:p w14:paraId="4D33649B" w14:textId="302B5A57" w:rsidR="00C21912" w:rsidRPr="004A5E09" w:rsidRDefault="00C21912" w:rsidP="001B3352">
      <w:pPr>
        <w:pStyle w:val="Heading2"/>
        <w:rPr>
          <w:b w:val="0"/>
        </w:rPr>
      </w:pPr>
      <w:bookmarkStart w:id="105" w:name="_Toc496095481"/>
      <w:bookmarkStart w:id="106" w:name="_Toc496097055"/>
      <w:r>
        <w:t>A</w:t>
      </w:r>
      <w:r w:rsidR="0099102A">
        <w:t>i</w:t>
      </w:r>
      <w:r>
        <w:t xml:space="preserve"> </w:t>
      </w:r>
      <w:r w:rsidR="009051F4">
        <w:t>G</w:t>
      </w:r>
      <w:r>
        <w:t xml:space="preserve">roup survey of </w:t>
      </w:r>
      <w:r w:rsidR="00840D80">
        <w:t>C</w:t>
      </w:r>
      <w:r>
        <w:t xml:space="preserve">hief </w:t>
      </w:r>
      <w:r w:rsidR="00840D80">
        <w:t>E</w:t>
      </w:r>
      <w:r>
        <w:t xml:space="preserve">xecutive </w:t>
      </w:r>
      <w:r w:rsidR="00840D80">
        <w:t>O</w:t>
      </w:r>
      <w:r>
        <w:t>fficers</w:t>
      </w:r>
      <w:bookmarkEnd w:id="95"/>
      <w:bookmarkEnd w:id="96"/>
      <w:bookmarkEnd w:id="97"/>
      <w:bookmarkEnd w:id="98"/>
      <w:bookmarkEnd w:id="99"/>
      <w:bookmarkEnd w:id="100"/>
      <w:bookmarkEnd w:id="105"/>
      <w:bookmarkEnd w:id="106"/>
    </w:p>
    <w:p w14:paraId="6EBB89F9" w14:textId="3A19B2D5" w:rsidR="00C21912" w:rsidRDefault="00C21912" w:rsidP="001B3352">
      <w:r w:rsidRPr="00426786">
        <w:t xml:space="preserve">Our findings are consistent </w:t>
      </w:r>
      <w:r>
        <w:t xml:space="preserve">with a survey of </w:t>
      </w:r>
      <w:r w:rsidRPr="00D01E82">
        <w:t>CEOs that A</w:t>
      </w:r>
      <w:r w:rsidR="00E1340E" w:rsidRPr="00D01E82">
        <w:t>ustralian Industry Group (A</w:t>
      </w:r>
      <w:r w:rsidR="00F12897" w:rsidRPr="00D01E82">
        <w:t>i</w:t>
      </w:r>
      <w:r w:rsidRPr="00D01E82">
        <w:t xml:space="preserve"> Group</w:t>
      </w:r>
      <w:r w:rsidR="00E1340E" w:rsidRPr="00D01E82">
        <w:t>)</w:t>
      </w:r>
      <w:r w:rsidRPr="00D01E82">
        <w:t xml:space="preserve"> recently conducted. </w:t>
      </w:r>
      <w:r w:rsidR="00D01E82" w:rsidRPr="00D01E82">
        <w:t xml:space="preserve">Ai Group attended the roundtable consultations and kindly shared some early findings from </w:t>
      </w:r>
      <w:r w:rsidR="009E0761">
        <w:t>its</w:t>
      </w:r>
      <w:r w:rsidR="00D01E82" w:rsidRPr="00D01E82">
        <w:t xml:space="preserve"> member survey </w:t>
      </w:r>
      <w:r w:rsidR="009E0761">
        <w:t xml:space="preserve">which </w:t>
      </w:r>
      <w:r w:rsidR="009E0761" w:rsidRPr="00D01E82">
        <w:t xml:space="preserve">is due for release </w:t>
      </w:r>
      <w:r w:rsidR="009E0761">
        <w:t xml:space="preserve">in </w:t>
      </w:r>
      <w:r w:rsidR="009E0761" w:rsidRPr="005E64C7">
        <w:t>late 2017</w:t>
      </w:r>
      <w:r w:rsidR="009E0761">
        <w:t xml:space="preserve"> </w:t>
      </w:r>
      <w:r w:rsidR="00B507E3">
        <w:t>(</w:t>
      </w:r>
      <w:r w:rsidR="00043971" w:rsidRPr="00D01E82">
        <w:t>Box </w:t>
      </w:r>
      <w:r w:rsidR="00043971">
        <w:t>3</w:t>
      </w:r>
      <w:r w:rsidR="00B507E3">
        <w:t>)</w:t>
      </w:r>
      <w:r w:rsidR="00D01E82" w:rsidRPr="00D01E82">
        <w:t xml:space="preserve">. </w:t>
      </w:r>
      <w:r w:rsidR="002A1D99">
        <w:t xml:space="preserve"> </w:t>
      </w:r>
    </w:p>
    <w:tbl>
      <w:tblPr>
        <w:tblStyle w:val="KeyPoints"/>
        <w:tblW w:w="0" w:type="auto"/>
        <w:tblInd w:w="198" w:type="dxa"/>
        <w:tblBorders>
          <w:top w:val="none" w:sz="0" w:space="0" w:color="auto"/>
          <w:left w:val="none" w:sz="0" w:space="0" w:color="auto"/>
          <w:bottom w:val="none" w:sz="0" w:space="0" w:color="auto"/>
          <w:right w:val="none" w:sz="0" w:space="0" w:color="auto"/>
        </w:tblBorders>
        <w:tblLayout w:type="fixed"/>
        <w:tblCellMar>
          <w:left w:w="198" w:type="dxa"/>
          <w:right w:w="227" w:type="dxa"/>
        </w:tblCellMar>
        <w:tblLook w:val="04A0" w:firstRow="1" w:lastRow="0" w:firstColumn="1" w:lastColumn="0" w:noHBand="0" w:noVBand="1"/>
      </w:tblPr>
      <w:tblGrid>
        <w:gridCol w:w="567"/>
        <w:gridCol w:w="8562"/>
      </w:tblGrid>
      <w:tr w:rsidR="00C21912" w:rsidRPr="008F2DDF" w14:paraId="2FEF0353" w14:textId="77777777" w:rsidTr="00C21912">
        <w:trPr>
          <w:trHeight w:val="491"/>
        </w:trPr>
        <w:tc>
          <w:tcPr>
            <w:tcW w:w="567" w:type="dxa"/>
            <w:shd w:val="clear" w:color="auto" w:fill="4FA4DA"/>
          </w:tcPr>
          <w:p w14:paraId="2BA906C0" w14:textId="77777777" w:rsidR="00C21912" w:rsidRPr="008F2DDF" w:rsidRDefault="00C21912" w:rsidP="001B3352">
            <w:pPr>
              <w:pStyle w:val="BoxHeading-KeyIssues"/>
            </w:pPr>
          </w:p>
        </w:tc>
        <w:tc>
          <w:tcPr>
            <w:tcW w:w="8562" w:type="dxa"/>
            <w:shd w:val="clear" w:color="auto" w:fill="EAEAEA"/>
            <w:tcMar>
              <w:right w:w="227" w:type="dxa"/>
            </w:tcMar>
          </w:tcPr>
          <w:p w14:paraId="0E74BFCE" w14:textId="69B286C3" w:rsidR="00C21912" w:rsidRPr="008F2DDF" w:rsidRDefault="00C21912" w:rsidP="00C44F9D">
            <w:pPr>
              <w:pStyle w:val="BoxHeading-KeyIssues"/>
            </w:pPr>
            <w:r>
              <w:t xml:space="preserve">Box </w:t>
            </w:r>
            <w:r w:rsidR="00EA0CF8">
              <w:t>3</w:t>
            </w:r>
            <w:r>
              <w:t xml:space="preserve">: business investment influences and decisions </w:t>
            </w:r>
            <w:r w:rsidR="00C44F9D">
              <w:t>─</w:t>
            </w:r>
            <w:r>
              <w:t xml:space="preserve"> Ai group survey results</w:t>
            </w:r>
          </w:p>
        </w:tc>
      </w:tr>
      <w:tr w:rsidR="00C21912" w14:paraId="49F64F6A" w14:textId="77777777" w:rsidTr="00C21912">
        <w:trPr>
          <w:trHeight w:val="1729"/>
        </w:trPr>
        <w:tc>
          <w:tcPr>
            <w:tcW w:w="567" w:type="dxa"/>
            <w:shd w:val="clear" w:color="auto" w:fill="002833" w:themeFill="text1"/>
          </w:tcPr>
          <w:p w14:paraId="7F5F578C" w14:textId="77777777" w:rsidR="00C21912" w:rsidRDefault="00C21912" w:rsidP="001B3352">
            <w:pPr>
              <w:pStyle w:val="BoxHeading-KeyIssues"/>
            </w:pPr>
          </w:p>
        </w:tc>
        <w:tc>
          <w:tcPr>
            <w:tcW w:w="8562" w:type="dxa"/>
            <w:shd w:val="clear" w:color="auto" w:fill="EAEAEA"/>
            <w:tcMar>
              <w:right w:w="227" w:type="dxa"/>
            </w:tcMar>
          </w:tcPr>
          <w:p w14:paraId="07AE923E" w14:textId="77777777" w:rsidR="00C21912" w:rsidRDefault="00C21912" w:rsidP="00377076">
            <w:pPr>
              <w:pStyle w:val="BoxText"/>
            </w:pPr>
            <w:r>
              <w:t>According to a CEO survey conducted by Ai Group, b</w:t>
            </w:r>
            <w:r w:rsidRPr="00504A8F">
              <w:t>usiness</w:t>
            </w:r>
            <w:r>
              <w:t xml:space="preserve">es planning to </w:t>
            </w:r>
            <w:r w:rsidRPr="00441AF3">
              <w:rPr>
                <w:b/>
              </w:rPr>
              <w:t>increase</w:t>
            </w:r>
            <w:r>
              <w:t xml:space="preserve"> business investment in 2017 are doing so for the following reasons:</w:t>
            </w:r>
          </w:p>
          <w:p w14:paraId="4F2D1C14" w14:textId="77777777" w:rsidR="00C21912" w:rsidRPr="00377076" w:rsidRDefault="00C21912" w:rsidP="00684E9B">
            <w:pPr>
              <w:pStyle w:val="BoxBullet"/>
              <w:tabs>
                <w:tab w:val="left" w:pos="8133"/>
              </w:tabs>
            </w:pPr>
            <w:r w:rsidRPr="00377076">
              <w:t>Expansion and innovation – in physical capital, research and development, and technology; and</w:t>
            </w:r>
          </w:p>
          <w:p w14:paraId="109B1704" w14:textId="71E982AD" w:rsidR="00C21912" w:rsidRPr="00377076" w:rsidRDefault="00C21912" w:rsidP="00377076">
            <w:pPr>
              <w:pStyle w:val="BoxBullet"/>
            </w:pPr>
            <w:r w:rsidRPr="00377076">
              <w:t>Short payback per</w:t>
            </w:r>
            <w:r w:rsidR="00523D27">
              <w:t>iods justifying the investment.</w:t>
            </w:r>
          </w:p>
          <w:p w14:paraId="28CEAF93" w14:textId="77777777" w:rsidR="00C21912" w:rsidRDefault="00C21912" w:rsidP="00377076">
            <w:pPr>
              <w:pStyle w:val="BoxText"/>
            </w:pPr>
            <w:r>
              <w:t>The</w:t>
            </w:r>
            <w:r w:rsidRPr="00684E9B">
              <w:rPr>
                <w:spacing w:val="-2"/>
              </w:rPr>
              <w:t xml:space="preserve"> </w:t>
            </w:r>
            <w:r>
              <w:t>survey</w:t>
            </w:r>
            <w:r w:rsidRPr="00684E9B">
              <w:rPr>
                <w:spacing w:val="-2"/>
              </w:rPr>
              <w:t xml:space="preserve"> </w:t>
            </w:r>
            <w:r>
              <w:t>found</w:t>
            </w:r>
            <w:r w:rsidRPr="00684E9B">
              <w:rPr>
                <w:spacing w:val="-2"/>
              </w:rPr>
              <w:t xml:space="preserve"> </w:t>
            </w:r>
            <w:r>
              <w:t>the</w:t>
            </w:r>
            <w:r w:rsidRPr="00684E9B">
              <w:rPr>
                <w:spacing w:val="-2"/>
              </w:rPr>
              <w:t xml:space="preserve"> </w:t>
            </w:r>
            <w:r>
              <w:t>main</w:t>
            </w:r>
            <w:r w:rsidRPr="00684E9B">
              <w:rPr>
                <w:spacing w:val="-2"/>
              </w:rPr>
              <w:t xml:space="preserve"> </w:t>
            </w:r>
            <w:r>
              <w:t>reasons</w:t>
            </w:r>
            <w:r w:rsidRPr="00684E9B">
              <w:rPr>
                <w:spacing w:val="-2"/>
              </w:rPr>
              <w:t xml:space="preserve"> </w:t>
            </w:r>
            <w:r>
              <w:t>for</w:t>
            </w:r>
            <w:r w:rsidRPr="00684E9B">
              <w:rPr>
                <w:spacing w:val="-2"/>
              </w:rPr>
              <w:t xml:space="preserve"> </w:t>
            </w:r>
            <w:r>
              <w:t>businesses</w:t>
            </w:r>
            <w:r w:rsidRPr="00684E9B">
              <w:rPr>
                <w:spacing w:val="-2"/>
              </w:rPr>
              <w:t xml:space="preserve"> </w:t>
            </w:r>
            <w:r w:rsidRPr="00441AF3">
              <w:rPr>
                <w:b/>
              </w:rPr>
              <w:t>decreasing</w:t>
            </w:r>
            <w:r w:rsidRPr="00684E9B">
              <w:rPr>
                <w:spacing w:val="-2"/>
              </w:rPr>
              <w:t xml:space="preserve"> </w:t>
            </w:r>
            <w:r>
              <w:t>their</w:t>
            </w:r>
            <w:r w:rsidRPr="00684E9B">
              <w:rPr>
                <w:spacing w:val="-2"/>
              </w:rPr>
              <w:t xml:space="preserve"> </w:t>
            </w:r>
            <w:r>
              <w:t>investment</w:t>
            </w:r>
            <w:r w:rsidRPr="00684E9B">
              <w:rPr>
                <w:spacing w:val="-2"/>
              </w:rPr>
              <w:t xml:space="preserve"> </w:t>
            </w:r>
            <w:r>
              <w:t>spending</w:t>
            </w:r>
            <w:r w:rsidRPr="00684E9B">
              <w:rPr>
                <w:spacing w:val="-2"/>
              </w:rPr>
              <w:t xml:space="preserve"> </w:t>
            </w:r>
            <w:r>
              <w:t>in</w:t>
            </w:r>
            <w:r w:rsidRPr="00684E9B">
              <w:rPr>
                <w:spacing w:val="-2"/>
              </w:rPr>
              <w:t xml:space="preserve"> </w:t>
            </w:r>
            <w:r>
              <w:t>2017</w:t>
            </w:r>
            <w:r w:rsidRPr="00684E9B">
              <w:rPr>
                <w:spacing w:val="-2"/>
              </w:rPr>
              <w:t xml:space="preserve"> </w:t>
            </w:r>
            <w:r>
              <w:t>are:</w:t>
            </w:r>
          </w:p>
          <w:p w14:paraId="1C3259F2" w14:textId="77777777" w:rsidR="00C21912" w:rsidRPr="00377076" w:rsidRDefault="00C21912" w:rsidP="00377076">
            <w:pPr>
              <w:pStyle w:val="BoxBullet"/>
            </w:pPr>
            <w:r w:rsidRPr="00377076">
              <w:t>High hurdle rates for investment;</w:t>
            </w:r>
          </w:p>
          <w:p w14:paraId="52B14D96" w14:textId="77777777" w:rsidR="00C21912" w:rsidRPr="00377076" w:rsidRDefault="00C21912" w:rsidP="00377076">
            <w:pPr>
              <w:pStyle w:val="BoxBullet"/>
            </w:pPr>
            <w:r w:rsidRPr="00377076">
              <w:t>Cost reduction programs across all areas of business; and</w:t>
            </w:r>
          </w:p>
          <w:p w14:paraId="76FA67ED" w14:textId="77777777" w:rsidR="00C21912" w:rsidRPr="00377076" w:rsidRDefault="00C21912" w:rsidP="00377076">
            <w:pPr>
              <w:pStyle w:val="BoxBullet"/>
            </w:pPr>
            <w:r w:rsidRPr="00377076">
              <w:t>Long payback periods not justifying the investment.</w:t>
            </w:r>
          </w:p>
          <w:p w14:paraId="7F71F9A3" w14:textId="77777777" w:rsidR="00C21912" w:rsidRPr="00441AF3" w:rsidRDefault="00C21912" w:rsidP="00441AF3">
            <w:pPr>
              <w:pStyle w:val="BoxText"/>
            </w:pPr>
            <w:r w:rsidRPr="00441AF3">
              <w:t>Ai Group noted that access to funding did not rate highly as a barrier to 2017, as it has in the past.</w:t>
            </w:r>
          </w:p>
          <w:p w14:paraId="5282DCDF" w14:textId="0EC99C7A" w:rsidR="00C21912" w:rsidRPr="00441AF3" w:rsidRDefault="00C21912" w:rsidP="00441AF3">
            <w:pPr>
              <w:pStyle w:val="BoxText"/>
            </w:pPr>
            <w:r w:rsidRPr="00441AF3">
              <w:t xml:space="preserve">The priorities for 2017, in terms of types of investment that businesses prefer to make, are shown in chart </w:t>
            </w:r>
            <w:r w:rsidR="00D906F8" w:rsidRPr="00441AF3">
              <w:t>1</w:t>
            </w:r>
            <w:r w:rsidR="00FF3DD2" w:rsidRPr="00441AF3">
              <w:t>4</w:t>
            </w:r>
            <w:r w:rsidR="00523D27">
              <w:t>.</w:t>
            </w:r>
          </w:p>
          <w:p w14:paraId="01603E31" w14:textId="32C28F41" w:rsidR="00C21912" w:rsidRPr="00F30A74" w:rsidRDefault="00C21912" w:rsidP="00691261">
            <w:pPr>
              <w:pStyle w:val="FigureMainHeading"/>
            </w:pPr>
            <w:r w:rsidRPr="00F30A74">
              <w:t xml:space="preserve">Chart </w:t>
            </w:r>
            <w:r w:rsidR="00D906F8">
              <w:t>1</w:t>
            </w:r>
            <w:r w:rsidR="00FF3DD2">
              <w:t>4</w:t>
            </w:r>
            <w:r w:rsidRPr="00F30A74">
              <w:t xml:space="preserve">: </w:t>
            </w:r>
            <w:r w:rsidR="00A96BEF">
              <w:t>First p</w:t>
            </w:r>
            <w:r w:rsidRPr="00F30A74">
              <w:t>riorit</w:t>
            </w:r>
            <w:r w:rsidR="00A96BEF">
              <w:t>y</w:t>
            </w:r>
            <w:r w:rsidRPr="00F30A74">
              <w:t xml:space="preserve"> for 2017 investment, </w:t>
            </w:r>
            <w:r w:rsidR="00193C4C">
              <w:br/>
            </w:r>
            <w:r w:rsidRPr="00F30A74">
              <w:t xml:space="preserve">weighted </w:t>
            </w:r>
            <w:r w:rsidR="00A96BEF">
              <w:t>by industry sector</w:t>
            </w:r>
          </w:p>
          <w:p w14:paraId="643E95D8" w14:textId="1BEFF7EA" w:rsidR="00C21912" w:rsidRDefault="00A96BEF" w:rsidP="00684E9B">
            <w:pPr>
              <w:pStyle w:val="ChartGraphic"/>
              <w:spacing w:before="0"/>
            </w:pPr>
            <w:r w:rsidRPr="008F48E3">
              <w:rPr>
                <w:rStyle w:val="PageNumber"/>
                <w:noProof/>
                <w:sz w:val="24"/>
                <w:szCs w:val="24"/>
                <w:lang w:val="en-AU" w:eastAsia="en-AU"/>
              </w:rPr>
              <w:drawing>
                <wp:inline distT="0" distB="0" distL="0" distR="0" wp14:anchorId="60069F67" wp14:editId="4488B999">
                  <wp:extent cx="5148000" cy="3156108"/>
                  <wp:effectExtent l="0" t="0" r="0" b="635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4022" t="10753" r="1127"/>
                          <a:stretch/>
                        </pic:blipFill>
                        <pic:spPr bwMode="auto">
                          <a:xfrm>
                            <a:off x="0" y="0"/>
                            <a:ext cx="5148000" cy="3156108"/>
                          </a:xfrm>
                          <a:prstGeom prst="rect">
                            <a:avLst/>
                          </a:prstGeom>
                          <a:noFill/>
                          <a:ln>
                            <a:noFill/>
                          </a:ln>
                          <a:extLst>
                            <a:ext uri="{53640926-AAD7-44D8-BBD7-CCE9431645EC}">
                              <a14:shadowObscured xmlns:a14="http://schemas.microsoft.com/office/drawing/2010/main"/>
                            </a:ext>
                          </a:extLst>
                        </pic:spPr>
                      </pic:pic>
                    </a:graphicData>
                  </a:graphic>
                </wp:inline>
              </w:drawing>
            </w:r>
          </w:p>
          <w:p w14:paraId="50077A94" w14:textId="6784BD00" w:rsidR="00C21912" w:rsidRPr="00F30A74" w:rsidRDefault="00C21912" w:rsidP="00824E36">
            <w:pPr>
              <w:pStyle w:val="Source"/>
            </w:pPr>
            <w:r w:rsidRPr="00F30A74">
              <w:t>Source: Ai Group 2017 CEO Survey results</w:t>
            </w:r>
            <w:r w:rsidR="00523D27">
              <w:t>.</w:t>
            </w:r>
          </w:p>
        </w:tc>
      </w:tr>
    </w:tbl>
    <w:p w14:paraId="5433922B" w14:textId="77777777" w:rsidR="00077A59" w:rsidRDefault="00077A59" w:rsidP="00824E36">
      <w:pPr>
        <w:sectPr w:rsidR="00077A59" w:rsidSect="00FE6924">
          <w:type w:val="oddPage"/>
          <w:pgSz w:w="11906" w:h="16838"/>
          <w:pgMar w:top="1701" w:right="1440" w:bottom="1440" w:left="1440" w:header="737" w:footer="567" w:gutter="0"/>
          <w:cols w:space="708"/>
          <w:titlePg/>
          <w:docGrid w:linePitch="360"/>
        </w:sectPr>
      </w:pPr>
      <w:bookmarkStart w:id="107" w:name="_Toc490745044"/>
      <w:bookmarkStart w:id="108" w:name="_Toc491081807"/>
      <w:bookmarkStart w:id="109" w:name="_Toc491108201"/>
      <w:bookmarkStart w:id="110" w:name="_Toc491168319"/>
      <w:bookmarkStart w:id="111" w:name="_Toc491704030"/>
      <w:bookmarkStart w:id="112" w:name="_Toc491705746"/>
      <w:bookmarkStart w:id="113" w:name="_Toc492465364"/>
      <w:bookmarkStart w:id="114" w:name="_Toc492571385"/>
      <w:bookmarkStart w:id="115" w:name="_Toc492902187"/>
    </w:p>
    <w:p w14:paraId="3FE337DC" w14:textId="72EA03C4" w:rsidR="00091CF6" w:rsidRDefault="00EC45F9" w:rsidP="00824E36">
      <w:pPr>
        <w:pStyle w:val="Heading1"/>
      </w:pPr>
      <w:bookmarkStart w:id="116" w:name="_Toc496095482"/>
      <w:bookmarkStart w:id="117" w:name="_Toc496097056"/>
      <w:r>
        <w:t>I</w:t>
      </w:r>
      <w:r w:rsidR="00091CF6">
        <w:t>nstitutional settings</w:t>
      </w:r>
      <w:bookmarkEnd w:id="101"/>
      <w:bookmarkEnd w:id="102"/>
      <w:r w:rsidR="00091CF6">
        <w:t xml:space="preserve"> </w:t>
      </w:r>
      <w:r w:rsidR="002B7AAA">
        <w:t>and polic</w:t>
      </w:r>
      <w:r w:rsidR="00326860">
        <w:t>ies</w:t>
      </w:r>
      <w:bookmarkEnd w:id="107"/>
      <w:bookmarkEnd w:id="108"/>
      <w:bookmarkEnd w:id="109"/>
      <w:bookmarkEnd w:id="110"/>
      <w:bookmarkEnd w:id="111"/>
      <w:bookmarkEnd w:id="112"/>
      <w:bookmarkEnd w:id="113"/>
      <w:bookmarkEnd w:id="114"/>
      <w:bookmarkEnd w:id="115"/>
      <w:bookmarkEnd w:id="116"/>
      <w:bookmarkEnd w:id="117"/>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091CF6" w:rsidRPr="00B4036F" w14:paraId="45E4E3B8" w14:textId="77777777" w:rsidTr="00956140">
        <w:trPr>
          <w:trHeight w:val="395"/>
        </w:trPr>
        <w:tc>
          <w:tcPr>
            <w:tcW w:w="567" w:type="dxa"/>
            <w:shd w:val="clear" w:color="auto" w:fill="78BAE2"/>
          </w:tcPr>
          <w:p w14:paraId="0AE2D47B" w14:textId="77777777" w:rsidR="00091CF6" w:rsidRPr="00B4036F" w:rsidRDefault="00091CF6" w:rsidP="001B3352">
            <w:pPr>
              <w:pStyle w:val="BoxHeading-CaseStudy"/>
            </w:pPr>
          </w:p>
        </w:tc>
        <w:tc>
          <w:tcPr>
            <w:tcW w:w="8505" w:type="dxa"/>
            <w:shd w:val="clear" w:color="auto" w:fill="EAEAEA"/>
            <w:tcMar>
              <w:right w:w="227" w:type="dxa"/>
            </w:tcMar>
          </w:tcPr>
          <w:p w14:paraId="3AFE3931" w14:textId="77777777" w:rsidR="00091CF6" w:rsidRPr="008F2DDF" w:rsidRDefault="00091CF6" w:rsidP="00824E36">
            <w:pPr>
              <w:pStyle w:val="BoxHeading-CaseStudy"/>
            </w:pPr>
            <w:r>
              <w:t>Key Points</w:t>
            </w:r>
          </w:p>
        </w:tc>
      </w:tr>
      <w:tr w:rsidR="00091CF6" w14:paraId="5A772F73" w14:textId="77777777" w:rsidTr="00824E36">
        <w:trPr>
          <w:cantSplit/>
          <w:trHeight w:val="430"/>
        </w:trPr>
        <w:tc>
          <w:tcPr>
            <w:tcW w:w="567" w:type="dxa"/>
            <w:shd w:val="clear" w:color="auto" w:fill="D0F4FF" w:themeFill="text1" w:themeFillTint="1A"/>
          </w:tcPr>
          <w:p w14:paraId="7900D84A" w14:textId="77777777" w:rsidR="00091CF6" w:rsidRPr="009B0F88" w:rsidRDefault="00091CF6" w:rsidP="00377076">
            <w:pPr>
              <w:pStyle w:val="BoxText"/>
            </w:pPr>
          </w:p>
        </w:tc>
        <w:tc>
          <w:tcPr>
            <w:tcW w:w="8505" w:type="dxa"/>
            <w:shd w:val="clear" w:color="auto" w:fill="EAEAEA"/>
            <w:tcMar>
              <w:right w:w="227" w:type="dxa"/>
            </w:tcMar>
          </w:tcPr>
          <w:p w14:paraId="03E1D6DE" w14:textId="77777777" w:rsidR="00D1047A" w:rsidRPr="00866FD1" w:rsidRDefault="00D1047A" w:rsidP="00377076">
            <w:pPr>
              <w:pStyle w:val="BoxText"/>
            </w:pPr>
            <w:r w:rsidRPr="00866FD1">
              <w:t xml:space="preserve">All levels of government </w:t>
            </w:r>
            <w:r>
              <w:t xml:space="preserve">influence the business environment as </w:t>
            </w:r>
            <w:r w:rsidRPr="00866FD1">
              <w:t xml:space="preserve">they set the institutional frameworks </w:t>
            </w:r>
            <w:r>
              <w:t>in which</w:t>
            </w:r>
            <w:r w:rsidRPr="00866FD1">
              <w:t xml:space="preserve"> </w:t>
            </w:r>
            <w:r>
              <w:t>businesses operate</w:t>
            </w:r>
            <w:r w:rsidRPr="00866FD1">
              <w:t>.</w:t>
            </w:r>
          </w:p>
          <w:p w14:paraId="36E8DB45" w14:textId="73CC5396" w:rsidR="00134AFD" w:rsidRDefault="00134AFD" w:rsidP="00134AFD">
            <w:pPr>
              <w:pStyle w:val="BoxText"/>
              <w:rPr>
                <w:rFonts w:ascii="Calibri" w:hAnsi="Calibri"/>
                <w:color w:val="auto"/>
              </w:rPr>
            </w:pPr>
            <w:r w:rsidRPr="00134AFD">
              <w:t>P</w:t>
            </w:r>
            <w:r w:rsidRPr="00134AFD">
              <w:rPr>
                <w:iCs/>
              </w:rPr>
              <w:t>redictable, stable and transparent business regulation and supervision, at all levels of government, is a</w:t>
            </w:r>
            <w:r w:rsidR="00724A1C">
              <w:rPr>
                <w:iCs/>
              </w:rPr>
              <w:t>n important</w:t>
            </w:r>
            <w:r w:rsidRPr="00134AFD">
              <w:rPr>
                <w:iCs/>
              </w:rPr>
              <w:t xml:space="preserve"> precondition for business investment</w:t>
            </w:r>
            <w:r>
              <w:t>.</w:t>
            </w:r>
          </w:p>
          <w:p w14:paraId="10587A6A" w14:textId="47EE82D1" w:rsidR="00906C3D" w:rsidRDefault="00906C3D" w:rsidP="00134AFD">
            <w:pPr>
              <w:pStyle w:val="BoxText"/>
            </w:pPr>
            <w:r>
              <w:t>Stakeholders raised significant concerns about policy and regulatory instability – the pace of regulatory change itself is an issue, no</w:t>
            </w:r>
            <w:r w:rsidR="00523D27">
              <w:t>t just the level of regulation.</w:t>
            </w:r>
          </w:p>
          <w:p w14:paraId="5F805CDB" w14:textId="5D4AD71D" w:rsidR="000E7638" w:rsidRPr="00866FD1" w:rsidRDefault="008107DB" w:rsidP="00377076">
            <w:pPr>
              <w:pStyle w:val="BoxText"/>
            </w:pPr>
            <w:r w:rsidRPr="00F67EE0">
              <w:t>Developments in government policy</w:t>
            </w:r>
            <w:r>
              <w:t xml:space="preserve"> and regulations</w:t>
            </w:r>
            <w:r w:rsidRPr="00F67EE0">
              <w:t>, notably at the intersection of State and Commonwealth roles and responsibilities, continue to remain a source of uncertain</w:t>
            </w:r>
            <w:r>
              <w:t>t</w:t>
            </w:r>
            <w:r w:rsidRPr="00F67EE0">
              <w:t>y</w:t>
            </w:r>
            <w:r>
              <w:t xml:space="preserve"> for many participants</w:t>
            </w:r>
            <w:r w:rsidRPr="00F67EE0">
              <w:t>.</w:t>
            </w:r>
          </w:p>
        </w:tc>
      </w:tr>
    </w:tbl>
    <w:p w14:paraId="29642C37" w14:textId="28B4D901" w:rsidR="00091CF6" w:rsidRDefault="00091CF6" w:rsidP="00377076">
      <w:pPr>
        <w:pStyle w:val="SingleParagraph"/>
        <w:rPr>
          <w:noProof/>
          <w:lang w:eastAsia="en-AU"/>
        </w:rPr>
      </w:pPr>
    </w:p>
    <w:p w14:paraId="3DEA08CD" w14:textId="4D1DBEAC" w:rsidR="00602061" w:rsidRPr="00866FD1" w:rsidRDefault="00091CF6" w:rsidP="001B3352">
      <w:pPr>
        <w:rPr>
          <w:rFonts w:asciiTheme="minorHAnsi" w:hAnsiTheme="minorHAnsi"/>
          <w:lang w:eastAsia="en-AU"/>
        </w:rPr>
      </w:pPr>
      <w:r w:rsidRPr="00866FD1">
        <w:rPr>
          <w:rFonts w:asciiTheme="minorHAnsi" w:hAnsiTheme="minorHAnsi"/>
          <w:lang w:eastAsia="en-AU"/>
        </w:rPr>
        <w:t xml:space="preserve">All levels of government </w:t>
      </w:r>
      <w:r w:rsidR="00D80EF0">
        <w:rPr>
          <w:rFonts w:asciiTheme="minorHAnsi" w:hAnsiTheme="minorHAnsi"/>
          <w:lang w:eastAsia="en-AU"/>
        </w:rPr>
        <w:t xml:space="preserve">influence the business environment as </w:t>
      </w:r>
      <w:r w:rsidRPr="00866FD1">
        <w:rPr>
          <w:rFonts w:asciiTheme="minorHAnsi" w:hAnsiTheme="minorHAnsi"/>
          <w:lang w:eastAsia="en-AU"/>
        </w:rPr>
        <w:t xml:space="preserve">they set the institutional frameworks </w:t>
      </w:r>
      <w:r w:rsidR="00F74C57" w:rsidRPr="00866FD1">
        <w:rPr>
          <w:rFonts w:asciiTheme="minorHAnsi" w:hAnsiTheme="minorHAnsi"/>
          <w:lang w:eastAsia="en-AU"/>
        </w:rPr>
        <w:t xml:space="preserve">– being our institutions, laws, regulations and </w:t>
      </w:r>
      <w:r w:rsidR="00FF34CB">
        <w:rPr>
          <w:rFonts w:asciiTheme="minorHAnsi" w:hAnsiTheme="minorHAnsi"/>
          <w:lang w:eastAsia="en-AU"/>
        </w:rPr>
        <w:t xml:space="preserve">the </w:t>
      </w:r>
      <w:r w:rsidR="00F74C57" w:rsidRPr="00866FD1">
        <w:rPr>
          <w:rFonts w:asciiTheme="minorHAnsi" w:hAnsiTheme="minorHAnsi"/>
          <w:lang w:eastAsia="en-AU"/>
        </w:rPr>
        <w:t>taxation, fiscal</w:t>
      </w:r>
      <w:r w:rsidR="00D80EF0">
        <w:rPr>
          <w:rFonts w:asciiTheme="minorHAnsi" w:hAnsiTheme="minorHAnsi"/>
          <w:lang w:eastAsia="en-AU"/>
        </w:rPr>
        <w:t xml:space="preserve">, </w:t>
      </w:r>
      <w:r w:rsidR="00F74C57" w:rsidRPr="00866FD1">
        <w:rPr>
          <w:rFonts w:asciiTheme="minorHAnsi" w:hAnsiTheme="minorHAnsi"/>
          <w:lang w:eastAsia="en-AU"/>
        </w:rPr>
        <w:t>macroeconomic</w:t>
      </w:r>
      <w:r w:rsidR="00D80EF0">
        <w:rPr>
          <w:rFonts w:asciiTheme="minorHAnsi" w:hAnsiTheme="minorHAnsi"/>
          <w:lang w:eastAsia="en-AU"/>
        </w:rPr>
        <w:t>, planning</w:t>
      </w:r>
      <w:r w:rsidR="00FF34CB">
        <w:rPr>
          <w:rFonts w:asciiTheme="minorHAnsi" w:hAnsiTheme="minorHAnsi"/>
          <w:lang w:eastAsia="en-AU"/>
        </w:rPr>
        <w:t>,</w:t>
      </w:r>
      <w:r w:rsidR="00D80EF0">
        <w:rPr>
          <w:rFonts w:asciiTheme="minorHAnsi" w:hAnsiTheme="minorHAnsi"/>
          <w:lang w:eastAsia="en-AU"/>
        </w:rPr>
        <w:t xml:space="preserve"> and occupational, health and safety </w:t>
      </w:r>
      <w:r w:rsidR="00F74C57" w:rsidRPr="00866FD1">
        <w:rPr>
          <w:rFonts w:asciiTheme="minorHAnsi" w:hAnsiTheme="minorHAnsi"/>
          <w:lang w:eastAsia="en-AU"/>
        </w:rPr>
        <w:t>policies</w:t>
      </w:r>
      <w:r w:rsidR="00BA701D" w:rsidRPr="00866FD1">
        <w:rPr>
          <w:rFonts w:asciiTheme="minorHAnsi" w:hAnsiTheme="minorHAnsi"/>
          <w:lang w:eastAsia="en-AU"/>
        </w:rPr>
        <w:t xml:space="preserve">. These </w:t>
      </w:r>
      <w:r w:rsidR="00D80EF0">
        <w:rPr>
          <w:rFonts w:asciiTheme="minorHAnsi" w:hAnsiTheme="minorHAnsi"/>
          <w:lang w:eastAsia="en-AU"/>
        </w:rPr>
        <w:t>frameworks</w:t>
      </w:r>
      <w:r w:rsidRPr="00866FD1">
        <w:rPr>
          <w:rFonts w:asciiTheme="minorHAnsi" w:hAnsiTheme="minorHAnsi"/>
          <w:lang w:eastAsia="en-AU"/>
        </w:rPr>
        <w:t xml:space="preserve"> set the </w:t>
      </w:r>
      <w:r w:rsidR="00321857">
        <w:rPr>
          <w:rFonts w:asciiTheme="minorHAnsi" w:hAnsiTheme="minorHAnsi"/>
          <w:lang w:eastAsia="en-AU"/>
        </w:rPr>
        <w:t>context in which business</w:t>
      </w:r>
      <w:r w:rsidR="005A7AC2">
        <w:rPr>
          <w:rFonts w:asciiTheme="minorHAnsi" w:hAnsiTheme="minorHAnsi"/>
          <w:lang w:eastAsia="en-AU"/>
        </w:rPr>
        <w:t>es</w:t>
      </w:r>
      <w:r w:rsidR="00321857">
        <w:rPr>
          <w:rFonts w:asciiTheme="minorHAnsi" w:hAnsiTheme="minorHAnsi"/>
          <w:lang w:eastAsia="en-AU"/>
        </w:rPr>
        <w:t xml:space="preserve"> operate</w:t>
      </w:r>
      <w:r w:rsidR="00BA701D" w:rsidRPr="00866FD1">
        <w:rPr>
          <w:rFonts w:asciiTheme="minorHAnsi" w:hAnsiTheme="minorHAnsi"/>
          <w:lang w:eastAsia="en-AU"/>
        </w:rPr>
        <w:t xml:space="preserve"> and</w:t>
      </w:r>
      <w:r w:rsidR="00F74C57" w:rsidRPr="00866FD1">
        <w:rPr>
          <w:rFonts w:asciiTheme="minorHAnsi" w:hAnsiTheme="minorHAnsi"/>
          <w:lang w:eastAsia="en-AU"/>
        </w:rPr>
        <w:t xml:space="preserve"> </w:t>
      </w:r>
      <w:r w:rsidR="00321857">
        <w:rPr>
          <w:rFonts w:asciiTheme="minorHAnsi" w:hAnsiTheme="minorHAnsi"/>
          <w:lang w:eastAsia="en-AU"/>
        </w:rPr>
        <w:t xml:space="preserve">governments need to </w:t>
      </w:r>
      <w:r w:rsidR="00F74C57" w:rsidRPr="00866FD1">
        <w:rPr>
          <w:rFonts w:asciiTheme="minorHAnsi" w:hAnsiTheme="minorHAnsi"/>
        </w:rPr>
        <w:t>strik</w:t>
      </w:r>
      <w:r w:rsidR="00BA701D" w:rsidRPr="00866FD1">
        <w:rPr>
          <w:rFonts w:asciiTheme="minorHAnsi" w:hAnsiTheme="minorHAnsi"/>
        </w:rPr>
        <w:t xml:space="preserve">e </w:t>
      </w:r>
      <w:r w:rsidR="00F74C57" w:rsidRPr="00866FD1">
        <w:rPr>
          <w:rFonts w:asciiTheme="minorHAnsi" w:hAnsiTheme="minorHAnsi"/>
        </w:rPr>
        <w:t xml:space="preserve">the right balance between desired public policy objectives whilst allowing </w:t>
      </w:r>
      <w:r w:rsidR="00321857">
        <w:rPr>
          <w:rFonts w:asciiTheme="minorHAnsi" w:hAnsiTheme="minorHAnsi"/>
        </w:rPr>
        <w:t>businesses to th</w:t>
      </w:r>
      <w:r w:rsidR="00F74C57" w:rsidRPr="00866FD1">
        <w:rPr>
          <w:rFonts w:asciiTheme="minorHAnsi" w:hAnsiTheme="minorHAnsi"/>
        </w:rPr>
        <w:t>rive.</w:t>
      </w:r>
    </w:p>
    <w:p w14:paraId="28B03899" w14:textId="0A76FAAF" w:rsidR="00602061" w:rsidRPr="00866FD1" w:rsidRDefault="00602061" w:rsidP="001B3352">
      <w:pPr>
        <w:rPr>
          <w:rFonts w:asciiTheme="minorHAnsi" w:hAnsiTheme="minorHAnsi"/>
        </w:rPr>
      </w:pPr>
      <w:r w:rsidRPr="00866FD1">
        <w:rPr>
          <w:rFonts w:asciiTheme="minorHAnsi" w:hAnsiTheme="minorHAnsi"/>
          <w:lang w:eastAsia="en-AU"/>
        </w:rPr>
        <w:t>The strength and stability of instit</w:t>
      </w:r>
      <w:r w:rsidR="00321857">
        <w:rPr>
          <w:rFonts w:asciiTheme="minorHAnsi" w:hAnsiTheme="minorHAnsi"/>
          <w:lang w:eastAsia="en-AU"/>
        </w:rPr>
        <w:t>ut</w:t>
      </w:r>
      <w:r w:rsidRPr="00866FD1">
        <w:rPr>
          <w:rFonts w:asciiTheme="minorHAnsi" w:hAnsiTheme="minorHAnsi"/>
          <w:lang w:eastAsia="en-AU"/>
        </w:rPr>
        <w:t xml:space="preserve">ional arrangements impact on firm behaviour including investment decisions and </w:t>
      </w:r>
      <w:r w:rsidRPr="00866FD1">
        <w:rPr>
          <w:rFonts w:asciiTheme="minorHAnsi" w:hAnsiTheme="minorHAnsi"/>
        </w:rPr>
        <w:t>many s</w:t>
      </w:r>
      <w:r w:rsidR="00986AF5" w:rsidRPr="00866FD1">
        <w:rPr>
          <w:rFonts w:asciiTheme="minorHAnsi" w:hAnsiTheme="minorHAnsi"/>
        </w:rPr>
        <w:t xml:space="preserve">takeholders raised concerns about </w:t>
      </w:r>
      <w:r w:rsidR="006639F1" w:rsidRPr="00866FD1">
        <w:rPr>
          <w:rFonts w:asciiTheme="minorHAnsi" w:hAnsiTheme="minorHAnsi"/>
        </w:rPr>
        <w:t>policy uncertainty</w:t>
      </w:r>
      <w:r w:rsidRPr="00866FD1">
        <w:rPr>
          <w:rFonts w:asciiTheme="minorHAnsi" w:hAnsiTheme="minorHAnsi"/>
        </w:rPr>
        <w:t xml:space="preserve">. </w:t>
      </w:r>
      <w:r w:rsidR="000D5890" w:rsidRPr="00866FD1">
        <w:rPr>
          <w:rFonts w:asciiTheme="minorHAnsi" w:hAnsiTheme="minorHAnsi"/>
        </w:rPr>
        <w:t xml:space="preserve">Investment decisions are forward-looking and investors </w:t>
      </w:r>
      <w:r w:rsidR="00321857">
        <w:rPr>
          <w:rFonts w:asciiTheme="minorHAnsi" w:hAnsiTheme="minorHAnsi"/>
        </w:rPr>
        <w:t>would prefer</w:t>
      </w:r>
      <w:r w:rsidR="000D5890" w:rsidRPr="00866FD1">
        <w:rPr>
          <w:rFonts w:asciiTheme="minorHAnsi" w:hAnsiTheme="minorHAnsi"/>
        </w:rPr>
        <w:t xml:space="preserve"> to have a reasonable </w:t>
      </w:r>
      <w:r w:rsidR="00321857">
        <w:rPr>
          <w:rFonts w:asciiTheme="minorHAnsi" w:hAnsiTheme="minorHAnsi"/>
        </w:rPr>
        <w:t xml:space="preserve">expectation around their </w:t>
      </w:r>
      <w:r w:rsidR="000D5890" w:rsidRPr="00866FD1">
        <w:rPr>
          <w:rFonts w:asciiTheme="minorHAnsi" w:hAnsiTheme="minorHAnsi"/>
        </w:rPr>
        <w:t>risk-adjusted return if they are to put their next investment dollar into Australia.</w:t>
      </w:r>
      <w:r w:rsidR="00134AFD">
        <w:rPr>
          <w:rFonts w:asciiTheme="minorHAnsi" w:hAnsiTheme="minorHAnsi"/>
        </w:rPr>
        <w:t xml:space="preserve"> Businesses consider </w:t>
      </w:r>
      <w:r w:rsidR="00230AC0">
        <w:rPr>
          <w:rFonts w:asciiTheme="minorHAnsi" w:hAnsiTheme="minorHAnsi"/>
        </w:rPr>
        <w:t>that</w:t>
      </w:r>
      <w:r w:rsidR="00134AFD">
        <w:rPr>
          <w:rFonts w:asciiTheme="minorHAnsi" w:hAnsiTheme="minorHAnsi"/>
        </w:rPr>
        <w:t xml:space="preserve"> while </w:t>
      </w:r>
      <w:r w:rsidR="00134AFD">
        <w:t>some of the sources of</w:t>
      </w:r>
      <w:r w:rsidR="00134AFD" w:rsidRPr="00952EE7">
        <w:t xml:space="preserve"> uncertainty are outside the control of </w:t>
      </w:r>
      <w:r w:rsidR="00134AFD">
        <w:t>g</w:t>
      </w:r>
      <w:r w:rsidR="00134AFD" w:rsidRPr="00952EE7">
        <w:t xml:space="preserve">overnments, </w:t>
      </w:r>
      <w:r w:rsidR="00134AFD">
        <w:t xml:space="preserve">Australian </w:t>
      </w:r>
      <w:r w:rsidR="00134AFD" w:rsidRPr="00952EE7">
        <w:t>governments should focus on reducing their contribution to uncertainty</w:t>
      </w:r>
    </w:p>
    <w:p w14:paraId="21B74102" w14:textId="6BEF3F1E" w:rsidR="000D5890" w:rsidRPr="00866FD1" w:rsidRDefault="000D5890" w:rsidP="00786E6D">
      <w:pPr>
        <w:pStyle w:val="Bullet"/>
        <w:tabs>
          <w:tab w:val="clear" w:pos="425"/>
        </w:tabs>
        <w:rPr>
          <w:rFonts w:asciiTheme="minorHAnsi" w:hAnsiTheme="minorHAnsi"/>
        </w:rPr>
      </w:pPr>
      <w:r w:rsidRPr="00866FD1">
        <w:rPr>
          <w:rFonts w:asciiTheme="minorHAnsi" w:hAnsiTheme="minorHAnsi"/>
        </w:rPr>
        <w:t>One contact commented that an export credit agency recently observed that Australia’s reputation as a high cost, low</w:t>
      </w:r>
      <w:r w:rsidR="00321857">
        <w:rPr>
          <w:rFonts w:asciiTheme="minorHAnsi" w:hAnsiTheme="minorHAnsi"/>
        </w:rPr>
        <w:t xml:space="preserve"> </w:t>
      </w:r>
      <w:r w:rsidRPr="00866FD1">
        <w:rPr>
          <w:rFonts w:asciiTheme="minorHAnsi" w:hAnsiTheme="minorHAnsi"/>
        </w:rPr>
        <w:t>sovereign</w:t>
      </w:r>
      <w:r w:rsidR="00321857">
        <w:rPr>
          <w:rFonts w:asciiTheme="minorHAnsi" w:hAnsiTheme="minorHAnsi"/>
        </w:rPr>
        <w:t>-</w:t>
      </w:r>
      <w:r w:rsidRPr="00866FD1">
        <w:rPr>
          <w:rFonts w:asciiTheme="minorHAnsi" w:hAnsiTheme="minorHAnsi"/>
        </w:rPr>
        <w:t>risk investment destination was no longer axiomatic.</w:t>
      </w:r>
    </w:p>
    <w:p w14:paraId="0E45B016" w14:textId="00191364" w:rsidR="000D5890" w:rsidRPr="00866FD1" w:rsidRDefault="000D5890" w:rsidP="00786E6D">
      <w:pPr>
        <w:pStyle w:val="Bullet"/>
        <w:tabs>
          <w:tab w:val="clear" w:pos="425"/>
        </w:tabs>
        <w:rPr>
          <w:rFonts w:asciiTheme="minorHAnsi" w:hAnsiTheme="minorHAnsi"/>
        </w:rPr>
      </w:pPr>
      <w:r w:rsidRPr="00866FD1">
        <w:rPr>
          <w:rFonts w:asciiTheme="minorHAnsi" w:hAnsiTheme="minorHAnsi"/>
        </w:rPr>
        <w:t xml:space="preserve">Another commented </w:t>
      </w:r>
      <w:r w:rsidR="00E75603" w:rsidRPr="00866FD1">
        <w:rPr>
          <w:rFonts w:asciiTheme="minorHAnsi" w:hAnsiTheme="minorHAnsi"/>
        </w:rPr>
        <w:t xml:space="preserve">that Australia is </w:t>
      </w:r>
      <w:r w:rsidRPr="00866FD1">
        <w:rPr>
          <w:rFonts w:asciiTheme="minorHAnsi" w:hAnsiTheme="minorHAnsi"/>
        </w:rPr>
        <w:t xml:space="preserve">competing against the rest of the world for capital but now </w:t>
      </w:r>
      <w:r w:rsidR="00E75603" w:rsidRPr="00866FD1">
        <w:rPr>
          <w:rFonts w:asciiTheme="minorHAnsi" w:hAnsiTheme="minorHAnsi"/>
        </w:rPr>
        <w:t xml:space="preserve">has </w:t>
      </w:r>
      <w:r w:rsidRPr="00866FD1">
        <w:rPr>
          <w:rFonts w:asciiTheme="minorHAnsi" w:hAnsiTheme="minorHAnsi"/>
        </w:rPr>
        <w:t>a reputatio</w:t>
      </w:r>
      <w:r w:rsidR="00523D27">
        <w:rPr>
          <w:rFonts w:asciiTheme="minorHAnsi" w:hAnsiTheme="minorHAnsi"/>
        </w:rPr>
        <w:t>n for changing policy settings.</w:t>
      </w:r>
    </w:p>
    <w:p w14:paraId="79C0B136" w14:textId="55A5DA98" w:rsidR="007073E0" w:rsidRDefault="00D97209" w:rsidP="001B3352">
      <w:pPr>
        <w:rPr>
          <w:rFonts w:asciiTheme="minorHAnsi" w:hAnsiTheme="minorHAnsi"/>
        </w:rPr>
      </w:pPr>
      <w:r w:rsidRPr="00866FD1">
        <w:rPr>
          <w:rFonts w:asciiTheme="minorHAnsi" w:hAnsiTheme="minorHAnsi"/>
        </w:rPr>
        <w:t>Businesses are concerned that even discussions around potential changes or sudden reviews of longstanding polic</w:t>
      </w:r>
      <w:r w:rsidR="00EF6A92" w:rsidRPr="00866FD1">
        <w:rPr>
          <w:rFonts w:asciiTheme="minorHAnsi" w:hAnsiTheme="minorHAnsi"/>
        </w:rPr>
        <w:t>ies</w:t>
      </w:r>
      <w:r w:rsidRPr="00866FD1">
        <w:rPr>
          <w:rFonts w:asciiTheme="minorHAnsi" w:hAnsiTheme="minorHAnsi"/>
        </w:rPr>
        <w:t xml:space="preserve"> can create uncertainty that discourages investment. A</w:t>
      </w:r>
      <w:r w:rsidR="007073E0" w:rsidRPr="00866FD1">
        <w:rPr>
          <w:rFonts w:asciiTheme="minorHAnsi" w:hAnsiTheme="minorHAnsi"/>
        </w:rPr>
        <w:t xml:space="preserve"> </w:t>
      </w:r>
      <w:r w:rsidRPr="00866FD1">
        <w:rPr>
          <w:rFonts w:asciiTheme="minorHAnsi" w:hAnsiTheme="minorHAnsi"/>
        </w:rPr>
        <w:t>list</w:t>
      </w:r>
      <w:r w:rsidR="007073E0" w:rsidRPr="00866FD1">
        <w:rPr>
          <w:rFonts w:asciiTheme="minorHAnsi" w:hAnsiTheme="minorHAnsi"/>
        </w:rPr>
        <w:t xml:space="preserve"> of examples of policy announcements</w:t>
      </w:r>
      <w:r w:rsidR="006639F1" w:rsidRPr="00866FD1">
        <w:rPr>
          <w:rFonts w:asciiTheme="minorHAnsi" w:hAnsiTheme="minorHAnsi"/>
        </w:rPr>
        <w:t>,</w:t>
      </w:r>
      <w:r w:rsidR="007073E0" w:rsidRPr="00866FD1">
        <w:rPr>
          <w:rFonts w:asciiTheme="minorHAnsi" w:hAnsiTheme="minorHAnsi"/>
        </w:rPr>
        <w:t xml:space="preserve"> across all levels of government</w:t>
      </w:r>
      <w:r w:rsidRPr="00866FD1">
        <w:rPr>
          <w:rFonts w:asciiTheme="minorHAnsi" w:hAnsiTheme="minorHAnsi"/>
        </w:rPr>
        <w:t xml:space="preserve">, that </w:t>
      </w:r>
      <w:r w:rsidR="007073E0" w:rsidRPr="00866FD1">
        <w:rPr>
          <w:rFonts w:asciiTheme="minorHAnsi" w:hAnsiTheme="minorHAnsi"/>
        </w:rPr>
        <w:t xml:space="preserve">were </w:t>
      </w:r>
      <w:r w:rsidRPr="00866FD1">
        <w:rPr>
          <w:rFonts w:asciiTheme="minorHAnsi" w:hAnsiTheme="minorHAnsi"/>
        </w:rPr>
        <w:t>described as sovereign risk by businesses consulted is in</w:t>
      </w:r>
      <w:r w:rsidR="007073E0" w:rsidRPr="00866FD1">
        <w:rPr>
          <w:rFonts w:asciiTheme="minorHAnsi" w:hAnsiTheme="minorHAnsi"/>
        </w:rPr>
        <w:t xml:space="preserve"> Box </w:t>
      </w:r>
      <w:r w:rsidR="00EA0CF8">
        <w:rPr>
          <w:rFonts w:asciiTheme="minorHAnsi" w:hAnsiTheme="minorHAnsi"/>
        </w:rPr>
        <w:t>4</w:t>
      </w:r>
      <w:r w:rsidR="00523D27">
        <w:rPr>
          <w:rFonts w:asciiTheme="minorHAnsi" w:hAnsiTheme="minorHAnsi"/>
        </w:rPr>
        <w:t xml:space="preserve"> below.</w:t>
      </w:r>
    </w:p>
    <w:p w14:paraId="7977EE93" w14:textId="77777777" w:rsidR="007E5707" w:rsidRPr="00866FD1" w:rsidRDefault="007E5707" w:rsidP="001B3352">
      <w:pPr>
        <w:rPr>
          <w:rFonts w:asciiTheme="minorHAnsi" w:hAnsiTheme="minorHAnsi"/>
        </w:rPr>
      </w:pPr>
    </w:p>
    <w:tbl>
      <w:tblPr>
        <w:tblStyle w:val="KeyPoints"/>
        <w:tblW w:w="0" w:type="auto"/>
        <w:tblInd w:w="198" w:type="dxa"/>
        <w:tblBorders>
          <w:top w:val="none" w:sz="0" w:space="0" w:color="auto"/>
          <w:left w:val="none" w:sz="0" w:space="0" w:color="auto"/>
          <w:bottom w:val="none" w:sz="0" w:space="0" w:color="auto"/>
          <w:right w:val="none" w:sz="0" w:space="0" w:color="auto"/>
        </w:tblBorders>
        <w:tblLayout w:type="fixed"/>
        <w:tblCellMar>
          <w:left w:w="198" w:type="dxa"/>
          <w:right w:w="227" w:type="dxa"/>
        </w:tblCellMar>
        <w:tblLook w:val="04A0" w:firstRow="1" w:lastRow="0" w:firstColumn="1" w:lastColumn="0" w:noHBand="0" w:noVBand="1"/>
      </w:tblPr>
      <w:tblGrid>
        <w:gridCol w:w="567"/>
        <w:gridCol w:w="8562"/>
      </w:tblGrid>
      <w:tr w:rsidR="007073E0" w:rsidRPr="008F2DDF" w14:paraId="6D7636FB" w14:textId="77777777" w:rsidTr="002F3447">
        <w:trPr>
          <w:trHeight w:val="491"/>
        </w:trPr>
        <w:tc>
          <w:tcPr>
            <w:tcW w:w="567" w:type="dxa"/>
            <w:shd w:val="clear" w:color="auto" w:fill="4FA4DA"/>
          </w:tcPr>
          <w:p w14:paraId="705B6292" w14:textId="77777777" w:rsidR="007073E0" w:rsidRPr="002E7EA9" w:rsidRDefault="007073E0" w:rsidP="001B3352">
            <w:pPr>
              <w:pStyle w:val="BoxHeading-KeyIssues"/>
              <w:rPr>
                <w:highlight w:val="magenta"/>
              </w:rPr>
            </w:pPr>
          </w:p>
        </w:tc>
        <w:tc>
          <w:tcPr>
            <w:tcW w:w="8562" w:type="dxa"/>
            <w:shd w:val="clear" w:color="auto" w:fill="EAEAEA"/>
            <w:tcMar>
              <w:right w:w="227" w:type="dxa"/>
            </w:tcMar>
          </w:tcPr>
          <w:p w14:paraId="7CE161EA" w14:textId="16EB8551" w:rsidR="007073E0" w:rsidRPr="002E7EA9" w:rsidRDefault="007073E0" w:rsidP="00EA0CF8">
            <w:pPr>
              <w:pStyle w:val="BoxHeading-KeyIssues"/>
              <w:rPr>
                <w:highlight w:val="magenta"/>
              </w:rPr>
            </w:pPr>
            <w:r w:rsidRPr="00743B21">
              <w:t xml:space="preserve">box </w:t>
            </w:r>
            <w:r w:rsidR="00EA0CF8">
              <w:t>4</w:t>
            </w:r>
            <w:r w:rsidRPr="00743B21">
              <w:t xml:space="preserve">: </w:t>
            </w:r>
            <w:r w:rsidR="00523D27">
              <w:t>sovereign risk</w:t>
            </w:r>
          </w:p>
        </w:tc>
      </w:tr>
      <w:tr w:rsidR="007073E0" w14:paraId="6D3951D1" w14:textId="77777777" w:rsidTr="002F3447">
        <w:trPr>
          <w:trHeight w:val="2733"/>
        </w:trPr>
        <w:tc>
          <w:tcPr>
            <w:tcW w:w="567" w:type="dxa"/>
            <w:shd w:val="clear" w:color="auto" w:fill="002833" w:themeFill="text1"/>
          </w:tcPr>
          <w:p w14:paraId="6B282774" w14:textId="77777777" w:rsidR="007073E0" w:rsidRDefault="007073E0" w:rsidP="001B3352">
            <w:pPr>
              <w:pStyle w:val="BoxHeading-KeyIssues"/>
            </w:pPr>
          </w:p>
        </w:tc>
        <w:tc>
          <w:tcPr>
            <w:tcW w:w="8562" w:type="dxa"/>
            <w:shd w:val="clear" w:color="auto" w:fill="EAEAEA"/>
            <w:tcMar>
              <w:right w:w="227" w:type="dxa"/>
            </w:tcMar>
          </w:tcPr>
          <w:p w14:paraId="4C7D4EFB" w14:textId="0A2A0159" w:rsidR="002C7504" w:rsidRDefault="002C7504" w:rsidP="00377076">
            <w:pPr>
              <w:pStyle w:val="BoxText"/>
            </w:pPr>
            <w:r>
              <w:t>Businesses cited a number of policy announcements that could affect them adversely as being associated with sovereign risk</w:t>
            </w:r>
            <w:r w:rsidR="00DB7DFC">
              <w:t>. Some specifics included</w:t>
            </w:r>
            <w:r>
              <w:t>:</w:t>
            </w:r>
          </w:p>
          <w:p w14:paraId="73F2B06E" w14:textId="00E8E09A" w:rsidR="007073E0" w:rsidRPr="00B4479F" w:rsidRDefault="007073E0" w:rsidP="00377076">
            <w:pPr>
              <w:pStyle w:val="BoxBullet"/>
            </w:pPr>
            <w:r w:rsidRPr="00B4479F">
              <w:t xml:space="preserve">The </w:t>
            </w:r>
            <w:r w:rsidR="00321857" w:rsidRPr="00B4479F">
              <w:t xml:space="preserve">Petroleum </w:t>
            </w:r>
            <w:r w:rsidRPr="00B4479F">
              <w:t>Resource Rent Tax (</w:t>
            </w:r>
            <w:r w:rsidR="00321857" w:rsidRPr="00B4479F">
              <w:t>P</w:t>
            </w:r>
            <w:r w:rsidR="00523D27">
              <w:t xml:space="preserve">RRT) </w:t>
            </w:r>
            <w:r w:rsidR="00E95FE4">
              <w:t>R</w:t>
            </w:r>
            <w:r w:rsidR="00523D27">
              <w:t>eview;</w:t>
            </w:r>
          </w:p>
          <w:p w14:paraId="40677155" w14:textId="109144F6" w:rsidR="007073E0" w:rsidRPr="00B4479F" w:rsidRDefault="007073E0" w:rsidP="00377076">
            <w:pPr>
              <w:pStyle w:val="BoxBullet"/>
            </w:pPr>
            <w:r w:rsidRPr="00B4479F">
              <w:t>The Review of Stapled Structures</w:t>
            </w:r>
            <w:r w:rsidR="00DB7DFC" w:rsidRPr="00B4479F">
              <w:t>;</w:t>
            </w:r>
          </w:p>
          <w:p w14:paraId="4B3D16A0" w14:textId="04AF2576" w:rsidR="00DB7DFC" w:rsidRPr="00B4479F" w:rsidRDefault="00DB7DFC" w:rsidP="00377076">
            <w:pPr>
              <w:pStyle w:val="BoxBullet"/>
            </w:pPr>
            <w:r w:rsidRPr="00B4479F">
              <w:t>Energy policy uncertainty related to emission reduction policies;</w:t>
            </w:r>
          </w:p>
          <w:p w14:paraId="5B73B001" w14:textId="0901B92E" w:rsidR="007073E0" w:rsidRPr="00B4479F" w:rsidRDefault="007073E0" w:rsidP="00377076">
            <w:pPr>
              <w:pStyle w:val="BoxBullet"/>
            </w:pPr>
            <w:r w:rsidRPr="00B4479F">
              <w:t xml:space="preserve">Changes to </w:t>
            </w:r>
            <w:r w:rsidR="0050677C" w:rsidRPr="00B4479F">
              <w:t>S</w:t>
            </w:r>
            <w:r w:rsidR="00321857" w:rsidRPr="00B4479F">
              <w:t xml:space="preserve">tate based mining </w:t>
            </w:r>
            <w:r w:rsidRPr="00B4479F">
              <w:t>royalties</w:t>
            </w:r>
            <w:r w:rsidR="00DB7DFC" w:rsidRPr="00B4479F">
              <w:t>;</w:t>
            </w:r>
          </w:p>
          <w:p w14:paraId="44FDBA02" w14:textId="24FF065C" w:rsidR="005D6062" w:rsidRPr="00B4479F" w:rsidRDefault="00321857" w:rsidP="00377076">
            <w:pPr>
              <w:pStyle w:val="BoxBullet"/>
            </w:pPr>
            <w:r w:rsidRPr="00B4479F">
              <w:t xml:space="preserve">Review and continued uncertainty around </w:t>
            </w:r>
            <w:r w:rsidR="005D6062" w:rsidRPr="00B4479F">
              <w:t>R&amp;D Tax Incentive arrangements;</w:t>
            </w:r>
          </w:p>
          <w:p w14:paraId="66E2C669" w14:textId="660617F9" w:rsidR="007073E0" w:rsidRPr="00B4479F" w:rsidRDefault="007073E0" w:rsidP="00377076">
            <w:pPr>
              <w:pStyle w:val="BoxBullet"/>
            </w:pPr>
            <w:r w:rsidRPr="00B4479F">
              <w:t>Introduction of the Bank Levy</w:t>
            </w:r>
            <w:r w:rsidR="00321857" w:rsidRPr="00B4479F">
              <w:t xml:space="preserve"> at </w:t>
            </w:r>
            <w:r w:rsidR="005A7AC2" w:rsidRPr="00B4479F">
              <w:t>the Commonwealth and S</w:t>
            </w:r>
            <w:r w:rsidR="00321857" w:rsidRPr="00B4479F">
              <w:t>tate level</w:t>
            </w:r>
            <w:r w:rsidR="00011506" w:rsidRPr="00B4479F">
              <w:t>;</w:t>
            </w:r>
          </w:p>
          <w:p w14:paraId="24E28F73" w14:textId="3DBD96C9" w:rsidR="007073E0" w:rsidRPr="00B4479F" w:rsidRDefault="007073E0" w:rsidP="00377076">
            <w:pPr>
              <w:pStyle w:val="BoxBullet"/>
            </w:pPr>
            <w:r w:rsidRPr="00B4479F">
              <w:t>Changes to the 457 Visa program – with particular concerns noted about and the lack of consultation ahead of the announcement</w:t>
            </w:r>
            <w:r w:rsidR="00321857" w:rsidRPr="00B4479F">
              <w:t xml:space="preserve"> and impact on specialist labour skills</w:t>
            </w:r>
            <w:r w:rsidR="00011506" w:rsidRPr="00B4479F">
              <w:t>;</w:t>
            </w:r>
          </w:p>
          <w:p w14:paraId="22A606D2" w14:textId="3D7FB2E3" w:rsidR="007073E0" w:rsidRPr="00B4479F" w:rsidRDefault="007073E0" w:rsidP="00377076">
            <w:pPr>
              <w:pStyle w:val="BoxBullet"/>
            </w:pPr>
            <w:r w:rsidRPr="00B4479F">
              <w:t>Introduction of the Australian Domestic Gas Security Mechanism</w:t>
            </w:r>
            <w:r w:rsidR="00011506" w:rsidRPr="00B4479F">
              <w:t>;</w:t>
            </w:r>
          </w:p>
          <w:p w14:paraId="56606A2C" w14:textId="52F97959" w:rsidR="007073E0" w:rsidRPr="00B4479F" w:rsidRDefault="006639F1" w:rsidP="00377076">
            <w:pPr>
              <w:pStyle w:val="BoxBullet"/>
            </w:pPr>
            <w:r w:rsidRPr="00B4479F">
              <w:t xml:space="preserve">The </w:t>
            </w:r>
            <w:r w:rsidR="00321857" w:rsidRPr="00B4479F">
              <w:t xml:space="preserve">unilateral removal of the </w:t>
            </w:r>
            <w:r w:rsidR="007073E0" w:rsidRPr="00B4479F">
              <w:t xml:space="preserve">Limited </w:t>
            </w:r>
            <w:r w:rsidRPr="00B4479F">
              <w:t>M</w:t>
            </w:r>
            <w:r w:rsidR="007073E0" w:rsidRPr="00B4479F">
              <w:t xml:space="preserve">erits </w:t>
            </w:r>
            <w:r w:rsidRPr="00B4479F">
              <w:t>R</w:t>
            </w:r>
            <w:r w:rsidR="007073E0" w:rsidRPr="00B4479F">
              <w:t>eview</w:t>
            </w:r>
            <w:r w:rsidRPr="00B4479F">
              <w:t xml:space="preserve"> regime</w:t>
            </w:r>
            <w:r w:rsidR="00321857" w:rsidRPr="00B4479F">
              <w:t xml:space="preserve"> for electricity transmission investments</w:t>
            </w:r>
            <w:r w:rsidR="00523D27">
              <w:t>;</w:t>
            </w:r>
          </w:p>
          <w:p w14:paraId="7BEF2ABD" w14:textId="16884498" w:rsidR="007073E0" w:rsidRPr="00B4479F" w:rsidRDefault="007073E0" w:rsidP="00377076">
            <w:pPr>
              <w:pStyle w:val="BoxBullet"/>
            </w:pPr>
            <w:r w:rsidRPr="00B4479F">
              <w:t xml:space="preserve">Regulatory changes by both </w:t>
            </w:r>
            <w:r w:rsidR="00B87AB5">
              <w:t xml:space="preserve">the </w:t>
            </w:r>
            <w:r w:rsidR="002B5E75">
              <w:t>Commonwealth</w:t>
            </w:r>
            <w:r w:rsidRPr="00B4479F">
              <w:t xml:space="preserve"> (FIRB rules regarding the 50% cap for </w:t>
            </w:r>
            <w:r w:rsidR="006639F1" w:rsidRPr="00B4479F">
              <w:t xml:space="preserve">advanced </w:t>
            </w:r>
            <w:r w:rsidRPr="00B4479F">
              <w:t>off</w:t>
            </w:r>
            <w:r w:rsidR="0050677C" w:rsidRPr="00B4479F">
              <w:noBreakHyphen/>
            </w:r>
            <w:r w:rsidRPr="00B4479F">
              <w:t>the</w:t>
            </w:r>
            <w:r w:rsidR="0050677C" w:rsidRPr="00B4479F">
              <w:noBreakHyphen/>
            </w:r>
            <w:r w:rsidRPr="00B4479F">
              <w:t xml:space="preserve">plan sales) and </w:t>
            </w:r>
            <w:r w:rsidR="0050677C" w:rsidRPr="00B4479F">
              <w:t>S</w:t>
            </w:r>
            <w:r w:rsidRPr="00B4479F">
              <w:t xml:space="preserve">tate </w:t>
            </w:r>
            <w:r w:rsidR="0099102A">
              <w:t>G</w:t>
            </w:r>
            <w:r w:rsidRPr="00B4479F">
              <w:t>overnments that apply to residential apartment complexes under development which potentially limit whether foreign investors can purchase</w:t>
            </w:r>
            <w:r w:rsidR="00DB7DFC" w:rsidRPr="00B4479F">
              <w:t>; and</w:t>
            </w:r>
          </w:p>
          <w:p w14:paraId="4BD6098D" w14:textId="0D0A933E" w:rsidR="00DB7DFC" w:rsidRDefault="00390E2C" w:rsidP="002B5E75">
            <w:pPr>
              <w:pStyle w:val="BoxBullet"/>
            </w:pPr>
            <w:r w:rsidRPr="00B4479F">
              <w:t xml:space="preserve">Local </w:t>
            </w:r>
            <w:r w:rsidR="002B5E75">
              <w:t>g</w:t>
            </w:r>
            <w:r w:rsidRPr="00B4479F">
              <w:t xml:space="preserve">overnment planning and zoning changes. </w:t>
            </w:r>
            <w:r w:rsidR="0050677C" w:rsidRPr="00B4479F">
              <w:t>For example,</w:t>
            </w:r>
            <w:r w:rsidRPr="00B4479F">
              <w:t xml:space="preserve"> where sudden zoning changes for between different types of commercial </w:t>
            </w:r>
            <w:r w:rsidR="00FF34CB" w:rsidRPr="00B4479F">
              <w:t xml:space="preserve">land </w:t>
            </w:r>
            <w:r w:rsidRPr="00B4479F">
              <w:t>can trigger Fringe Benefits Tax implications.</w:t>
            </w:r>
          </w:p>
        </w:tc>
      </w:tr>
    </w:tbl>
    <w:p w14:paraId="46452058" w14:textId="77777777" w:rsidR="007073E0" w:rsidRDefault="007073E0" w:rsidP="00377076">
      <w:pPr>
        <w:pStyle w:val="SingleParagraph"/>
        <w:rPr>
          <w:highlight w:val="green"/>
        </w:rPr>
      </w:pPr>
    </w:p>
    <w:p w14:paraId="2985E51D" w14:textId="72B8072B" w:rsidR="00080402" w:rsidRPr="00011506" w:rsidRDefault="00080402" w:rsidP="00377076">
      <w:r w:rsidRPr="00011506">
        <w:t>T</w:t>
      </w:r>
      <w:r w:rsidR="00D97209" w:rsidRPr="00011506">
        <w:t xml:space="preserve">he political divide between the Commonwealth and State and Territory </w:t>
      </w:r>
      <w:r w:rsidR="0099102A">
        <w:t>G</w:t>
      </w:r>
      <w:r w:rsidR="00D97209" w:rsidRPr="00011506">
        <w:t>overnments</w:t>
      </w:r>
      <w:r w:rsidRPr="00011506">
        <w:t xml:space="preserve"> and partisan politics were identified</w:t>
      </w:r>
      <w:r w:rsidR="00D97209" w:rsidRPr="00011506">
        <w:t xml:space="preserve"> </w:t>
      </w:r>
      <w:r w:rsidRPr="00011506">
        <w:t xml:space="preserve">as contributing to instability and sovereign risk. </w:t>
      </w:r>
      <w:r w:rsidR="00DB7DFC">
        <w:t>Some</w:t>
      </w:r>
      <w:r w:rsidR="00DB7DFC" w:rsidRPr="00011506">
        <w:t xml:space="preserve"> </w:t>
      </w:r>
      <w:r w:rsidRPr="00011506">
        <w:t xml:space="preserve">businesses commented that there </w:t>
      </w:r>
      <w:r w:rsidR="00DB7DFC">
        <w:t xml:space="preserve">appeared to be less regard for election </w:t>
      </w:r>
      <w:r w:rsidRPr="00011506">
        <w:t>mandates</w:t>
      </w:r>
      <w:r w:rsidR="00DB7DFC">
        <w:t xml:space="preserve"> than had historically been the case</w:t>
      </w:r>
      <w:r w:rsidRPr="00011506">
        <w:t>.</w:t>
      </w:r>
    </w:p>
    <w:p w14:paraId="1F80079E" w14:textId="7566F290" w:rsidR="00624E5A" w:rsidRPr="00377076" w:rsidRDefault="00080402" w:rsidP="00377076">
      <w:pPr>
        <w:pStyle w:val="Bullet"/>
      </w:pPr>
      <w:r w:rsidRPr="00377076">
        <w:t>One business said it is becoming a situation where “We just want</w:t>
      </w:r>
      <w:r w:rsidR="00523D27">
        <w:t xml:space="preserve"> what the other bloke doesn’t”.</w:t>
      </w:r>
    </w:p>
    <w:p w14:paraId="61396FA2" w14:textId="535A7464" w:rsidR="004108CA" w:rsidRPr="00624E5A" w:rsidRDefault="007E6D53" w:rsidP="00377076">
      <w:r>
        <w:rPr>
          <w:noProof/>
          <w:lang w:eastAsia="en-AU"/>
        </w:rPr>
        <w:drawing>
          <wp:anchor distT="0" distB="0" distL="114300" distR="114300" simplePos="0" relativeHeight="251646464" behindDoc="0" locked="0" layoutInCell="1" allowOverlap="1" wp14:anchorId="1C7CA266" wp14:editId="1B922FE7">
            <wp:simplePos x="0" y="0"/>
            <wp:positionH relativeFrom="column">
              <wp:posOffset>3980815</wp:posOffset>
            </wp:positionH>
            <wp:positionV relativeFrom="paragraph">
              <wp:posOffset>67310</wp:posOffset>
            </wp:positionV>
            <wp:extent cx="1763395" cy="810000"/>
            <wp:effectExtent l="0" t="0" r="8255" b="9525"/>
            <wp:wrapSquare wrapText="bothSides"/>
            <wp:docPr id="293" name="Pictur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Z:\2017\Reports and Reviews\Intergovernmental Review of Business Investment\pullQuote-16.pn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9305" r="9200"/>
                    <a:stretch/>
                  </pic:blipFill>
                  <pic:spPr bwMode="auto">
                    <a:xfrm>
                      <a:off x="0" y="0"/>
                      <a:ext cx="1763395" cy="81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0402" w:rsidRPr="00624E5A">
        <w:t xml:space="preserve">Concern was raised that there has been a politicisation of debate which has contributed to policy uncertainty. </w:t>
      </w:r>
      <w:r w:rsidR="00602061" w:rsidRPr="00624E5A">
        <w:t xml:space="preserve">One contact felt that previously companies worked with government and discussed reforms, but now it seems to be decision by inquiry – resulting in populist outcomes rather than sensible policy. </w:t>
      </w:r>
      <w:r w:rsidR="004108CA" w:rsidRPr="00624E5A">
        <w:t>A few companies raised concerns about the politicisation of we</w:t>
      </w:r>
      <w:r w:rsidR="00624E5A" w:rsidRPr="00624E5A">
        <w:t>ll</w:t>
      </w:r>
      <w:r w:rsidR="00624E5A" w:rsidRPr="00624E5A">
        <w:noBreakHyphen/>
      </w:r>
      <w:r w:rsidR="004108CA" w:rsidRPr="00624E5A">
        <w:t xml:space="preserve">established review processes such as </w:t>
      </w:r>
      <w:r w:rsidR="00DB7DFC" w:rsidRPr="00624E5A">
        <w:t xml:space="preserve">regulatory </w:t>
      </w:r>
      <w:r w:rsidR="004108CA" w:rsidRPr="00624E5A">
        <w:t>inquiries and the risks that t</w:t>
      </w:r>
      <w:r w:rsidR="00523D27">
        <w:t>hese can create for investment.</w:t>
      </w:r>
    </w:p>
    <w:p w14:paraId="7FED8523" w14:textId="5DAB1DA0" w:rsidR="003D1168" w:rsidRPr="00011506" w:rsidRDefault="004108CA" w:rsidP="00FE6924">
      <w:pPr>
        <w:pStyle w:val="Bullet"/>
      </w:pPr>
      <w:r w:rsidRPr="00011506">
        <w:t xml:space="preserve">One company </w:t>
      </w:r>
      <w:r w:rsidR="003D1168" w:rsidRPr="00011506">
        <w:t>said that an ACCC inquiry underway had created regulatory uncertainty and stalled its investments in a particular business area pen</w:t>
      </w:r>
      <w:r w:rsidR="00523D27">
        <w:t>ding completion of the inquiry.</w:t>
      </w:r>
    </w:p>
    <w:p w14:paraId="0A29E295" w14:textId="738D0B8B" w:rsidR="00C43947" w:rsidRPr="00011506" w:rsidRDefault="003D1168" w:rsidP="00FE6924">
      <w:pPr>
        <w:pStyle w:val="Bullet"/>
      </w:pPr>
      <w:r w:rsidRPr="00011506">
        <w:t xml:space="preserve">Another commented that </w:t>
      </w:r>
      <w:r w:rsidR="00C43947" w:rsidRPr="00011506">
        <w:t>companies</w:t>
      </w:r>
      <w:r w:rsidR="004108CA" w:rsidRPr="00011506">
        <w:t xml:space="preserve"> </w:t>
      </w:r>
      <w:r w:rsidR="00C43947" w:rsidRPr="00011506">
        <w:t>may be less willing to undertake investments, even where these are unlikely to attract competitors, just from the</w:t>
      </w:r>
      <w:r w:rsidR="004108CA" w:rsidRPr="00011506">
        <w:t xml:space="preserve"> </w:t>
      </w:r>
      <w:r w:rsidR="00C43947" w:rsidRPr="00011506">
        <w:t xml:space="preserve">potential </w:t>
      </w:r>
      <w:r w:rsidR="004108CA" w:rsidRPr="00011506">
        <w:t xml:space="preserve">risk of a politicised </w:t>
      </w:r>
      <w:r w:rsidR="00D04826">
        <w:t>regulatory</w:t>
      </w:r>
      <w:r w:rsidR="004108CA" w:rsidRPr="00011506">
        <w:t xml:space="preserve"> inquiry</w:t>
      </w:r>
      <w:r w:rsidR="00523D27">
        <w:t>.</w:t>
      </w:r>
    </w:p>
    <w:p w14:paraId="2FD8FA7C" w14:textId="0AD1F6B2" w:rsidR="00B4243D" w:rsidRPr="00011506" w:rsidRDefault="00B4243D" w:rsidP="001B3352">
      <w:pPr>
        <w:rPr>
          <w:rFonts w:asciiTheme="minorHAnsi" w:hAnsiTheme="minorHAnsi"/>
        </w:rPr>
      </w:pPr>
      <w:r w:rsidRPr="00011506">
        <w:rPr>
          <w:rFonts w:asciiTheme="minorHAnsi" w:hAnsiTheme="minorHAnsi"/>
        </w:rPr>
        <w:t xml:space="preserve">It was noted that there are </w:t>
      </w:r>
      <w:r w:rsidR="003D1168" w:rsidRPr="00011506">
        <w:rPr>
          <w:rFonts w:asciiTheme="minorHAnsi" w:hAnsiTheme="minorHAnsi"/>
        </w:rPr>
        <w:t>‘</w:t>
      </w:r>
      <w:r w:rsidR="00DC2F31" w:rsidRPr="00011506">
        <w:rPr>
          <w:rFonts w:asciiTheme="minorHAnsi" w:hAnsiTheme="minorHAnsi"/>
        </w:rPr>
        <w:t>endless</w:t>
      </w:r>
      <w:r w:rsidR="003D1168" w:rsidRPr="00011506">
        <w:rPr>
          <w:rFonts w:asciiTheme="minorHAnsi" w:hAnsiTheme="minorHAnsi"/>
        </w:rPr>
        <w:t>’</w:t>
      </w:r>
      <w:r w:rsidRPr="00011506">
        <w:rPr>
          <w:rFonts w:asciiTheme="minorHAnsi" w:hAnsiTheme="minorHAnsi"/>
        </w:rPr>
        <w:t xml:space="preserve"> </w:t>
      </w:r>
      <w:r w:rsidR="00DC2F31" w:rsidRPr="00011506">
        <w:rPr>
          <w:rFonts w:asciiTheme="minorHAnsi" w:hAnsiTheme="minorHAnsi"/>
        </w:rPr>
        <w:t>g</w:t>
      </w:r>
      <w:r w:rsidRPr="00011506">
        <w:rPr>
          <w:rFonts w:asciiTheme="minorHAnsi" w:hAnsiTheme="minorHAnsi"/>
        </w:rPr>
        <w:t>overnment reviews and inquiries underway, looking into overlapping issues without many tangible outcomes evident for businesses.</w:t>
      </w:r>
      <w:r w:rsidR="00D97209" w:rsidRPr="00011506">
        <w:rPr>
          <w:rFonts w:asciiTheme="minorHAnsi" w:hAnsiTheme="minorHAnsi"/>
        </w:rPr>
        <w:t xml:space="preserve"> </w:t>
      </w:r>
      <w:r w:rsidR="00DC2F31" w:rsidRPr="00011506">
        <w:rPr>
          <w:rFonts w:asciiTheme="minorHAnsi" w:hAnsiTheme="minorHAnsi"/>
        </w:rPr>
        <w:t>The time that companies spend compiling submissions and participating in these processes is considered red</w:t>
      </w:r>
      <w:r w:rsidR="00DB7DFC">
        <w:rPr>
          <w:rFonts w:asciiTheme="minorHAnsi" w:hAnsiTheme="minorHAnsi"/>
        </w:rPr>
        <w:t>-</w:t>
      </w:r>
      <w:r w:rsidR="00523D27">
        <w:rPr>
          <w:rFonts w:asciiTheme="minorHAnsi" w:hAnsiTheme="minorHAnsi"/>
        </w:rPr>
        <w:t>tape burden.</w:t>
      </w:r>
    </w:p>
    <w:p w14:paraId="234EFD72" w14:textId="29135743" w:rsidR="00DC2F31" w:rsidRPr="00011506" w:rsidRDefault="00DC2F31" w:rsidP="00FE6924">
      <w:pPr>
        <w:pStyle w:val="Bullet"/>
      </w:pPr>
      <w:r w:rsidRPr="00011506">
        <w:t xml:space="preserve">For example, </w:t>
      </w:r>
      <w:r w:rsidR="00FF34CB">
        <w:t>one</w:t>
      </w:r>
      <w:r w:rsidRPr="00011506">
        <w:t xml:space="preserve"> industry </w:t>
      </w:r>
      <w:r w:rsidR="00230C77">
        <w:t>association</w:t>
      </w:r>
      <w:r w:rsidR="00230C77" w:rsidRPr="00011506">
        <w:t xml:space="preserve"> </w:t>
      </w:r>
      <w:r w:rsidRPr="00011506">
        <w:t xml:space="preserve">lodged 107 detailed submissions in </w:t>
      </w:r>
      <w:r w:rsidR="00FF34CB">
        <w:t>2016</w:t>
      </w:r>
      <w:r w:rsidRPr="00011506">
        <w:t xml:space="preserve"> alone in response to government inquiries and reviews</w:t>
      </w:r>
      <w:r w:rsidR="00FF34CB">
        <w:t>,</w:t>
      </w:r>
      <w:r w:rsidRPr="00011506">
        <w:t xml:space="preserve"> and was participating in more than 10 separate reviews at the time of this </w:t>
      </w:r>
      <w:r w:rsidR="00DB7DFC">
        <w:t>Review</w:t>
      </w:r>
      <w:r w:rsidR="00523D27">
        <w:t>.</w:t>
      </w:r>
    </w:p>
    <w:p w14:paraId="320E3619" w14:textId="1686486D" w:rsidR="00B4243D" w:rsidRPr="00011506" w:rsidRDefault="003D1168" w:rsidP="001B3352">
      <w:pPr>
        <w:rPr>
          <w:rFonts w:asciiTheme="minorHAnsi" w:hAnsiTheme="minorHAnsi"/>
        </w:rPr>
      </w:pPr>
      <w:r w:rsidRPr="00011506">
        <w:rPr>
          <w:rFonts w:asciiTheme="minorHAnsi" w:hAnsiTheme="minorHAnsi"/>
        </w:rPr>
        <w:t>Despite the apparent consultation fatigue</w:t>
      </w:r>
      <w:r w:rsidR="00E75603" w:rsidRPr="00011506">
        <w:rPr>
          <w:rFonts w:asciiTheme="minorHAnsi" w:hAnsiTheme="minorHAnsi"/>
        </w:rPr>
        <w:t>,</w:t>
      </w:r>
      <w:r w:rsidRPr="00011506">
        <w:rPr>
          <w:rFonts w:asciiTheme="minorHAnsi" w:hAnsiTheme="minorHAnsi"/>
        </w:rPr>
        <w:t xml:space="preserve"> s</w:t>
      </w:r>
      <w:r w:rsidR="00D97209" w:rsidRPr="00011506">
        <w:rPr>
          <w:rFonts w:asciiTheme="minorHAnsi" w:hAnsiTheme="minorHAnsi"/>
        </w:rPr>
        <w:t xml:space="preserve">takeholders </w:t>
      </w:r>
      <w:r w:rsidR="00B4243D" w:rsidRPr="00011506">
        <w:rPr>
          <w:rFonts w:asciiTheme="minorHAnsi" w:hAnsiTheme="minorHAnsi"/>
        </w:rPr>
        <w:t xml:space="preserve">emphasised the importance of ensuring that when policy changes are required </w:t>
      </w:r>
      <w:r w:rsidR="00E75603" w:rsidRPr="00011506">
        <w:rPr>
          <w:rFonts w:asciiTheme="minorHAnsi" w:hAnsiTheme="minorHAnsi"/>
        </w:rPr>
        <w:t>governments do this</w:t>
      </w:r>
      <w:r w:rsidR="00B4243D" w:rsidRPr="00011506">
        <w:rPr>
          <w:rFonts w:asciiTheme="minorHAnsi" w:hAnsiTheme="minorHAnsi"/>
        </w:rPr>
        <w:t xml:space="preserve"> via an appropriate process </w:t>
      </w:r>
      <w:r w:rsidR="00D97209" w:rsidRPr="00011506">
        <w:rPr>
          <w:rFonts w:asciiTheme="minorHAnsi" w:hAnsiTheme="minorHAnsi"/>
        </w:rPr>
        <w:t xml:space="preserve">– </w:t>
      </w:r>
      <w:r w:rsidR="002A75D9">
        <w:rPr>
          <w:rFonts w:asciiTheme="minorHAnsi" w:hAnsiTheme="minorHAnsi"/>
        </w:rPr>
        <w:t xml:space="preserve">a </w:t>
      </w:r>
      <w:r w:rsidR="00DB7DFC">
        <w:rPr>
          <w:rFonts w:asciiTheme="minorHAnsi" w:hAnsiTheme="minorHAnsi"/>
        </w:rPr>
        <w:t>process</w:t>
      </w:r>
      <w:r w:rsidR="00D97209" w:rsidRPr="00011506">
        <w:rPr>
          <w:rFonts w:asciiTheme="minorHAnsi" w:hAnsiTheme="minorHAnsi"/>
        </w:rPr>
        <w:t xml:space="preserve"> </w:t>
      </w:r>
      <w:r w:rsidR="00E75603" w:rsidRPr="00011506">
        <w:rPr>
          <w:rFonts w:asciiTheme="minorHAnsi" w:hAnsiTheme="minorHAnsi"/>
        </w:rPr>
        <w:t xml:space="preserve">that </w:t>
      </w:r>
      <w:r w:rsidR="00B4243D" w:rsidRPr="00011506">
        <w:rPr>
          <w:rFonts w:asciiTheme="minorHAnsi" w:hAnsiTheme="minorHAnsi"/>
        </w:rPr>
        <w:t>involves adequate consultation and implementation on a timeframe tha</w:t>
      </w:r>
      <w:r w:rsidR="009D7F7E">
        <w:rPr>
          <w:rFonts w:asciiTheme="minorHAnsi" w:hAnsiTheme="minorHAnsi"/>
        </w:rPr>
        <w:t>t enables businesses to adjust.</w:t>
      </w:r>
    </w:p>
    <w:p w14:paraId="663E3442" w14:textId="38953844" w:rsidR="00B4243D" w:rsidRPr="00011506" w:rsidRDefault="00170239" w:rsidP="00FE6924">
      <w:pPr>
        <w:pStyle w:val="Bullet"/>
      </w:pPr>
      <w:r>
        <w:rPr>
          <w:rFonts w:asciiTheme="minorHAnsi" w:hAnsiTheme="minorHAnsi"/>
          <w:noProof/>
          <w:lang w:eastAsia="en-AU"/>
        </w:rPr>
        <w:drawing>
          <wp:anchor distT="0" distB="0" distL="114300" distR="114300" simplePos="0" relativeHeight="251647488" behindDoc="0" locked="0" layoutInCell="1" allowOverlap="1" wp14:anchorId="2903DB62" wp14:editId="354942BF">
            <wp:simplePos x="0" y="0"/>
            <wp:positionH relativeFrom="column">
              <wp:posOffset>3856355</wp:posOffset>
            </wp:positionH>
            <wp:positionV relativeFrom="paragraph">
              <wp:posOffset>36195</wp:posOffset>
            </wp:positionV>
            <wp:extent cx="1896745" cy="818515"/>
            <wp:effectExtent l="0" t="0" r="8255" b="635"/>
            <wp:wrapSquare wrapText="bothSides"/>
            <wp:docPr id="294"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Z:\2017\Reports and Reviews\Intergovernmental Review of Business Investment\pullQuote-17.pn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6204" r="5670"/>
                    <a:stretch/>
                  </pic:blipFill>
                  <pic:spPr bwMode="auto">
                    <a:xfrm>
                      <a:off x="0" y="0"/>
                      <a:ext cx="1896745" cy="81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43D" w:rsidRPr="00011506">
        <w:t xml:space="preserve">One </w:t>
      </w:r>
      <w:r w:rsidR="004635C6">
        <w:t>contact</w:t>
      </w:r>
      <w:r w:rsidR="00B4243D" w:rsidRPr="00011506">
        <w:t xml:space="preserve"> commented that the main challenge in recent years has been inadequate consultation and timeframes that are too short to change business models in response to policy changes</w:t>
      </w:r>
      <w:r w:rsidR="003F1D83" w:rsidRPr="00011506">
        <w:t xml:space="preserve"> – </w:t>
      </w:r>
      <w:r w:rsidR="00B4243D" w:rsidRPr="00786E6D">
        <w:t>“</w:t>
      </w:r>
      <w:r w:rsidR="003F1D83" w:rsidRPr="00786E6D">
        <w:t>W</w:t>
      </w:r>
      <w:r w:rsidR="00B4243D" w:rsidRPr="00786E6D">
        <w:t>e can’t change our business model overnight”</w:t>
      </w:r>
      <w:r w:rsidR="00B4243D" w:rsidRPr="00011506">
        <w:t>.</w:t>
      </w:r>
    </w:p>
    <w:p w14:paraId="0BDFA379" w14:textId="04BC4015" w:rsidR="003D1168" w:rsidRDefault="003D1168" w:rsidP="001B3352">
      <w:pPr>
        <w:rPr>
          <w:rFonts w:asciiTheme="minorHAnsi" w:hAnsiTheme="minorHAnsi"/>
        </w:rPr>
      </w:pPr>
      <w:r w:rsidRPr="00011506">
        <w:rPr>
          <w:rFonts w:asciiTheme="minorHAnsi" w:hAnsiTheme="minorHAnsi"/>
        </w:rPr>
        <w:t>The overall message was that genuine consultation for necessary policy/regulatory changes, and where industry views will actually be considered, are appreciated. Disingenuous consultations and reviews for purely political</w:t>
      </w:r>
      <w:r w:rsidR="009D7F7E">
        <w:rPr>
          <w:rFonts w:asciiTheme="minorHAnsi" w:hAnsiTheme="minorHAnsi"/>
        </w:rPr>
        <w:t xml:space="preserve"> reason</w:t>
      </w:r>
      <w:r w:rsidR="00B87AB5">
        <w:rPr>
          <w:rFonts w:asciiTheme="minorHAnsi" w:hAnsiTheme="minorHAnsi"/>
        </w:rPr>
        <w:t>s</w:t>
      </w:r>
      <w:r w:rsidR="009D7F7E">
        <w:rPr>
          <w:rFonts w:asciiTheme="minorHAnsi" w:hAnsiTheme="minorHAnsi"/>
        </w:rPr>
        <w:t xml:space="preserve"> are not well received.</w:t>
      </w:r>
    </w:p>
    <w:p w14:paraId="27153394" w14:textId="28D94280" w:rsidR="00091CF6" w:rsidRDefault="00091CF6" w:rsidP="001B3352">
      <w:pPr>
        <w:pStyle w:val="Heading2"/>
      </w:pPr>
      <w:bookmarkStart w:id="118" w:name="_Toc490218363"/>
      <w:bookmarkStart w:id="119" w:name="_Toc490237237"/>
      <w:bookmarkStart w:id="120" w:name="_Toc490745046"/>
      <w:bookmarkStart w:id="121" w:name="_Toc491081809"/>
      <w:bookmarkStart w:id="122" w:name="_Toc491108203"/>
      <w:bookmarkStart w:id="123" w:name="_Toc491168321"/>
      <w:bookmarkStart w:id="124" w:name="_Toc491704032"/>
      <w:bookmarkStart w:id="125" w:name="_Toc491705748"/>
      <w:bookmarkStart w:id="126" w:name="_Toc492465366"/>
      <w:bookmarkStart w:id="127" w:name="_Toc492571387"/>
      <w:bookmarkStart w:id="128" w:name="_Toc492902188"/>
      <w:bookmarkStart w:id="129" w:name="_Toc496095483"/>
      <w:bookmarkStart w:id="130" w:name="_Toc496097057"/>
      <w:r>
        <w:t>Regulation and red tape</w:t>
      </w:r>
      <w:bookmarkEnd w:id="118"/>
      <w:bookmarkEnd w:id="119"/>
      <w:bookmarkEnd w:id="120"/>
      <w:bookmarkEnd w:id="121"/>
      <w:bookmarkEnd w:id="122"/>
      <w:bookmarkEnd w:id="123"/>
      <w:bookmarkEnd w:id="124"/>
      <w:bookmarkEnd w:id="125"/>
      <w:bookmarkEnd w:id="126"/>
      <w:bookmarkEnd w:id="127"/>
      <w:bookmarkEnd w:id="128"/>
      <w:bookmarkEnd w:id="129"/>
      <w:bookmarkEnd w:id="130"/>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6C78F1" w:rsidRPr="008F2DDF" w14:paraId="36FA4018" w14:textId="77777777" w:rsidTr="006C78F1">
        <w:trPr>
          <w:trHeight w:val="395"/>
        </w:trPr>
        <w:tc>
          <w:tcPr>
            <w:tcW w:w="567" w:type="dxa"/>
            <w:shd w:val="clear" w:color="auto" w:fill="78BAE2"/>
          </w:tcPr>
          <w:p w14:paraId="00F1E86E" w14:textId="77777777" w:rsidR="006C78F1" w:rsidRPr="00B4036F" w:rsidRDefault="006C78F1" w:rsidP="001B3352">
            <w:pPr>
              <w:pStyle w:val="BoxHeading-CaseStudy"/>
            </w:pPr>
          </w:p>
        </w:tc>
        <w:tc>
          <w:tcPr>
            <w:tcW w:w="8505" w:type="dxa"/>
            <w:shd w:val="clear" w:color="auto" w:fill="EAEAEA"/>
            <w:tcMar>
              <w:right w:w="227" w:type="dxa"/>
            </w:tcMar>
          </w:tcPr>
          <w:p w14:paraId="5B6E7137" w14:textId="77777777" w:rsidR="006C78F1" w:rsidRPr="008F2DDF" w:rsidRDefault="006C78F1" w:rsidP="001B3352">
            <w:pPr>
              <w:pStyle w:val="BoxHeading-CaseStudy"/>
            </w:pPr>
            <w:r>
              <w:t>Key Points</w:t>
            </w:r>
          </w:p>
        </w:tc>
      </w:tr>
      <w:tr w:rsidR="006C78F1" w:rsidRPr="00441AF3" w14:paraId="3FEB057B" w14:textId="77777777" w:rsidTr="006C78F1">
        <w:trPr>
          <w:trHeight w:val="430"/>
        </w:trPr>
        <w:tc>
          <w:tcPr>
            <w:tcW w:w="567" w:type="dxa"/>
            <w:shd w:val="clear" w:color="auto" w:fill="D0F4FF" w:themeFill="text1" w:themeFillTint="1A"/>
          </w:tcPr>
          <w:p w14:paraId="3979BA5A" w14:textId="7FCCF9F6" w:rsidR="006C78F1" w:rsidRPr="00441AF3" w:rsidRDefault="006C78F1" w:rsidP="00441AF3">
            <w:pPr>
              <w:pStyle w:val="BoxText"/>
            </w:pPr>
          </w:p>
        </w:tc>
        <w:tc>
          <w:tcPr>
            <w:tcW w:w="8505" w:type="dxa"/>
            <w:shd w:val="clear" w:color="auto" w:fill="EAEAEA"/>
            <w:tcMar>
              <w:right w:w="227" w:type="dxa"/>
            </w:tcMar>
          </w:tcPr>
          <w:p w14:paraId="0DEEDC2D" w14:textId="30FDA63E" w:rsidR="006C78F1" w:rsidRPr="00441AF3" w:rsidRDefault="00D1047A" w:rsidP="00441AF3">
            <w:pPr>
              <w:pStyle w:val="BoxText"/>
            </w:pPr>
            <w:r w:rsidRPr="00441AF3">
              <w:t>There is widespread conc</w:t>
            </w:r>
            <w:r w:rsidR="00B87AB5">
              <w:t xml:space="preserve">ern about the high level of red </w:t>
            </w:r>
            <w:r w:rsidRPr="00441AF3">
              <w:t>tape required to do business in Australia</w:t>
            </w:r>
            <w:r w:rsidR="00952EE7" w:rsidRPr="00441AF3">
              <w:t xml:space="preserve">, and </w:t>
            </w:r>
            <w:r w:rsidR="00970A76" w:rsidRPr="00441AF3">
              <w:t xml:space="preserve">the </w:t>
            </w:r>
            <w:r w:rsidR="006C78F1" w:rsidRPr="00441AF3">
              <w:t>high regulatory burden, in terms of the sheer volume of r</w:t>
            </w:r>
            <w:r w:rsidR="00523D27">
              <w:t>egulation and compliance costs.</w:t>
            </w:r>
          </w:p>
          <w:p w14:paraId="75845965" w14:textId="77777777" w:rsidR="00952EE7" w:rsidRPr="00441AF3" w:rsidRDefault="00952EE7" w:rsidP="00441AF3">
            <w:pPr>
              <w:pStyle w:val="BoxText"/>
            </w:pPr>
            <w:r w:rsidRPr="00441AF3">
              <w:t>The often piecemeal approach to regulation, and the cumulative burden it is having on businesses, was identified as a dis-incentive to investing in Australia.</w:t>
            </w:r>
          </w:p>
          <w:p w14:paraId="737B3183" w14:textId="63D80D12" w:rsidR="00952EE7" w:rsidRPr="00441AF3" w:rsidRDefault="00952EE7" w:rsidP="00441AF3">
            <w:pPr>
              <w:pStyle w:val="BoxText"/>
            </w:pPr>
            <w:r w:rsidRPr="00441AF3">
              <w:t>Given the pervasiveness of our regulatory environment, governments should be ever vigilant to ensure an appropriate balance between int</w:t>
            </w:r>
            <w:r w:rsidR="00523D27">
              <w:t>ervention and cost is achieved.</w:t>
            </w:r>
          </w:p>
          <w:p w14:paraId="51096B56" w14:textId="5CC9521A" w:rsidR="00D1047A" w:rsidRPr="00441AF3" w:rsidRDefault="00D1047A" w:rsidP="00441AF3">
            <w:pPr>
              <w:pStyle w:val="BoxText"/>
            </w:pPr>
            <w:r w:rsidRPr="00441AF3">
              <w:t>A clear framework for making and managing regulation, rather than a single focus on red tape reduction, should be advocated a</w:t>
            </w:r>
            <w:r w:rsidR="00523D27">
              <w:t>cross all levels of government.</w:t>
            </w:r>
          </w:p>
          <w:p w14:paraId="28ACB74D" w14:textId="1036D6ED" w:rsidR="008F75F5" w:rsidRPr="00441AF3" w:rsidRDefault="008F75F5" w:rsidP="00441AF3">
            <w:pPr>
              <w:pStyle w:val="BoxText"/>
            </w:pPr>
            <w:r w:rsidRPr="00441AF3">
              <w:t>A greater focus should be placed on evaluating the burden of regulatory changes after they are made, a</w:t>
            </w:r>
            <w:r w:rsidR="009D7F7E" w:rsidRPr="00441AF3">
              <w:t>s well as before.</w:t>
            </w:r>
          </w:p>
          <w:p w14:paraId="1F8156C8" w14:textId="57A87266" w:rsidR="00AF2EF4" w:rsidRPr="00441AF3" w:rsidRDefault="00AF2EF4" w:rsidP="00441AF3">
            <w:pPr>
              <w:pStyle w:val="BoxText"/>
            </w:pPr>
            <w:r w:rsidRPr="00441AF3">
              <w:t>Selecting a small number of meaningful reform areas of regulation and significantly reducing the compliance burden in these could have meaningful impacts for industry.</w:t>
            </w:r>
          </w:p>
        </w:tc>
      </w:tr>
    </w:tbl>
    <w:p w14:paraId="73434326" w14:textId="02E7DEF1" w:rsidR="006C78F1" w:rsidRPr="006C78F1" w:rsidRDefault="006C78F1" w:rsidP="000262D8">
      <w:pPr>
        <w:pStyle w:val="SingleParagraph"/>
      </w:pPr>
    </w:p>
    <w:p w14:paraId="1CEF543F" w14:textId="77777777" w:rsidR="00E7059A" w:rsidRDefault="00E7059A" w:rsidP="001163EA">
      <w:pPr>
        <w:rPr>
          <w:rFonts w:asciiTheme="minorHAnsi" w:hAnsiTheme="minorHAnsi"/>
        </w:rPr>
      </w:pPr>
    </w:p>
    <w:p w14:paraId="50148D56" w14:textId="77777777" w:rsidR="00E7059A" w:rsidRDefault="00E7059A">
      <w:pPr>
        <w:spacing w:after="200" w:line="276" w:lineRule="auto"/>
        <w:jc w:val="left"/>
        <w:rPr>
          <w:rFonts w:asciiTheme="minorHAnsi" w:hAnsiTheme="minorHAnsi"/>
        </w:rPr>
      </w:pPr>
      <w:r>
        <w:rPr>
          <w:rFonts w:asciiTheme="minorHAnsi" w:hAnsiTheme="minorHAnsi"/>
        </w:rPr>
        <w:br w:type="page"/>
      </w:r>
    </w:p>
    <w:p w14:paraId="5BE8A135" w14:textId="247FA61E" w:rsidR="001163EA" w:rsidRPr="00866FD1" w:rsidRDefault="0046066E" w:rsidP="001163EA">
      <w:pPr>
        <w:rPr>
          <w:rFonts w:asciiTheme="minorHAnsi" w:hAnsiTheme="minorHAnsi"/>
        </w:rPr>
      </w:pPr>
      <w:r>
        <w:rPr>
          <w:rFonts w:asciiTheme="minorHAnsi" w:hAnsiTheme="minorHAnsi"/>
          <w:noProof/>
          <w:lang w:eastAsia="en-AU"/>
        </w:rPr>
        <w:drawing>
          <wp:anchor distT="0" distB="0" distL="114300" distR="114300" simplePos="0" relativeHeight="251663872" behindDoc="0" locked="0" layoutInCell="1" allowOverlap="1" wp14:anchorId="17CE1D89" wp14:editId="14F8E462">
            <wp:simplePos x="0" y="0"/>
            <wp:positionH relativeFrom="column">
              <wp:posOffset>3753485</wp:posOffset>
            </wp:positionH>
            <wp:positionV relativeFrom="paragraph">
              <wp:posOffset>37465</wp:posOffset>
            </wp:positionV>
            <wp:extent cx="1979930" cy="827405"/>
            <wp:effectExtent l="0" t="0" r="1270" b="0"/>
            <wp:wrapSquare wrapText="bothSides"/>
            <wp:docPr id="295" name="Pictur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Z:\2017\Reports and Reviews\Intergovernmental Review of Business Investment\pullQuote-18.pn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4430" r="4783"/>
                    <a:stretch/>
                  </pic:blipFill>
                  <pic:spPr bwMode="auto">
                    <a:xfrm>
                      <a:off x="0" y="0"/>
                      <a:ext cx="197993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3EA" w:rsidRPr="00866FD1">
        <w:rPr>
          <w:rFonts w:asciiTheme="minorHAnsi" w:hAnsiTheme="minorHAnsi"/>
        </w:rPr>
        <w:t xml:space="preserve">In all of the roundtable discussions, concerns were raised about the </w:t>
      </w:r>
      <w:r w:rsidR="001163EA">
        <w:rPr>
          <w:rFonts w:asciiTheme="minorHAnsi" w:hAnsiTheme="minorHAnsi"/>
        </w:rPr>
        <w:t xml:space="preserve">red-tape </w:t>
      </w:r>
      <w:r w:rsidR="001163EA" w:rsidRPr="00866FD1">
        <w:rPr>
          <w:rFonts w:asciiTheme="minorHAnsi" w:hAnsiTheme="minorHAnsi"/>
        </w:rPr>
        <w:t xml:space="preserve">cost of doing business in Australia and impact of the regulatory environment on the investment environment. </w:t>
      </w:r>
      <w:r w:rsidR="001163EA">
        <w:rPr>
          <w:rFonts w:asciiTheme="minorHAnsi" w:hAnsiTheme="minorHAnsi"/>
        </w:rPr>
        <w:t xml:space="preserve">It was noted that this may be contributing to declining competitiveness, with Australia’s ranking in the IMD competitiveness index falling outside the top 20 countries in 2017. </w:t>
      </w:r>
      <w:r w:rsidR="001163EA" w:rsidRPr="00866FD1">
        <w:rPr>
          <w:rFonts w:asciiTheme="minorHAnsi" w:hAnsiTheme="minorHAnsi"/>
        </w:rPr>
        <w:t>Some stakeholders perceived that Australia was previously given latitude as a high</w:t>
      </w:r>
      <w:r w:rsidR="001163EA">
        <w:rPr>
          <w:rFonts w:asciiTheme="minorHAnsi" w:hAnsiTheme="minorHAnsi"/>
        </w:rPr>
        <w:t>-</w:t>
      </w:r>
      <w:r w:rsidR="001163EA" w:rsidRPr="00866FD1">
        <w:rPr>
          <w:rFonts w:asciiTheme="minorHAnsi" w:hAnsiTheme="minorHAnsi"/>
        </w:rPr>
        <w:t xml:space="preserve">cost country </w:t>
      </w:r>
      <w:r w:rsidR="001163EA">
        <w:rPr>
          <w:rFonts w:asciiTheme="minorHAnsi" w:hAnsiTheme="minorHAnsi"/>
        </w:rPr>
        <w:t>as it was a well</w:t>
      </w:r>
      <w:r w:rsidR="001163EA">
        <w:rPr>
          <w:rFonts w:asciiTheme="minorHAnsi" w:hAnsiTheme="minorHAnsi"/>
        </w:rPr>
        <w:noBreakHyphen/>
      </w:r>
      <w:r w:rsidR="001163EA" w:rsidRPr="00866FD1">
        <w:rPr>
          <w:rFonts w:asciiTheme="minorHAnsi" w:hAnsiTheme="minorHAnsi"/>
        </w:rPr>
        <w:t xml:space="preserve">regulated economy but warned that </w:t>
      </w:r>
      <w:r w:rsidR="001163EA" w:rsidRPr="000A7D0D">
        <w:rPr>
          <w:rFonts w:asciiTheme="minorHAnsi" w:hAnsiTheme="minorHAnsi"/>
        </w:rPr>
        <w:t>“additional risk factors are starting to stack up on the wrong side of the equation”</w:t>
      </w:r>
      <w:r w:rsidR="001163EA" w:rsidRPr="00866FD1">
        <w:rPr>
          <w:rFonts w:asciiTheme="minorHAnsi" w:hAnsiTheme="minorHAnsi"/>
          <w:i/>
        </w:rPr>
        <w:t>.</w:t>
      </w:r>
    </w:p>
    <w:p w14:paraId="067D4A1F" w14:textId="4D225322" w:rsidR="001163EA" w:rsidRPr="00866FD1" w:rsidRDefault="001163EA" w:rsidP="00FE6924">
      <w:pPr>
        <w:pStyle w:val="Bullet"/>
      </w:pPr>
      <w:r w:rsidRPr="00866FD1">
        <w:t xml:space="preserve">One company commented that </w:t>
      </w:r>
      <w:r w:rsidR="00B87AB5">
        <w:t>“</w:t>
      </w:r>
      <w:r w:rsidRPr="00866FD1">
        <w:t xml:space="preserve">there seems to be </w:t>
      </w:r>
      <w:r>
        <w:t>a</w:t>
      </w:r>
      <w:r w:rsidRPr="00866FD1">
        <w:t xml:space="preserve"> smugness that certain industries won't relocate offshore but that if Australia becomes too expensive</w:t>
      </w:r>
      <w:r>
        <w:t>/complicated</w:t>
      </w:r>
      <w:r w:rsidRPr="00866FD1">
        <w:t xml:space="preserve"> or industrial relations unravels it could push the limit</w:t>
      </w:r>
      <w:r w:rsidR="00B87AB5">
        <w:t>”</w:t>
      </w:r>
      <w:r w:rsidRPr="00866FD1">
        <w:t>.</w:t>
      </w:r>
    </w:p>
    <w:p w14:paraId="0F912EE7" w14:textId="4E50FFA7" w:rsidR="001163EA" w:rsidRPr="00786E6D" w:rsidRDefault="001163EA" w:rsidP="00FE6924">
      <w:pPr>
        <w:pStyle w:val="Bullet"/>
      </w:pPr>
      <w:r w:rsidRPr="00786E6D">
        <w:t>Another company used their advanced manufacturing business as an example to explain that they base their investment strategy on where they can achieve the best returns within their footprint. While they have seen rapid growth of their Australian operations in past years and continue to manufacture in Australia, over 90</w:t>
      </w:r>
      <w:r w:rsidR="00E95FE4">
        <w:t xml:space="preserve"> per cent</w:t>
      </w:r>
      <w:r w:rsidRPr="00786E6D">
        <w:t xml:space="preserve"> of their products are exported. This company is a price taker, its business is truly portable and it is investing in Asia. This contact is co</w:t>
      </w:r>
      <w:r w:rsidR="00B87AB5">
        <w:t>ncerned there is a lack of real-</w:t>
      </w:r>
      <w:r w:rsidRPr="00786E6D">
        <w:t>world experience in government and no long-term thinking. The siloed approach of different government agencies often precludes sensible decision</w:t>
      </w:r>
      <w:r w:rsidRPr="00786E6D">
        <w:noBreakHyphen/>
        <w:t>making from a business perspective.</w:t>
      </w:r>
    </w:p>
    <w:p w14:paraId="7368738D" w14:textId="0F5DD816" w:rsidR="00091CF6" w:rsidRPr="00011506" w:rsidRDefault="00091CF6" w:rsidP="001B3352">
      <w:pPr>
        <w:rPr>
          <w:rFonts w:asciiTheme="minorHAnsi" w:hAnsiTheme="minorHAnsi"/>
        </w:rPr>
      </w:pPr>
      <w:r w:rsidRPr="00011506">
        <w:rPr>
          <w:rFonts w:asciiTheme="minorHAnsi" w:hAnsiTheme="minorHAnsi"/>
        </w:rPr>
        <w:t xml:space="preserve">A high regulatory burden at all levels of </w:t>
      </w:r>
      <w:r w:rsidR="0099102A">
        <w:rPr>
          <w:rFonts w:asciiTheme="minorHAnsi" w:hAnsiTheme="minorHAnsi"/>
        </w:rPr>
        <w:t>g</w:t>
      </w:r>
      <w:r w:rsidRPr="00011506">
        <w:rPr>
          <w:rFonts w:asciiTheme="minorHAnsi" w:hAnsiTheme="minorHAnsi"/>
        </w:rPr>
        <w:t>overnment has been identified as a</w:t>
      </w:r>
      <w:r w:rsidR="000B1D67">
        <w:rPr>
          <w:rFonts w:asciiTheme="minorHAnsi" w:hAnsiTheme="minorHAnsi"/>
        </w:rPr>
        <w:t>n</w:t>
      </w:r>
      <w:r w:rsidRPr="00011506">
        <w:rPr>
          <w:rFonts w:asciiTheme="minorHAnsi" w:hAnsiTheme="minorHAnsi"/>
        </w:rPr>
        <w:t xml:space="preserve"> impediment to business investment. </w:t>
      </w:r>
      <w:r w:rsidR="004635C6">
        <w:rPr>
          <w:rFonts w:asciiTheme="minorHAnsi" w:hAnsiTheme="minorHAnsi"/>
        </w:rPr>
        <w:t>Companies</w:t>
      </w:r>
      <w:r w:rsidRPr="00011506">
        <w:rPr>
          <w:rFonts w:asciiTheme="minorHAnsi" w:hAnsiTheme="minorHAnsi"/>
        </w:rPr>
        <w:t xml:space="preserve"> indicated that ‘over-regulation’ or the cumulative burden of regulation on business is increasing, not decreasing, over time.</w:t>
      </w:r>
      <w:r>
        <w:rPr>
          <w:rFonts w:asciiTheme="minorHAnsi" w:hAnsiTheme="minorHAnsi"/>
        </w:rPr>
        <w:t xml:space="preserve"> </w:t>
      </w:r>
      <w:r w:rsidRPr="00011506">
        <w:rPr>
          <w:rFonts w:asciiTheme="minorHAnsi" w:hAnsiTheme="minorHAnsi"/>
        </w:rPr>
        <w:t xml:space="preserve">Monitoring and compliance costs for regulation significantly add to business costs. Some </w:t>
      </w:r>
      <w:r w:rsidR="004635C6">
        <w:rPr>
          <w:rFonts w:asciiTheme="minorHAnsi" w:hAnsiTheme="minorHAnsi"/>
        </w:rPr>
        <w:t>businesses</w:t>
      </w:r>
      <w:r w:rsidRPr="00011506">
        <w:rPr>
          <w:rFonts w:asciiTheme="minorHAnsi" w:hAnsiTheme="minorHAnsi"/>
        </w:rPr>
        <w:t xml:space="preserve"> indicated that they have had to spend significant amounts of money implementing new systems and procedures due to extensive regulatory change.</w:t>
      </w:r>
    </w:p>
    <w:p w14:paraId="0925F0AC" w14:textId="15FA4901" w:rsidR="00091CF6" w:rsidRPr="00786E6D" w:rsidRDefault="00FD3C72" w:rsidP="00FE6924">
      <w:pPr>
        <w:pStyle w:val="Bullet"/>
      </w:pPr>
      <w:r w:rsidRPr="00786E6D">
        <w:t xml:space="preserve">SMEs </w:t>
      </w:r>
      <w:r w:rsidR="00091CF6" w:rsidRPr="00786E6D">
        <w:t>commented that they experience a disproportionately high regulatory burden as they do not have the same economies of scale that large companies do.</w:t>
      </w:r>
    </w:p>
    <w:p w14:paraId="76AC0A6D" w14:textId="1916668F" w:rsidR="00FD3C72" w:rsidRPr="00786E6D" w:rsidRDefault="00FD3C72" w:rsidP="00FE6924">
      <w:pPr>
        <w:pStyle w:val="Bullet"/>
      </w:pPr>
      <w:r w:rsidRPr="00786E6D">
        <w:t xml:space="preserve">One </w:t>
      </w:r>
      <w:r w:rsidR="00011506" w:rsidRPr="00786E6D">
        <w:t>contact from an</w:t>
      </w:r>
      <w:r w:rsidRPr="00786E6D">
        <w:t xml:space="preserve"> SME estimated that he has to spend roughly 25</w:t>
      </w:r>
      <w:r w:rsidR="005572FF" w:rsidRPr="00786E6D">
        <w:t xml:space="preserve"> per cent </w:t>
      </w:r>
      <w:r w:rsidRPr="00786E6D">
        <w:t>of his time dealing with bureaucracy (at all levels of government). For example, he had to deal with six</w:t>
      </w:r>
      <w:r w:rsidR="00441AF3">
        <w:t> </w:t>
      </w:r>
      <w:r w:rsidRPr="00786E6D">
        <w:t xml:space="preserve">different departments </w:t>
      </w:r>
      <w:r w:rsidR="00011506" w:rsidRPr="00786E6D">
        <w:t>for</w:t>
      </w:r>
      <w:r w:rsidRPr="00786E6D">
        <w:t xml:space="preserve"> approval to get a sign on a highway.</w:t>
      </w:r>
    </w:p>
    <w:p w14:paraId="7265BA1C" w14:textId="76EDE1BD" w:rsidR="003D1168" w:rsidRPr="00786E6D" w:rsidRDefault="003D1168" w:rsidP="00FE6924">
      <w:pPr>
        <w:pStyle w:val="Bullet"/>
      </w:pPr>
      <w:r w:rsidRPr="00786E6D">
        <w:t>Occupational Health and Safety (OHS) laws have specifically been identified as having a growing red tape burden over time, especially for SMEs. One contact commented that large construction companies often agree to onerous OHS requirements to win contracts on the basis they can push this regulatory burden down the li</w:t>
      </w:r>
      <w:r w:rsidR="009D7F7E">
        <w:t>ne to smaller contractors.</w:t>
      </w:r>
    </w:p>
    <w:p w14:paraId="752B8E71" w14:textId="3DCF71B9" w:rsidR="00B06A33" w:rsidRDefault="0046066E" w:rsidP="001B3352">
      <w:r>
        <w:rPr>
          <w:noProof/>
          <w:lang w:eastAsia="en-AU"/>
        </w:rPr>
        <w:drawing>
          <wp:anchor distT="0" distB="0" distL="114300" distR="114300" simplePos="0" relativeHeight="251664896" behindDoc="0" locked="0" layoutInCell="1" allowOverlap="1" wp14:anchorId="229039C8" wp14:editId="21E3E239">
            <wp:simplePos x="0" y="0"/>
            <wp:positionH relativeFrom="column">
              <wp:posOffset>3655060</wp:posOffset>
            </wp:positionH>
            <wp:positionV relativeFrom="paragraph">
              <wp:posOffset>396875</wp:posOffset>
            </wp:positionV>
            <wp:extent cx="2087880" cy="827405"/>
            <wp:effectExtent l="0" t="0" r="7620" b="0"/>
            <wp:wrapSquare wrapText="bothSides"/>
            <wp:docPr id="296" name="Pictur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Z:\2017\Reports and Reviews\Intergovernmental Review of Business Investment\pullQuote-19.pn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777" r="779"/>
                    <a:stretch/>
                  </pic:blipFill>
                  <pic:spPr bwMode="auto">
                    <a:xfrm>
                      <a:off x="0" y="0"/>
                      <a:ext cx="208788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CF6" w:rsidRPr="00940918">
        <w:t>It has been identified that while individual regulations may seem reasonable</w:t>
      </w:r>
      <w:r w:rsidR="00091CF6">
        <w:t xml:space="preserve"> in any sector or jurisdiction</w:t>
      </w:r>
      <w:r w:rsidR="00091CF6" w:rsidRPr="00940918">
        <w:t>, a piecemeal approach is o</w:t>
      </w:r>
      <w:r w:rsidR="002A75D9">
        <w:t>ften adopted and taken together</w:t>
      </w:r>
      <w:r w:rsidR="00091CF6" w:rsidRPr="00940918">
        <w:t xml:space="preserve"> such interventions are having significant </w:t>
      </w:r>
      <w:r w:rsidR="008556F7">
        <w:t xml:space="preserve">cumulative </w:t>
      </w:r>
      <w:r w:rsidR="00091CF6" w:rsidRPr="00940918">
        <w:t xml:space="preserve">ramifications and </w:t>
      </w:r>
      <w:r w:rsidR="008556F7">
        <w:t>are</w:t>
      </w:r>
      <w:r w:rsidR="00091CF6" w:rsidRPr="00940918">
        <w:t xml:space="preserve"> lowering the incentive to invest in Australia.</w:t>
      </w:r>
      <w:r w:rsidR="00B06A33">
        <w:t xml:space="preserve"> </w:t>
      </w:r>
      <w:r w:rsidR="00091CF6" w:rsidRPr="00940918">
        <w:t>Exacerbating these issues, a number of businesses indic</w:t>
      </w:r>
      <w:r w:rsidR="00091CF6">
        <w:t xml:space="preserve">ated that the </w:t>
      </w:r>
      <w:r w:rsidR="00091CF6" w:rsidRPr="00940918">
        <w:t xml:space="preserve">various layers of regulation across </w:t>
      </w:r>
      <w:r w:rsidR="0099102A">
        <w:t>g</w:t>
      </w:r>
      <w:r w:rsidR="00091CF6" w:rsidRPr="00940918">
        <w:t xml:space="preserve">overnments </w:t>
      </w:r>
      <w:r w:rsidR="005572FF">
        <w:t>could</w:t>
      </w:r>
      <w:r w:rsidR="005572FF" w:rsidRPr="00940918">
        <w:t xml:space="preserve"> </w:t>
      </w:r>
      <w:r w:rsidR="00091CF6" w:rsidRPr="00940918">
        <w:t>be difficult to navigate and create unnecessary complexities.</w:t>
      </w:r>
    </w:p>
    <w:p w14:paraId="6DE7E603" w14:textId="7963FB20" w:rsidR="00B06A33" w:rsidRPr="00786E6D" w:rsidRDefault="003D1168" w:rsidP="00FE6924">
      <w:pPr>
        <w:pStyle w:val="Bullet"/>
      </w:pPr>
      <w:r w:rsidRPr="00786E6D">
        <w:t>OHS was raised as an example where there is complexity for c</w:t>
      </w:r>
      <w:r w:rsidR="00091CF6" w:rsidRPr="00786E6D">
        <w:t xml:space="preserve">ompanies operating in multiple jurisdictions </w:t>
      </w:r>
      <w:r w:rsidRPr="00786E6D">
        <w:t xml:space="preserve">that </w:t>
      </w:r>
      <w:r w:rsidR="00091CF6" w:rsidRPr="00786E6D">
        <w:t>need to navigate diffe</w:t>
      </w:r>
      <w:r w:rsidR="00523D27">
        <w:t>rent rules in different States.</w:t>
      </w:r>
    </w:p>
    <w:p w14:paraId="39350C81" w14:textId="3ADC2F33" w:rsidR="00CB60E2" w:rsidRPr="00786E6D" w:rsidRDefault="00CB60E2" w:rsidP="00FE6924">
      <w:pPr>
        <w:pStyle w:val="Bullet"/>
      </w:pPr>
      <w:r w:rsidRPr="00786E6D">
        <w:t>Some SMEs noted that while there have been numerous programs to reduce red tape, the outcomes have been perceived to be mere “window dressing”, with little inroad</w:t>
      </w:r>
      <w:r w:rsidR="008C49DA">
        <w:t>s</w:t>
      </w:r>
      <w:r w:rsidRPr="00786E6D">
        <w:t xml:space="preserve"> being made into “significant” or “tough” regulato</w:t>
      </w:r>
      <w:r w:rsidR="00523D27">
        <w:t>ry burdens.</w:t>
      </w:r>
    </w:p>
    <w:p w14:paraId="091C041F" w14:textId="321B6504" w:rsidR="00CB60E2" w:rsidRPr="00786E6D" w:rsidRDefault="00CB60E2" w:rsidP="00FE6924">
      <w:pPr>
        <w:pStyle w:val="Bullet"/>
      </w:pPr>
      <w:r w:rsidRPr="00786E6D">
        <w:t>One contact commented that there was an effort to streamline environmental approvals with the one-stop-shop idea but it actually seems to have gotten</w:t>
      </w:r>
      <w:r w:rsidRPr="00786E6D" w:rsidDel="00F60FAA">
        <w:t xml:space="preserve"> worse</w:t>
      </w:r>
      <w:r w:rsidRPr="00786E6D">
        <w:t>.</w:t>
      </w:r>
    </w:p>
    <w:p w14:paraId="16D7E4AB" w14:textId="74422229" w:rsidR="00B06A33" w:rsidRPr="00011506" w:rsidRDefault="00091CF6" w:rsidP="001B3352">
      <w:pPr>
        <w:rPr>
          <w:rFonts w:asciiTheme="minorHAnsi" w:hAnsiTheme="minorHAnsi"/>
        </w:rPr>
      </w:pPr>
      <w:r w:rsidRPr="00011506">
        <w:rPr>
          <w:rFonts w:asciiTheme="minorHAnsi" w:hAnsiTheme="minorHAnsi"/>
        </w:rPr>
        <w:t>Businesses consider that regulation and intervention are often the first resort f</w:t>
      </w:r>
      <w:r w:rsidR="00B06A33" w:rsidRPr="00011506">
        <w:rPr>
          <w:rFonts w:asciiTheme="minorHAnsi" w:hAnsiTheme="minorHAnsi"/>
        </w:rPr>
        <w:t>or policy</w:t>
      </w:r>
      <w:r w:rsidR="00B06A33" w:rsidRPr="00011506">
        <w:rPr>
          <w:rFonts w:asciiTheme="minorHAnsi" w:hAnsiTheme="minorHAnsi"/>
        </w:rPr>
        <w:noBreakHyphen/>
        <w:t xml:space="preserve">makers to deal with </w:t>
      </w:r>
      <w:r w:rsidRPr="00011506">
        <w:rPr>
          <w:rFonts w:asciiTheme="minorHAnsi" w:hAnsiTheme="minorHAnsi"/>
        </w:rPr>
        <w:t xml:space="preserve">perceived market imperfections </w:t>
      </w:r>
      <w:r w:rsidR="00B4243D" w:rsidRPr="00011506">
        <w:rPr>
          <w:rFonts w:asciiTheme="minorHAnsi" w:hAnsiTheme="minorHAnsi"/>
        </w:rPr>
        <w:t xml:space="preserve">but </w:t>
      </w:r>
      <w:r w:rsidR="005572FF" w:rsidRPr="00011506">
        <w:rPr>
          <w:rFonts w:asciiTheme="minorHAnsi" w:hAnsiTheme="minorHAnsi"/>
        </w:rPr>
        <w:t xml:space="preserve">these strategies </w:t>
      </w:r>
      <w:r w:rsidRPr="00011506">
        <w:rPr>
          <w:rFonts w:asciiTheme="minorHAnsi" w:hAnsiTheme="minorHAnsi"/>
        </w:rPr>
        <w:t>risk undermining the incentives that drive businesses to invest a</w:t>
      </w:r>
      <w:r w:rsidR="00523D27">
        <w:rPr>
          <w:rFonts w:asciiTheme="minorHAnsi" w:hAnsiTheme="minorHAnsi"/>
        </w:rPr>
        <w:t>nd innovate in the first place.</w:t>
      </w:r>
    </w:p>
    <w:p w14:paraId="4CCD436C" w14:textId="3F35AA02" w:rsidR="003D1168" w:rsidRPr="00786E6D" w:rsidRDefault="006D4ABF" w:rsidP="00FE6924">
      <w:pPr>
        <w:pStyle w:val="Bullet"/>
      </w:pPr>
      <w:r w:rsidRPr="00786E6D">
        <w:t xml:space="preserve">One </w:t>
      </w:r>
      <w:r w:rsidR="004635C6">
        <w:t>business</w:t>
      </w:r>
      <w:r w:rsidRPr="00786E6D">
        <w:t xml:space="preserve"> raised concern that </w:t>
      </w:r>
      <w:r w:rsidR="000B1D67" w:rsidRPr="00786E6D">
        <w:t>some regulators are</w:t>
      </w:r>
      <w:r w:rsidRPr="00786E6D">
        <w:t xml:space="preserve"> becoming overtly ideological about regulation, commenting “the arbitrate/negotiate framework is philosophical and does not work in reality”.</w:t>
      </w:r>
    </w:p>
    <w:p w14:paraId="79A05C66" w14:textId="42AC06B1" w:rsidR="003D1168" w:rsidRPr="00011506" w:rsidRDefault="003D1168" w:rsidP="001B3352">
      <w:pPr>
        <w:rPr>
          <w:rFonts w:asciiTheme="minorHAnsi" w:hAnsiTheme="minorHAnsi"/>
        </w:rPr>
      </w:pPr>
      <w:r w:rsidRPr="00011506">
        <w:rPr>
          <w:rFonts w:asciiTheme="minorHAnsi" w:hAnsiTheme="minorHAnsi"/>
        </w:rPr>
        <w:t>The slowness of some regulators</w:t>
      </w:r>
      <w:r w:rsidR="000B1D67">
        <w:rPr>
          <w:rFonts w:asciiTheme="minorHAnsi" w:hAnsiTheme="minorHAnsi"/>
        </w:rPr>
        <w:t xml:space="preserve"> to either make rules, or respond to concerns of stakeholders, </w:t>
      </w:r>
      <w:r w:rsidRPr="00011506">
        <w:rPr>
          <w:rFonts w:asciiTheme="minorHAnsi" w:hAnsiTheme="minorHAnsi"/>
        </w:rPr>
        <w:t>was raised. Particular examples provided included high profile mergers which had taken a significant amount of time, delays in environmental approvals</w:t>
      </w:r>
      <w:r w:rsidR="00FF34CB">
        <w:rPr>
          <w:rFonts w:asciiTheme="minorHAnsi" w:hAnsiTheme="minorHAnsi"/>
        </w:rPr>
        <w:t>,</w:t>
      </w:r>
      <w:r w:rsidRPr="00011506">
        <w:rPr>
          <w:rFonts w:asciiTheme="minorHAnsi" w:hAnsiTheme="minorHAnsi"/>
        </w:rPr>
        <w:t xml:space="preserve"> and delays in local government approvals</w:t>
      </w:r>
      <w:r w:rsidR="00523D27">
        <w:rPr>
          <w:rFonts w:asciiTheme="minorHAnsi" w:hAnsiTheme="minorHAnsi"/>
        </w:rPr>
        <w:t xml:space="preserve"> including planning and zoning.</w:t>
      </w:r>
    </w:p>
    <w:p w14:paraId="6C497BCC" w14:textId="24EAE392" w:rsidR="00A549C1" w:rsidRDefault="00A549C1" w:rsidP="001B3352">
      <w:r>
        <w:t>Contacts discussed examples where efforts to reduce red tape have had significant positive benefits. For example, one said that h</w:t>
      </w:r>
      <w:r w:rsidRPr="00707FDB">
        <w:t xml:space="preserve">undreds of millions has been spent on expanding retail shopping centres </w:t>
      </w:r>
      <w:r>
        <w:t xml:space="preserve">in Western Australia </w:t>
      </w:r>
      <w:r w:rsidRPr="00707FDB">
        <w:t xml:space="preserve">since the </w:t>
      </w:r>
      <w:r>
        <w:t>S</w:t>
      </w:r>
      <w:r w:rsidRPr="00707FDB">
        <w:t xml:space="preserve">tate </w:t>
      </w:r>
      <w:r>
        <w:t>G</w:t>
      </w:r>
      <w:r w:rsidRPr="00707FDB">
        <w:t xml:space="preserve">overnment lifted previous </w:t>
      </w:r>
      <w:r w:rsidR="000B1D67">
        <w:t xml:space="preserve">regulatory </w:t>
      </w:r>
      <w:r w:rsidR="00523D27">
        <w:t>restrictions.</w:t>
      </w:r>
    </w:p>
    <w:p w14:paraId="0D18DACE" w14:textId="45367A3E" w:rsidR="005D5EC0" w:rsidRDefault="005D5EC0" w:rsidP="001B3352">
      <w:pPr>
        <w:rPr>
          <w:rFonts w:asciiTheme="minorHAnsi" w:hAnsiTheme="minorHAnsi"/>
        </w:rPr>
      </w:pPr>
      <w:r w:rsidRPr="00A549C1">
        <w:rPr>
          <w:rFonts w:asciiTheme="minorHAnsi" w:hAnsiTheme="minorHAnsi"/>
        </w:rPr>
        <w:t>The case study of a successful pilot of red</w:t>
      </w:r>
      <w:r w:rsidR="008C49DA">
        <w:rPr>
          <w:rFonts w:asciiTheme="minorHAnsi" w:hAnsiTheme="minorHAnsi"/>
        </w:rPr>
        <w:t xml:space="preserve"> </w:t>
      </w:r>
      <w:r w:rsidRPr="00A549C1">
        <w:rPr>
          <w:rFonts w:asciiTheme="minorHAnsi" w:hAnsiTheme="minorHAnsi"/>
        </w:rPr>
        <w:t>tape reduction conducted in Parramatta</w:t>
      </w:r>
      <w:r w:rsidR="000B1D67">
        <w:rPr>
          <w:rFonts w:asciiTheme="minorHAnsi" w:hAnsiTheme="minorHAnsi"/>
        </w:rPr>
        <w:t xml:space="preserve"> (Box </w:t>
      </w:r>
      <w:r w:rsidR="00EA0CF8">
        <w:rPr>
          <w:rFonts w:asciiTheme="minorHAnsi" w:hAnsiTheme="minorHAnsi"/>
        </w:rPr>
        <w:t>5</w:t>
      </w:r>
      <w:r w:rsidR="000B1D67">
        <w:rPr>
          <w:rFonts w:asciiTheme="minorHAnsi" w:hAnsiTheme="minorHAnsi"/>
        </w:rPr>
        <w:t>)</w:t>
      </w:r>
      <w:r w:rsidR="00E71034">
        <w:rPr>
          <w:rFonts w:asciiTheme="minorHAnsi" w:hAnsiTheme="minorHAnsi"/>
        </w:rPr>
        <w:t xml:space="preserve"> </w:t>
      </w:r>
      <w:r w:rsidRPr="00A549C1">
        <w:rPr>
          <w:rFonts w:asciiTheme="minorHAnsi" w:hAnsiTheme="minorHAnsi"/>
        </w:rPr>
        <w:t>demonstrates the gains that can be made through concerted efforts between</w:t>
      </w:r>
      <w:r w:rsidR="002A75D9">
        <w:rPr>
          <w:rFonts w:asciiTheme="minorHAnsi" w:hAnsiTheme="minorHAnsi"/>
        </w:rPr>
        <w:t xml:space="preserve"> </w:t>
      </w:r>
      <w:r w:rsidR="002A75D9" w:rsidRPr="00A549C1">
        <w:rPr>
          <w:rFonts w:asciiTheme="minorHAnsi" w:hAnsiTheme="minorHAnsi"/>
        </w:rPr>
        <w:t>industry</w:t>
      </w:r>
      <w:r w:rsidR="002A75D9">
        <w:rPr>
          <w:rFonts w:asciiTheme="minorHAnsi" w:hAnsiTheme="minorHAnsi"/>
        </w:rPr>
        <w:t xml:space="preserve"> </w:t>
      </w:r>
      <w:r w:rsidR="002A75D9" w:rsidRPr="00A549C1">
        <w:rPr>
          <w:rFonts w:asciiTheme="minorHAnsi" w:hAnsiTheme="minorHAnsi"/>
        </w:rPr>
        <w:t>and</w:t>
      </w:r>
      <w:r w:rsidR="002A75D9">
        <w:rPr>
          <w:rFonts w:asciiTheme="minorHAnsi" w:hAnsiTheme="minorHAnsi"/>
        </w:rPr>
        <w:t xml:space="preserve"> the Commonwealth,</w:t>
      </w:r>
      <w:r w:rsidRPr="00A549C1">
        <w:rPr>
          <w:rFonts w:asciiTheme="minorHAnsi" w:hAnsiTheme="minorHAnsi"/>
        </w:rPr>
        <w:t xml:space="preserve"> State and local </w:t>
      </w:r>
      <w:r w:rsidR="002A75D9">
        <w:rPr>
          <w:rFonts w:asciiTheme="minorHAnsi" w:hAnsiTheme="minorHAnsi"/>
        </w:rPr>
        <w:t>levels of government</w:t>
      </w:r>
      <w:r w:rsidR="00523D27">
        <w:rPr>
          <w:rFonts w:asciiTheme="minorHAnsi" w:hAnsiTheme="minorHAnsi"/>
        </w:rPr>
        <w:t>.</w:t>
      </w:r>
    </w:p>
    <w:tbl>
      <w:tblPr>
        <w:tblStyle w:val="KeyPoints"/>
        <w:tblW w:w="0" w:type="auto"/>
        <w:tblInd w:w="198" w:type="dxa"/>
        <w:tblBorders>
          <w:top w:val="none" w:sz="0" w:space="0" w:color="auto"/>
          <w:left w:val="none" w:sz="0" w:space="0" w:color="auto"/>
          <w:bottom w:val="none" w:sz="0" w:space="0" w:color="auto"/>
          <w:right w:val="none" w:sz="0" w:space="0" w:color="auto"/>
        </w:tblBorders>
        <w:tblLayout w:type="fixed"/>
        <w:tblCellMar>
          <w:left w:w="198" w:type="dxa"/>
          <w:right w:w="227" w:type="dxa"/>
        </w:tblCellMar>
        <w:tblLook w:val="04A0" w:firstRow="1" w:lastRow="0" w:firstColumn="1" w:lastColumn="0" w:noHBand="0" w:noVBand="1"/>
      </w:tblPr>
      <w:tblGrid>
        <w:gridCol w:w="567"/>
        <w:gridCol w:w="8562"/>
      </w:tblGrid>
      <w:tr w:rsidR="005D5EC0" w:rsidRPr="008F2DDF" w14:paraId="10583149" w14:textId="77777777" w:rsidTr="005D5EC0">
        <w:trPr>
          <w:trHeight w:val="491"/>
        </w:trPr>
        <w:tc>
          <w:tcPr>
            <w:tcW w:w="567" w:type="dxa"/>
            <w:shd w:val="clear" w:color="auto" w:fill="4FA4DA"/>
          </w:tcPr>
          <w:p w14:paraId="15E64224" w14:textId="77777777" w:rsidR="005D5EC0" w:rsidRPr="002E7EA9" w:rsidRDefault="005D5EC0" w:rsidP="001B3352">
            <w:pPr>
              <w:pStyle w:val="BoxHeading-KeyIssues"/>
              <w:rPr>
                <w:highlight w:val="magenta"/>
              </w:rPr>
            </w:pPr>
          </w:p>
        </w:tc>
        <w:tc>
          <w:tcPr>
            <w:tcW w:w="8562" w:type="dxa"/>
            <w:shd w:val="clear" w:color="auto" w:fill="EAEAEA"/>
            <w:tcMar>
              <w:right w:w="227" w:type="dxa"/>
            </w:tcMar>
          </w:tcPr>
          <w:p w14:paraId="3D841CF8" w14:textId="746A1117" w:rsidR="005D5EC0" w:rsidRPr="002E7EA9" w:rsidRDefault="005D5EC0" w:rsidP="00EA0CF8">
            <w:pPr>
              <w:pStyle w:val="BoxHeading-KeyIssues"/>
              <w:rPr>
                <w:highlight w:val="magenta"/>
              </w:rPr>
            </w:pPr>
            <w:r w:rsidRPr="00743B21">
              <w:t xml:space="preserve">box </w:t>
            </w:r>
            <w:r w:rsidR="00EA0CF8">
              <w:t>5</w:t>
            </w:r>
            <w:r w:rsidRPr="00743B21">
              <w:t xml:space="preserve">: </w:t>
            </w:r>
            <w:r>
              <w:t>case study: red tape reduction pilot</w:t>
            </w:r>
          </w:p>
        </w:tc>
      </w:tr>
      <w:tr w:rsidR="005D5EC0" w14:paraId="72DE0A5E" w14:textId="77777777" w:rsidTr="00AD7F66">
        <w:trPr>
          <w:trHeight w:val="1848"/>
        </w:trPr>
        <w:tc>
          <w:tcPr>
            <w:tcW w:w="567" w:type="dxa"/>
            <w:shd w:val="clear" w:color="auto" w:fill="002833" w:themeFill="text1"/>
          </w:tcPr>
          <w:p w14:paraId="2267732C" w14:textId="77777777" w:rsidR="005D5EC0" w:rsidRDefault="005D5EC0" w:rsidP="00377076">
            <w:pPr>
              <w:pStyle w:val="BoxText"/>
            </w:pPr>
          </w:p>
        </w:tc>
        <w:tc>
          <w:tcPr>
            <w:tcW w:w="8562" w:type="dxa"/>
            <w:shd w:val="clear" w:color="auto" w:fill="EAEAEA"/>
            <w:tcMar>
              <w:right w:w="227" w:type="dxa"/>
            </w:tcMar>
          </w:tcPr>
          <w:p w14:paraId="4BCEA06A" w14:textId="22123348" w:rsidR="00CA0554" w:rsidRDefault="00CA0554" w:rsidP="00377076">
            <w:pPr>
              <w:pStyle w:val="BoxText"/>
              <w:rPr>
                <w:highlight w:val="yellow"/>
              </w:rPr>
            </w:pPr>
            <w:r w:rsidRPr="002309AC">
              <w:t>The New South Wales Government recently undertook an</w:t>
            </w:r>
            <w:r w:rsidRPr="00B43C41">
              <w:t xml:space="preserve"> “Easy to do Business” pilot project in the hospitality industry </w:t>
            </w:r>
            <w:r w:rsidRPr="00CA0554">
              <w:t>in Parramatta</w:t>
            </w:r>
            <w:r w:rsidR="00FF34CB">
              <w:t xml:space="preserve"> where p</w:t>
            </w:r>
            <w:r w:rsidRPr="00CA0554">
              <w:t xml:space="preserve">reviously, there were in excess of 50 pieces of regulation that applied to set up a hospitality business </w:t>
            </w:r>
            <w:r w:rsidR="00FF34CB">
              <w:t xml:space="preserve">meaning that </w:t>
            </w:r>
            <w:r w:rsidRPr="00CA0554">
              <w:t>it could take up to 18 months to commence trading.</w:t>
            </w:r>
          </w:p>
          <w:p w14:paraId="4A9363E1" w14:textId="61EB8AB0" w:rsidR="00E7432D" w:rsidRDefault="00E7432D" w:rsidP="00377076">
            <w:pPr>
              <w:pStyle w:val="BoxText"/>
              <w:rPr>
                <w:rFonts w:cs="Times New Roman"/>
              </w:rPr>
            </w:pPr>
            <w:r>
              <w:rPr>
                <w:rFonts w:cs="Times New Roman"/>
              </w:rPr>
              <w:t xml:space="preserve">In an attempt to smooth the process, </w:t>
            </w:r>
            <w:r w:rsidR="005B61E0">
              <w:rPr>
                <w:rFonts w:cs="Times New Roman"/>
              </w:rPr>
              <w:t xml:space="preserve">the </w:t>
            </w:r>
            <w:r w:rsidR="005B61E0" w:rsidRPr="002309AC">
              <w:t>Commonwealth and State agencies, local councils and industry bodies</w:t>
            </w:r>
            <w:r w:rsidR="005B61E0">
              <w:t xml:space="preserve"> worked together to streamline the regulatory process </w:t>
            </w:r>
            <w:r w:rsidR="005B61E0">
              <w:rPr>
                <w:rFonts w:cs="Times New Roman"/>
              </w:rPr>
              <w:t>by examining</w:t>
            </w:r>
            <w:r w:rsidR="00CA0554" w:rsidRPr="002309AC">
              <w:t xml:space="preserve"> how many of the processes could be run in parallel. A review of the information requested under various regulations was </w:t>
            </w:r>
            <w:r w:rsidR="00C460E0">
              <w:rPr>
                <w:rFonts w:cs="Times New Roman"/>
              </w:rPr>
              <w:t>conducted</w:t>
            </w:r>
            <w:r w:rsidR="00CA0554" w:rsidRPr="002309AC">
              <w:t xml:space="preserve"> and it was found that </w:t>
            </w:r>
            <w:r w:rsidR="004D1A64">
              <w:t>many</w:t>
            </w:r>
            <w:r w:rsidR="00CA0554" w:rsidRPr="002309AC">
              <w:t xml:space="preserve"> of the information requests were duplicated between processes. </w:t>
            </w:r>
            <w:r w:rsidR="005B61E0">
              <w:t>As</w:t>
            </w:r>
            <w:r w:rsidR="00CA0554" w:rsidRPr="002309AC">
              <w:t xml:space="preserve"> a result a system was created to ask for information once only and share it between relevant regulators, whilst processes were run in tandem rather than consecutively. </w:t>
            </w:r>
            <w:r w:rsidR="005B61E0">
              <w:t>While</w:t>
            </w:r>
            <w:r w:rsidR="00CA0554" w:rsidRPr="002309AC">
              <w:t xml:space="preserve"> red tape was not cut </w:t>
            </w:r>
            <w:r w:rsidR="00F46AEE">
              <w:t>per se, it</w:t>
            </w:r>
            <w:r w:rsidR="00CA0554" w:rsidRPr="002309AC">
              <w:t xml:space="preserve"> was inst</w:t>
            </w:r>
            <w:r w:rsidR="00523D27">
              <w:t>ead sped up and made invisible.</w:t>
            </w:r>
          </w:p>
          <w:p w14:paraId="5BD76F84" w14:textId="0B6EE7E7" w:rsidR="005D5EC0" w:rsidRDefault="00E7432D" w:rsidP="00377076">
            <w:pPr>
              <w:pStyle w:val="BoxText"/>
            </w:pPr>
            <w:r w:rsidRPr="00C460E0">
              <w:rPr>
                <w:rFonts w:cs="Times New Roman"/>
              </w:rPr>
              <w:t xml:space="preserve">This is </w:t>
            </w:r>
            <w:r w:rsidR="00FF34CB">
              <w:rPr>
                <w:rFonts w:cs="Times New Roman"/>
              </w:rPr>
              <w:t>an example of an</w:t>
            </w:r>
            <w:r>
              <w:rPr>
                <w:rFonts w:cs="Times New Roman"/>
              </w:rPr>
              <w:t xml:space="preserve"> efficient </w:t>
            </w:r>
            <w:r w:rsidR="00CA0554" w:rsidRPr="002309AC">
              <w:t xml:space="preserve">way of using systems and technology to relieve </w:t>
            </w:r>
            <w:r w:rsidR="00C460E0">
              <w:rPr>
                <w:rFonts w:cs="Times New Roman"/>
              </w:rPr>
              <w:t xml:space="preserve">the </w:t>
            </w:r>
            <w:r w:rsidR="00C460E0" w:rsidRPr="00C460E0">
              <w:rPr>
                <w:rFonts w:cs="Times New Roman"/>
              </w:rPr>
              <w:t>regulatory burden</w:t>
            </w:r>
            <w:r w:rsidR="00CA0554" w:rsidRPr="002309AC">
              <w:t xml:space="preserve"> on business</w:t>
            </w:r>
            <w:r w:rsidR="00C460E0">
              <w:rPr>
                <w:rFonts w:cs="Times New Roman"/>
              </w:rPr>
              <w:t>es</w:t>
            </w:r>
            <w:r w:rsidR="00FF34CB">
              <w:rPr>
                <w:rFonts w:cs="Times New Roman"/>
              </w:rPr>
              <w:t xml:space="preserve">. It </w:t>
            </w:r>
            <w:r w:rsidR="00CA0554" w:rsidRPr="002309AC">
              <w:t>has been shortlisted for the 2017 Prime Ministers Award for Innovation and the 2017</w:t>
            </w:r>
            <w:r>
              <w:rPr>
                <w:rFonts w:cs="Times New Roman"/>
              </w:rPr>
              <w:t> </w:t>
            </w:r>
            <w:r w:rsidR="00523D27">
              <w:t>NSW Premiers Award.</w:t>
            </w:r>
          </w:p>
        </w:tc>
      </w:tr>
    </w:tbl>
    <w:p w14:paraId="799F2747" w14:textId="77777777" w:rsidR="0020294C" w:rsidRDefault="0020294C">
      <w:pPr>
        <w:spacing w:after="200" w:line="276" w:lineRule="auto"/>
        <w:jc w:val="left"/>
        <w:rPr>
          <w:rFonts w:ascii="Arial" w:eastAsiaTheme="majorEastAsia" w:hAnsi="Arial" w:cstheme="majorBidi"/>
          <w:iCs/>
          <w:color w:val="0082A6" w:themeColor="text1" w:themeTint="BF"/>
          <w:sz w:val="21"/>
        </w:rPr>
      </w:pPr>
      <w:r>
        <w:br w:type="page"/>
      </w:r>
    </w:p>
    <w:p w14:paraId="2D7CF788" w14:textId="60720D1F" w:rsidR="00091CF6" w:rsidRPr="00E77984" w:rsidRDefault="002E5B45" w:rsidP="00E77984">
      <w:pPr>
        <w:pStyle w:val="Heading2"/>
      </w:pPr>
      <w:bookmarkStart w:id="131" w:name="_Toc491081810"/>
      <w:bookmarkStart w:id="132" w:name="_Toc491108204"/>
      <w:bookmarkStart w:id="133" w:name="_Toc491168322"/>
      <w:bookmarkStart w:id="134" w:name="_Toc491704033"/>
      <w:bookmarkStart w:id="135" w:name="_Toc491705749"/>
      <w:bookmarkStart w:id="136" w:name="_Toc492465367"/>
      <w:bookmarkStart w:id="137" w:name="_Toc492571388"/>
      <w:bookmarkStart w:id="138" w:name="_Toc492902189"/>
      <w:bookmarkStart w:id="139" w:name="_Toc490218364"/>
      <w:bookmarkStart w:id="140" w:name="_Toc490237238"/>
      <w:bookmarkStart w:id="141" w:name="_Toc490745047"/>
      <w:bookmarkStart w:id="142" w:name="_Toc496095484"/>
      <w:bookmarkStart w:id="143" w:name="_Toc496097058"/>
      <w:r w:rsidRPr="00E77984">
        <w:t>C</w:t>
      </w:r>
      <w:r w:rsidR="00091CF6" w:rsidRPr="00E77984">
        <w:t>ompetition</w:t>
      </w:r>
      <w:bookmarkEnd w:id="131"/>
      <w:bookmarkEnd w:id="132"/>
      <w:bookmarkEnd w:id="133"/>
      <w:bookmarkEnd w:id="134"/>
      <w:bookmarkEnd w:id="135"/>
      <w:bookmarkEnd w:id="136"/>
      <w:bookmarkEnd w:id="137"/>
      <w:bookmarkEnd w:id="138"/>
      <w:bookmarkEnd w:id="139"/>
      <w:bookmarkEnd w:id="140"/>
      <w:bookmarkEnd w:id="141"/>
      <w:bookmarkEnd w:id="142"/>
      <w:bookmarkEnd w:id="143"/>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B42A3E" w:rsidRPr="008F2DDF" w14:paraId="4EB24AAD" w14:textId="77777777" w:rsidTr="00F86FE1">
        <w:trPr>
          <w:trHeight w:val="395"/>
        </w:trPr>
        <w:tc>
          <w:tcPr>
            <w:tcW w:w="567" w:type="dxa"/>
            <w:shd w:val="clear" w:color="auto" w:fill="78BAE2"/>
          </w:tcPr>
          <w:p w14:paraId="7D7D01C3" w14:textId="77777777" w:rsidR="00B42A3E" w:rsidRPr="00B4036F" w:rsidRDefault="00B42A3E" w:rsidP="001B3352">
            <w:pPr>
              <w:pStyle w:val="BoxHeading-CaseStudy"/>
            </w:pPr>
          </w:p>
        </w:tc>
        <w:tc>
          <w:tcPr>
            <w:tcW w:w="8505" w:type="dxa"/>
            <w:shd w:val="clear" w:color="auto" w:fill="EAEAEA"/>
            <w:tcMar>
              <w:right w:w="227" w:type="dxa"/>
            </w:tcMar>
          </w:tcPr>
          <w:p w14:paraId="3FB99C69" w14:textId="77777777" w:rsidR="00B42A3E" w:rsidRPr="008F2DDF" w:rsidRDefault="00B42A3E" w:rsidP="001B3352">
            <w:pPr>
              <w:pStyle w:val="BoxHeading-CaseStudy"/>
            </w:pPr>
            <w:r>
              <w:t>Key Points</w:t>
            </w:r>
          </w:p>
        </w:tc>
      </w:tr>
      <w:tr w:rsidR="00B42A3E" w:rsidRPr="009F5E11" w14:paraId="76CA283C" w14:textId="77777777" w:rsidTr="00F86FE1">
        <w:trPr>
          <w:trHeight w:val="430"/>
        </w:trPr>
        <w:tc>
          <w:tcPr>
            <w:tcW w:w="567" w:type="dxa"/>
            <w:shd w:val="clear" w:color="auto" w:fill="D0F4FF" w:themeFill="text1" w:themeFillTint="1A"/>
          </w:tcPr>
          <w:p w14:paraId="28E7A338" w14:textId="77777777" w:rsidR="00B42A3E" w:rsidRPr="009F5E11" w:rsidRDefault="00B42A3E" w:rsidP="009F5E11">
            <w:pPr>
              <w:pStyle w:val="BoxText"/>
            </w:pPr>
          </w:p>
        </w:tc>
        <w:tc>
          <w:tcPr>
            <w:tcW w:w="8505" w:type="dxa"/>
            <w:shd w:val="clear" w:color="auto" w:fill="EAEAEA"/>
            <w:tcMar>
              <w:right w:w="227" w:type="dxa"/>
            </w:tcMar>
          </w:tcPr>
          <w:p w14:paraId="596D630D" w14:textId="7768D6E4" w:rsidR="00B42A3E" w:rsidRPr="009F5E11" w:rsidRDefault="008F75F5" w:rsidP="009F5E11">
            <w:pPr>
              <w:pStyle w:val="BoxText"/>
            </w:pPr>
            <w:r w:rsidRPr="009F5E11">
              <w:t xml:space="preserve">Competition policy enables efficient businesses of all sizes to thrive and reduces unnecessary impediments to innovation. </w:t>
            </w:r>
            <w:r w:rsidR="00B42A3E" w:rsidRPr="009F5E11">
              <w:t xml:space="preserve">Regulatory settings need to </w:t>
            </w:r>
            <w:r w:rsidR="003B4F70" w:rsidRPr="009F5E11">
              <w:t>enable and encourage</w:t>
            </w:r>
            <w:r w:rsidR="00B42A3E" w:rsidRPr="009F5E11">
              <w:t xml:space="preserve"> effective competition.</w:t>
            </w:r>
          </w:p>
          <w:p w14:paraId="050791EA" w14:textId="77777777" w:rsidR="00B42A3E" w:rsidRPr="009F5E11" w:rsidRDefault="00B42A3E" w:rsidP="009F5E11">
            <w:pPr>
              <w:pStyle w:val="BoxText"/>
            </w:pPr>
            <w:r w:rsidRPr="009F5E11">
              <w:t>SMEs provided examples where they consider that large firms with substantial market power are operating in ways that are anti-competitive.</w:t>
            </w:r>
          </w:p>
          <w:p w14:paraId="766FDC60" w14:textId="60A4C59C" w:rsidR="00B42A3E" w:rsidRPr="009F5E11" w:rsidRDefault="00B42A3E" w:rsidP="009F5E11">
            <w:pPr>
              <w:pStyle w:val="BoxText"/>
            </w:pPr>
            <w:r w:rsidRPr="009F5E11">
              <w:t xml:space="preserve">Payment times by large suppliers </w:t>
            </w:r>
            <w:r w:rsidR="00FF34CB" w:rsidRPr="009F5E11">
              <w:t>were</w:t>
            </w:r>
            <w:r w:rsidRPr="009F5E11">
              <w:t xml:space="preserve"> an area of concern and having working capital to support </w:t>
            </w:r>
            <w:r w:rsidR="000B1D67" w:rsidRPr="009F5E11">
              <w:t xml:space="preserve">investment and growth </w:t>
            </w:r>
            <w:r w:rsidRPr="009F5E11">
              <w:t>is a significant challenge for SMEs.</w:t>
            </w:r>
          </w:p>
          <w:p w14:paraId="49E1DC66" w14:textId="790E27F0" w:rsidR="00B42A3E" w:rsidRPr="009F5E11" w:rsidRDefault="00B42A3E" w:rsidP="009F5E11">
            <w:pPr>
              <w:pStyle w:val="BoxText"/>
            </w:pPr>
            <w:r w:rsidRPr="009F5E11">
              <w:t xml:space="preserve">Access to credit and the cost of debt financing was a concern for </w:t>
            </w:r>
            <w:r w:rsidR="000B1D67" w:rsidRPr="009F5E11">
              <w:t xml:space="preserve">some </w:t>
            </w:r>
            <w:r w:rsidRPr="009F5E11">
              <w:t>SMEs but not at all for large businesses.</w:t>
            </w:r>
          </w:p>
          <w:p w14:paraId="547DBD0B" w14:textId="5C048A23" w:rsidR="008107DB" w:rsidRPr="009F5E11" w:rsidRDefault="008107DB" w:rsidP="009F5E11">
            <w:pPr>
              <w:pStyle w:val="BoxText"/>
            </w:pPr>
            <w:r w:rsidRPr="009F5E11">
              <w:t>Competition policy should continue to develop and ensure that markets work in the long term interests of consumers, as well as encouraging innovation, entrepreneurship and the entry of new players.</w:t>
            </w:r>
          </w:p>
        </w:tc>
      </w:tr>
    </w:tbl>
    <w:p w14:paraId="1BE363EB" w14:textId="77777777" w:rsidR="00B42A3E" w:rsidRPr="00B42A3E" w:rsidRDefault="00B42A3E" w:rsidP="000262D8">
      <w:pPr>
        <w:pStyle w:val="SingleParagraph"/>
      </w:pPr>
    </w:p>
    <w:p w14:paraId="266C6BAF" w14:textId="6C387F25" w:rsidR="00091CF6" w:rsidRPr="00657F56" w:rsidRDefault="00091CF6" w:rsidP="001B3352">
      <w:pPr>
        <w:rPr>
          <w:rFonts w:asciiTheme="minorHAnsi" w:hAnsiTheme="minorHAnsi"/>
        </w:rPr>
      </w:pPr>
      <w:r w:rsidRPr="00657F56">
        <w:rPr>
          <w:rFonts w:asciiTheme="minorHAnsi" w:hAnsiTheme="minorHAnsi"/>
        </w:rPr>
        <w:t>The regulatory environment has important implications for competition in the economy</w:t>
      </w:r>
      <w:r w:rsidR="002312F8" w:rsidRPr="00657F56">
        <w:rPr>
          <w:rFonts w:asciiTheme="minorHAnsi" w:hAnsiTheme="minorHAnsi"/>
        </w:rPr>
        <w:t>. R</w:t>
      </w:r>
      <w:r w:rsidRPr="00657F56">
        <w:rPr>
          <w:rFonts w:asciiTheme="minorHAnsi" w:hAnsiTheme="minorHAnsi"/>
        </w:rPr>
        <w:t xml:space="preserve">egulation can both </w:t>
      </w:r>
      <w:r w:rsidR="003B4F70">
        <w:rPr>
          <w:rFonts w:asciiTheme="minorHAnsi" w:hAnsiTheme="minorHAnsi"/>
        </w:rPr>
        <w:t>enhance</w:t>
      </w:r>
      <w:r w:rsidR="003B4F70" w:rsidRPr="00657F56">
        <w:rPr>
          <w:rFonts w:asciiTheme="minorHAnsi" w:hAnsiTheme="minorHAnsi"/>
        </w:rPr>
        <w:t xml:space="preserve"> </w:t>
      </w:r>
      <w:r w:rsidRPr="00657F56">
        <w:rPr>
          <w:rFonts w:asciiTheme="minorHAnsi" w:hAnsiTheme="minorHAnsi"/>
        </w:rPr>
        <w:t>competition and impede it</w:t>
      </w:r>
      <w:r w:rsidR="002312F8" w:rsidRPr="00657F56">
        <w:rPr>
          <w:rFonts w:asciiTheme="minorHAnsi" w:hAnsiTheme="minorHAnsi"/>
        </w:rPr>
        <w:t xml:space="preserve">. </w:t>
      </w:r>
      <w:r w:rsidRPr="00657F56">
        <w:rPr>
          <w:rFonts w:asciiTheme="minorHAnsi" w:hAnsiTheme="minorHAnsi"/>
        </w:rPr>
        <w:t xml:space="preserve">Effective </w:t>
      </w:r>
      <w:r w:rsidR="002312F8" w:rsidRPr="00657F56">
        <w:rPr>
          <w:rFonts w:asciiTheme="minorHAnsi" w:hAnsiTheme="minorHAnsi"/>
        </w:rPr>
        <w:t>regulatory settings</w:t>
      </w:r>
      <w:r w:rsidR="002312F8" w:rsidRPr="00657F56" w:rsidDel="002312F8">
        <w:rPr>
          <w:rFonts w:asciiTheme="minorHAnsi" w:hAnsiTheme="minorHAnsi"/>
        </w:rPr>
        <w:t xml:space="preserve"> </w:t>
      </w:r>
      <w:r w:rsidRPr="00657F56">
        <w:rPr>
          <w:rFonts w:asciiTheme="minorHAnsi" w:hAnsiTheme="minorHAnsi"/>
        </w:rPr>
        <w:t>can encourage business</w:t>
      </w:r>
      <w:r w:rsidR="003B4F70">
        <w:rPr>
          <w:rFonts w:asciiTheme="minorHAnsi" w:hAnsiTheme="minorHAnsi"/>
        </w:rPr>
        <w:t>es</w:t>
      </w:r>
      <w:r w:rsidRPr="00657F56">
        <w:rPr>
          <w:rFonts w:asciiTheme="minorHAnsi" w:hAnsiTheme="minorHAnsi"/>
        </w:rPr>
        <w:t xml:space="preserve"> to pursue efficiencies and reward businesses </w:t>
      </w:r>
      <w:r w:rsidR="003B4F70">
        <w:rPr>
          <w:rFonts w:asciiTheme="minorHAnsi" w:hAnsiTheme="minorHAnsi"/>
        </w:rPr>
        <w:t>who innovate and</w:t>
      </w:r>
      <w:r w:rsidRPr="00657F56">
        <w:rPr>
          <w:rFonts w:asciiTheme="minorHAnsi" w:hAnsiTheme="minorHAnsi"/>
        </w:rPr>
        <w:t xml:space="preserve"> provide the best services at the lowest cost. </w:t>
      </w:r>
      <w:r w:rsidR="002312F8" w:rsidRPr="00657F56">
        <w:rPr>
          <w:rFonts w:asciiTheme="minorHAnsi" w:hAnsiTheme="minorHAnsi"/>
        </w:rPr>
        <w:t>B</w:t>
      </w:r>
      <w:r w:rsidRPr="00657F56">
        <w:rPr>
          <w:rFonts w:asciiTheme="minorHAnsi" w:hAnsiTheme="minorHAnsi"/>
        </w:rPr>
        <w:t>usinesses who take up innovation and new technologies in order to be mo</w:t>
      </w:r>
      <w:r w:rsidR="00522D49" w:rsidRPr="00657F56">
        <w:rPr>
          <w:rFonts w:asciiTheme="minorHAnsi" w:hAnsiTheme="minorHAnsi"/>
        </w:rPr>
        <w:t xml:space="preserve">re productive should not be dissuaded </w:t>
      </w:r>
      <w:r w:rsidRPr="00657F56">
        <w:rPr>
          <w:rFonts w:asciiTheme="minorHAnsi" w:hAnsiTheme="minorHAnsi"/>
        </w:rPr>
        <w:t>by government policies which protect inefficient businesses.</w:t>
      </w:r>
    </w:p>
    <w:p w14:paraId="296A76C4" w14:textId="2BAB5983" w:rsidR="00316BAE" w:rsidRPr="00657F56" w:rsidRDefault="00091CF6" w:rsidP="001B3352">
      <w:pPr>
        <w:rPr>
          <w:rFonts w:asciiTheme="minorHAnsi" w:hAnsiTheme="minorHAnsi"/>
        </w:rPr>
      </w:pPr>
      <w:r w:rsidRPr="00657F56">
        <w:rPr>
          <w:rFonts w:asciiTheme="minorHAnsi" w:hAnsiTheme="minorHAnsi"/>
        </w:rPr>
        <w:t xml:space="preserve">In our consultations, </w:t>
      </w:r>
      <w:r w:rsidR="006D4ABF" w:rsidRPr="00657F56">
        <w:rPr>
          <w:rFonts w:asciiTheme="minorHAnsi" w:hAnsiTheme="minorHAnsi"/>
        </w:rPr>
        <w:t xml:space="preserve">while many stakeholders confirmed that competition encourages business investment which in turn flows on to customer investment, </w:t>
      </w:r>
      <w:r w:rsidRPr="00657F56">
        <w:rPr>
          <w:rFonts w:asciiTheme="minorHAnsi" w:hAnsiTheme="minorHAnsi"/>
        </w:rPr>
        <w:t xml:space="preserve">there were some contrasting attitudes </w:t>
      </w:r>
      <w:r w:rsidR="003B4F70">
        <w:rPr>
          <w:rFonts w:asciiTheme="minorHAnsi" w:hAnsiTheme="minorHAnsi"/>
        </w:rPr>
        <w:t xml:space="preserve">about whether </w:t>
      </w:r>
      <w:r w:rsidR="00580B3C">
        <w:rPr>
          <w:rFonts w:asciiTheme="minorHAnsi" w:hAnsiTheme="minorHAnsi"/>
        </w:rPr>
        <w:t>it</w:t>
      </w:r>
      <w:r w:rsidR="003B4F70">
        <w:rPr>
          <w:rFonts w:asciiTheme="minorHAnsi" w:hAnsiTheme="minorHAnsi"/>
        </w:rPr>
        <w:t xml:space="preserve"> is necessary for businesses to embrace</w:t>
      </w:r>
      <w:r w:rsidRPr="00657F56">
        <w:rPr>
          <w:rFonts w:asciiTheme="minorHAnsi" w:hAnsiTheme="minorHAnsi"/>
        </w:rPr>
        <w:t xml:space="preserve"> technological advances</w:t>
      </w:r>
      <w:r w:rsidR="003B4F70">
        <w:rPr>
          <w:rFonts w:asciiTheme="minorHAnsi" w:hAnsiTheme="minorHAnsi"/>
        </w:rPr>
        <w:t xml:space="preserve"> to survive</w:t>
      </w:r>
      <w:r w:rsidRPr="00657F56">
        <w:rPr>
          <w:rFonts w:asciiTheme="minorHAnsi" w:hAnsiTheme="minorHAnsi"/>
        </w:rPr>
        <w:t xml:space="preserve">. This </w:t>
      </w:r>
      <w:r w:rsidR="008F2908">
        <w:rPr>
          <w:rFonts w:asciiTheme="minorHAnsi" w:hAnsiTheme="minorHAnsi"/>
        </w:rPr>
        <w:t>could</w:t>
      </w:r>
      <w:r w:rsidRPr="00657F56">
        <w:rPr>
          <w:rFonts w:asciiTheme="minorHAnsi" w:hAnsiTheme="minorHAnsi"/>
        </w:rPr>
        <w:t xml:space="preserve"> reflect insufficient competition in some </w:t>
      </w:r>
      <w:r w:rsidR="003B4F70">
        <w:rPr>
          <w:rFonts w:asciiTheme="minorHAnsi" w:hAnsiTheme="minorHAnsi"/>
        </w:rPr>
        <w:t>parts</w:t>
      </w:r>
      <w:r w:rsidRPr="00657F56">
        <w:rPr>
          <w:rFonts w:asciiTheme="minorHAnsi" w:hAnsiTheme="minorHAnsi"/>
        </w:rPr>
        <w:t xml:space="preserve"> of the Australian economy.</w:t>
      </w:r>
    </w:p>
    <w:p w14:paraId="286BD4BE" w14:textId="19C5F370" w:rsidR="00091CF6" w:rsidRPr="00786E6D" w:rsidRDefault="00091CF6" w:rsidP="00FE6924">
      <w:pPr>
        <w:pStyle w:val="Bullet"/>
      </w:pPr>
      <w:r w:rsidRPr="00786E6D">
        <w:t xml:space="preserve">There was unanimous agreement from SMEs that it is essential for them to keep up with technological change and to invest in technological advances because they </w:t>
      </w:r>
      <w:r w:rsidR="005572FF" w:rsidRPr="00786E6D">
        <w:t>“</w:t>
      </w:r>
      <w:r w:rsidRPr="00786E6D">
        <w:t>won’t exist</w:t>
      </w:r>
      <w:r w:rsidR="005572FF" w:rsidRPr="00786E6D">
        <w:t>”</w:t>
      </w:r>
      <w:r w:rsidRPr="00786E6D">
        <w:t xml:space="preserve"> if they don’t </w:t>
      </w:r>
      <w:r w:rsidR="00657F56" w:rsidRPr="00786E6D">
        <w:t>“</w:t>
      </w:r>
      <w:r w:rsidRPr="00786E6D">
        <w:t>make the right decisions</w:t>
      </w:r>
      <w:r w:rsidR="005572FF" w:rsidRPr="00786E6D">
        <w:t>”</w:t>
      </w:r>
      <w:r w:rsidRPr="00786E6D">
        <w:t>.</w:t>
      </w:r>
    </w:p>
    <w:p w14:paraId="7848E55D" w14:textId="126E4F42" w:rsidR="00316BAE" w:rsidRPr="00657F56" w:rsidRDefault="00316BAE" w:rsidP="00FE6924">
      <w:pPr>
        <w:pStyle w:val="Bullet"/>
        <w:rPr>
          <w:rFonts w:asciiTheme="minorHAnsi" w:hAnsiTheme="minorHAnsi"/>
        </w:rPr>
      </w:pPr>
      <w:r w:rsidRPr="00786E6D">
        <w:t xml:space="preserve">While SMEs consider that competition drives innovation, one commented </w:t>
      </w:r>
      <w:r w:rsidR="00F60FAA" w:rsidRPr="00786E6D">
        <w:t>their expectation is</w:t>
      </w:r>
      <w:r w:rsidRPr="00786E6D">
        <w:t xml:space="preserve"> that technological changes would not do much to help level the playing field (in terms of competition with big market players) as these are too small around the edges.</w:t>
      </w:r>
    </w:p>
    <w:p w14:paraId="0F9FAE19" w14:textId="262D9B81" w:rsidR="00AD72F9" w:rsidRPr="00657F56" w:rsidRDefault="0046066E" w:rsidP="001B3352">
      <w:pPr>
        <w:rPr>
          <w:rFonts w:asciiTheme="minorHAnsi" w:hAnsiTheme="minorHAnsi"/>
        </w:rPr>
      </w:pPr>
      <w:r>
        <w:rPr>
          <w:noProof/>
          <w:lang w:eastAsia="en-AU"/>
        </w:rPr>
        <w:drawing>
          <wp:anchor distT="0" distB="0" distL="114300" distR="114300" simplePos="0" relativeHeight="251665920" behindDoc="0" locked="0" layoutInCell="1" allowOverlap="1" wp14:anchorId="5E38EFCF" wp14:editId="726EDCA7">
            <wp:simplePos x="0" y="0"/>
            <wp:positionH relativeFrom="column">
              <wp:posOffset>-4445</wp:posOffset>
            </wp:positionH>
            <wp:positionV relativeFrom="paragraph">
              <wp:posOffset>711200</wp:posOffset>
            </wp:positionV>
            <wp:extent cx="1997710" cy="701675"/>
            <wp:effectExtent l="0" t="0" r="2540" b="3175"/>
            <wp:wrapSquare wrapText="bothSides"/>
            <wp:docPr id="297" name="Pictur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Z:\2017\Reports and Reviews\Intergovernmental Review of Business Investment\pullQuote-20.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5759" t="9309" r="5653" b="10336"/>
                    <a:stretch/>
                  </pic:blipFill>
                  <pic:spPr bwMode="auto">
                    <a:xfrm>
                      <a:off x="0" y="0"/>
                      <a:ext cx="1997710" cy="70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CF6" w:rsidRPr="00657F56">
        <w:rPr>
          <w:rFonts w:asciiTheme="minorHAnsi" w:hAnsiTheme="minorHAnsi"/>
        </w:rPr>
        <w:t xml:space="preserve">Competition can be eroded by </w:t>
      </w:r>
      <w:r w:rsidR="005572FF" w:rsidRPr="00657F56">
        <w:rPr>
          <w:rFonts w:asciiTheme="minorHAnsi" w:hAnsiTheme="minorHAnsi"/>
        </w:rPr>
        <w:t xml:space="preserve">misuses </w:t>
      </w:r>
      <w:r w:rsidR="00091CF6" w:rsidRPr="00657F56">
        <w:rPr>
          <w:rFonts w:asciiTheme="minorHAnsi" w:hAnsiTheme="minorHAnsi"/>
        </w:rPr>
        <w:t>of market power. Our</w:t>
      </w:r>
      <w:r>
        <w:rPr>
          <w:rFonts w:asciiTheme="minorHAnsi" w:hAnsiTheme="minorHAnsi"/>
        </w:rPr>
        <w:t> </w:t>
      </w:r>
      <w:r w:rsidR="00091CF6" w:rsidRPr="00657F56">
        <w:rPr>
          <w:rFonts w:asciiTheme="minorHAnsi" w:hAnsiTheme="minorHAnsi"/>
        </w:rPr>
        <w:t xml:space="preserve">consultations </w:t>
      </w:r>
      <w:r w:rsidR="0026611E" w:rsidRPr="00657F56">
        <w:rPr>
          <w:rFonts w:asciiTheme="minorHAnsi" w:hAnsiTheme="minorHAnsi"/>
        </w:rPr>
        <w:t>indicate</w:t>
      </w:r>
      <w:r w:rsidR="00091CF6" w:rsidRPr="00657F56">
        <w:rPr>
          <w:rFonts w:asciiTheme="minorHAnsi" w:hAnsiTheme="minorHAnsi"/>
        </w:rPr>
        <w:t xml:space="preserve"> that there is concern about </w:t>
      </w:r>
      <w:r w:rsidR="0026611E" w:rsidRPr="00657F56">
        <w:rPr>
          <w:rFonts w:asciiTheme="minorHAnsi" w:hAnsiTheme="minorHAnsi"/>
        </w:rPr>
        <w:t>this</w:t>
      </w:r>
      <w:r w:rsidR="00091CF6" w:rsidRPr="00657F56">
        <w:rPr>
          <w:rFonts w:asciiTheme="minorHAnsi" w:hAnsiTheme="minorHAnsi"/>
        </w:rPr>
        <w:t xml:space="preserve"> in the </w:t>
      </w:r>
      <w:r w:rsidR="006D4ABF" w:rsidRPr="00657F56">
        <w:rPr>
          <w:rFonts w:asciiTheme="minorHAnsi" w:hAnsiTheme="minorHAnsi"/>
        </w:rPr>
        <w:t xml:space="preserve">Australian </w:t>
      </w:r>
      <w:r w:rsidR="00091CF6" w:rsidRPr="00657F56">
        <w:rPr>
          <w:rFonts w:asciiTheme="minorHAnsi" w:hAnsiTheme="minorHAnsi"/>
        </w:rPr>
        <w:t xml:space="preserve">economy. </w:t>
      </w:r>
      <w:r w:rsidR="00316BAE" w:rsidRPr="00657F56">
        <w:rPr>
          <w:rFonts w:asciiTheme="minorHAnsi" w:hAnsiTheme="minorHAnsi"/>
        </w:rPr>
        <w:t xml:space="preserve">In particular, SMEs provided examples where they consider that large firms with </w:t>
      </w:r>
      <w:r w:rsidR="005572FF" w:rsidRPr="00657F56">
        <w:rPr>
          <w:rFonts w:asciiTheme="minorHAnsi" w:hAnsiTheme="minorHAnsi"/>
        </w:rPr>
        <w:t xml:space="preserve">substantial </w:t>
      </w:r>
      <w:r w:rsidR="00316BAE" w:rsidRPr="00657F56">
        <w:rPr>
          <w:rFonts w:asciiTheme="minorHAnsi" w:hAnsiTheme="minorHAnsi"/>
        </w:rPr>
        <w:t>market power are operating in ways that are anti</w:t>
      </w:r>
      <w:r w:rsidR="00657F56">
        <w:rPr>
          <w:rFonts w:asciiTheme="minorHAnsi" w:hAnsiTheme="minorHAnsi"/>
        </w:rPr>
        <w:noBreakHyphen/>
      </w:r>
      <w:r w:rsidR="00316BAE" w:rsidRPr="00657F56">
        <w:rPr>
          <w:rFonts w:asciiTheme="minorHAnsi" w:hAnsiTheme="minorHAnsi"/>
        </w:rPr>
        <w:t xml:space="preserve">competitive. Some stakeholders discussed whether government is doing enough on the legal framework when it comes to big companies </w:t>
      </w:r>
      <w:r w:rsidR="006D4ABF" w:rsidRPr="00657F56">
        <w:rPr>
          <w:rFonts w:asciiTheme="minorHAnsi" w:hAnsiTheme="minorHAnsi"/>
        </w:rPr>
        <w:t>with market power</w:t>
      </w:r>
      <w:r w:rsidR="00316BAE" w:rsidRPr="00657F56">
        <w:rPr>
          <w:rFonts w:asciiTheme="minorHAnsi" w:hAnsiTheme="minorHAnsi"/>
        </w:rPr>
        <w:t xml:space="preserve">. </w:t>
      </w:r>
      <w:r w:rsidR="005572FF" w:rsidRPr="00657F56">
        <w:rPr>
          <w:rFonts w:asciiTheme="minorHAnsi" w:hAnsiTheme="minorHAnsi"/>
        </w:rPr>
        <w:t>Contacts</w:t>
      </w:r>
      <w:r w:rsidR="00316BAE" w:rsidRPr="00657F56">
        <w:rPr>
          <w:rFonts w:asciiTheme="minorHAnsi" w:hAnsiTheme="minorHAnsi"/>
        </w:rPr>
        <w:t xml:space="preserve"> noted that businesses are generally not willing to go to the ACCC to complain due to confidentiality concerns despite relevant provis</w:t>
      </w:r>
      <w:r w:rsidR="00523D27">
        <w:rPr>
          <w:rFonts w:asciiTheme="minorHAnsi" w:hAnsiTheme="minorHAnsi"/>
        </w:rPr>
        <w:t>ions in the law being in place.</w:t>
      </w:r>
    </w:p>
    <w:p w14:paraId="08929F9F" w14:textId="77777777" w:rsidR="00E77984" w:rsidRPr="00E77984" w:rsidRDefault="00E77984" w:rsidP="00E77984">
      <w:r w:rsidRPr="00E77984">
        <w:br w:type="page"/>
      </w:r>
    </w:p>
    <w:p w14:paraId="441793FB" w14:textId="161C25F3" w:rsidR="00316BAE" w:rsidRPr="00786E6D" w:rsidRDefault="008C49DA" w:rsidP="00FE6924">
      <w:pPr>
        <w:pStyle w:val="Bullet"/>
      </w:pPr>
      <w:r>
        <w:t>Some</w:t>
      </w:r>
      <w:r w:rsidR="00316BAE" w:rsidRPr="00786E6D">
        <w:t xml:space="preserve"> </w:t>
      </w:r>
      <w:r w:rsidR="00972D5A" w:rsidRPr="00786E6D">
        <w:t>contact</w:t>
      </w:r>
      <w:r>
        <w:t>s</w:t>
      </w:r>
      <w:r w:rsidR="00316BAE" w:rsidRPr="00786E6D">
        <w:t xml:space="preserve"> suggested that at this stage rather than trying to fix the issue of competition in </w:t>
      </w:r>
      <w:r w:rsidR="00316BAE" w:rsidRPr="000F411C">
        <w:t>supermarkets</w:t>
      </w:r>
      <w:r w:rsidR="00230AC0">
        <w:t>,</w:t>
      </w:r>
      <w:r w:rsidR="00316BAE" w:rsidRPr="00786E6D">
        <w:t xml:space="preserve"> </w:t>
      </w:r>
      <w:r w:rsidR="00230AC0">
        <w:t xml:space="preserve">it might be better for </w:t>
      </w:r>
      <w:r w:rsidR="00316BAE" w:rsidRPr="00786E6D">
        <w:t xml:space="preserve">governments </w:t>
      </w:r>
      <w:r w:rsidR="00230AC0">
        <w:t xml:space="preserve">to </w:t>
      </w:r>
      <w:r w:rsidR="00316BAE" w:rsidRPr="00786E6D">
        <w:t>focus on other efforts to assist suppliers such as mandating fair contracting and payment facilities for small businesses. Waiting up to 60</w:t>
      </w:r>
      <w:r w:rsidR="008555E5" w:rsidRPr="00786E6D">
        <w:t> </w:t>
      </w:r>
      <w:r w:rsidR="00316BAE" w:rsidRPr="00786E6D">
        <w:t>days for invoices to be paid presents significant liquidity challenges for small businesses.</w:t>
      </w:r>
    </w:p>
    <w:p w14:paraId="3703D7D4" w14:textId="73C27CAC" w:rsidR="001E0C91" w:rsidRDefault="001E0C91" w:rsidP="00824E36">
      <w:pPr>
        <w:pStyle w:val="Heading3"/>
      </w:pPr>
      <w:bookmarkStart w:id="144" w:name="_Toc491081811"/>
      <w:bookmarkStart w:id="145" w:name="_Toc491108205"/>
      <w:bookmarkStart w:id="146" w:name="_Toc491168323"/>
      <w:bookmarkStart w:id="147" w:name="_Toc491704034"/>
      <w:bookmarkStart w:id="148" w:name="_Toc491705750"/>
      <w:bookmarkStart w:id="149" w:name="_Toc492465368"/>
      <w:bookmarkStart w:id="150" w:name="_Toc492571389"/>
      <w:bookmarkStart w:id="151" w:name="_Toc492902190"/>
      <w:bookmarkStart w:id="152" w:name="_Toc496095485"/>
      <w:bookmarkStart w:id="153" w:name="_Toc496097059"/>
      <w:r>
        <w:t xml:space="preserve">Supplier </w:t>
      </w:r>
      <w:r w:rsidR="00AF0382">
        <w:t>p</w:t>
      </w:r>
      <w:r>
        <w:t>ayment times</w:t>
      </w:r>
      <w:bookmarkEnd w:id="144"/>
      <w:bookmarkEnd w:id="145"/>
      <w:bookmarkEnd w:id="146"/>
      <w:bookmarkEnd w:id="147"/>
      <w:bookmarkEnd w:id="148"/>
      <w:bookmarkEnd w:id="149"/>
      <w:bookmarkEnd w:id="150"/>
      <w:bookmarkEnd w:id="151"/>
      <w:bookmarkEnd w:id="152"/>
      <w:bookmarkEnd w:id="153"/>
    </w:p>
    <w:p w14:paraId="2C03099F" w14:textId="054686F3" w:rsidR="00CC3AE3" w:rsidRPr="00657F56" w:rsidRDefault="00091CF6" w:rsidP="001B3352">
      <w:pPr>
        <w:rPr>
          <w:rFonts w:asciiTheme="minorHAnsi" w:hAnsiTheme="minorHAnsi"/>
        </w:rPr>
      </w:pPr>
      <w:r w:rsidRPr="00657F56">
        <w:rPr>
          <w:rFonts w:asciiTheme="minorHAnsi" w:hAnsiTheme="minorHAnsi"/>
        </w:rPr>
        <w:t xml:space="preserve">Payment times by large suppliers were an area of significant concern. Having sufficient working capital for growth is the greatest challenge for </w:t>
      </w:r>
      <w:r w:rsidR="003070C3" w:rsidRPr="00657F56">
        <w:rPr>
          <w:rFonts w:asciiTheme="minorHAnsi" w:hAnsiTheme="minorHAnsi"/>
        </w:rPr>
        <w:t>SMEs</w:t>
      </w:r>
      <w:r w:rsidRPr="00657F56">
        <w:rPr>
          <w:rFonts w:asciiTheme="minorHAnsi" w:hAnsiTheme="minorHAnsi"/>
        </w:rPr>
        <w:t xml:space="preserve"> and </w:t>
      </w:r>
      <w:r w:rsidR="003070C3" w:rsidRPr="00657F56">
        <w:rPr>
          <w:rFonts w:asciiTheme="minorHAnsi" w:hAnsiTheme="minorHAnsi"/>
        </w:rPr>
        <w:t xml:space="preserve">is </w:t>
      </w:r>
      <w:r w:rsidRPr="00657F56">
        <w:rPr>
          <w:rFonts w:asciiTheme="minorHAnsi" w:hAnsiTheme="minorHAnsi"/>
        </w:rPr>
        <w:t xml:space="preserve">considered </w:t>
      </w:r>
      <w:r w:rsidR="003070C3" w:rsidRPr="00657F56">
        <w:rPr>
          <w:rFonts w:asciiTheme="minorHAnsi" w:hAnsiTheme="minorHAnsi"/>
        </w:rPr>
        <w:t>a significant</w:t>
      </w:r>
      <w:r w:rsidRPr="00657F56">
        <w:rPr>
          <w:rFonts w:asciiTheme="minorHAnsi" w:hAnsiTheme="minorHAnsi"/>
        </w:rPr>
        <w:t xml:space="preserve"> barrier to investment. Many SMEs commented that they experience a continuous squeeze on working capital and constrained cash flow, in part driven by delayed receipts of payments</w:t>
      </w:r>
      <w:r w:rsidR="003070C3" w:rsidRPr="00657F56">
        <w:rPr>
          <w:rFonts w:asciiTheme="minorHAnsi" w:hAnsiTheme="minorHAnsi"/>
        </w:rPr>
        <w:t>,</w:t>
      </w:r>
      <w:r w:rsidRPr="00657F56">
        <w:rPr>
          <w:rFonts w:asciiTheme="minorHAnsi" w:hAnsiTheme="minorHAnsi"/>
        </w:rPr>
        <w:t xml:space="preserve"> especially by big</w:t>
      </w:r>
      <w:r w:rsidR="00684E9B">
        <w:rPr>
          <w:rFonts w:asciiTheme="minorHAnsi" w:hAnsiTheme="minorHAnsi"/>
        </w:rPr>
        <w:t> </w:t>
      </w:r>
      <w:r w:rsidRPr="00657F56">
        <w:rPr>
          <w:rFonts w:asciiTheme="minorHAnsi" w:hAnsiTheme="minorHAnsi"/>
        </w:rPr>
        <w:t xml:space="preserve">companies including </w:t>
      </w:r>
      <w:r w:rsidR="0026611E" w:rsidRPr="00657F56">
        <w:rPr>
          <w:rFonts w:asciiTheme="minorHAnsi" w:hAnsiTheme="minorHAnsi"/>
        </w:rPr>
        <w:t>Government Business Enterprises</w:t>
      </w:r>
      <w:r w:rsidR="00523D27">
        <w:rPr>
          <w:rFonts w:asciiTheme="minorHAnsi" w:hAnsiTheme="minorHAnsi"/>
        </w:rPr>
        <w:t>.</w:t>
      </w:r>
    </w:p>
    <w:p w14:paraId="09F3F111" w14:textId="1583552A" w:rsidR="003070C3" w:rsidRPr="00786E6D" w:rsidRDefault="00091CF6" w:rsidP="00FE6924">
      <w:pPr>
        <w:pStyle w:val="Bullet"/>
      </w:pPr>
      <w:r w:rsidRPr="00786E6D">
        <w:t xml:space="preserve">Contacts in Tasmania commented that </w:t>
      </w:r>
      <w:r w:rsidR="00CC3AE3" w:rsidRPr="00786E6D">
        <w:t>at best</w:t>
      </w:r>
      <w:r w:rsidR="00657F56" w:rsidRPr="00786E6D">
        <w:t>,</w:t>
      </w:r>
      <w:r w:rsidR="00CC3AE3" w:rsidRPr="00786E6D">
        <w:t xml:space="preserve"> payments by big clients are received in 30</w:t>
      </w:r>
      <w:r w:rsidR="008555E5" w:rsidRPr="00786E6D">
        <w:noBreakHyphen/>
      </w:r>
      <w:r w:rsidR="00CC3AE3" w:rsidRPr="00786E6D">
        <w:t>60</w:t>
      </w:r>
      <w:r w:rsidR="008555E5" w:rsidRPr="00786E6D">
        <w:t> </w:t>
      </w:r>
      <w:r w:rsidR="00CC3AE3" w:rsidRPr="00786E6D">
        <w:t xml:space="preserve">days, but often 90-180 days for really big players. This problem is compounded by upfront outgoing payments </w:t>
      </w:r>
      <w:r w:rsidR="00631272" w:rsidRPr="00786E6D">
        <w:t xml:space="preserve">being required by government and utilities for items such as: </w:t>
      </w:r>
      <w:r w:rsidR="00182F00">
        <w:t>taxes</w:t>
      </w:r>
      <w:r w:rsidRPr="00786E6D">
        <w:t xml:space="preserve">; payments to the workers compensation schemes; and </w:t>
      </w:r>
      <w:r w:rsidR="00631272" w:rsidRPr="00786E6D">
        <w:t>rates and energy.</w:t>
      </w:r>
    </w:p>
    <w:p w14:paraId="4070B71D" w14:textId="71FE3C1C" w:rsidR="00091CF6" w:rsidRPr="00786E6D" w:rsidRDefault="0026611E" w:rsidP="00FE6924">
      <w:pPr>
        <w:pStyle w:val="Bullet"/>
      </w:pPr>
      <w:r w:rsidRPr="00786E6D">
        <w:t xml:space="preserve">One </w:t>
      </w:r>
      <w:r w:rsidR="003070C3" w:rsidRPr="00786E6D">
        <w:t xml:space="preserve">business </w:t>
      </w:r>
      <w:r w:rsidRPr="00786E6D">
        <w:t xml:space="preserve">explained that generally SMEs cannot hold enough </w:t>
      </w:r>
      <w:r w:rsidR="00631272" w:rsidRPr="00786E6D">
        <w:t xml:space="preserve">cash flow </w:t>
      </w:r>
      <w:r w:rsidRPr="00786E6D">
        <w:t>to be able to invest</w:t>
      </w:r>
      <w:r w:rsidR="003070C3" w:rsidRPr="00786E6D">
        <w:t xml:space="preserve"> so they</w:t>
      </w:r>
      <w:r w:rsidRPr="00786E6D">
        <w:t xml:space="preserve"> continually delay projects for a time when it is considered not too risky to invest – </w:t>
      </w:r>
      <w:r w:rsidR="003070C3" w:rsidRPr="00786E6D">
        <w:t>they are</w:t>
      </w:r>
      <w:r w:rsidRPr="00786E6D">
        <w:t xml:space="preserve"> waiting for windfalls that provide a decent buffer against unanticipated costs.</w:t>
      </w:r>
    </w:p>
    <w:p w14:paraId="584C976E" w14:textId="50E8872F" w:rsidR="00091CF6" w:rsidRPr="00786E6D" w:rsidRDefault="00091CF6" w:rsidP="00FE6924">
      <w:pPr>
        <w:pStyle w:val="Bullet"/>
      </w:pPr>
      <w:r w:rsidRPr="00786E6D">
        <w:t xml:space="preserve">Contacts in </w:t>
      </w:r>
      <w:r w:rsidR="008555E5" w:rsidRPr="00786E6D">
        <w:t>Western Australia</w:t>
      </w:r>
      <w:r w:rsidRPr="00786E6D">
        <w:t xml:space="preserve"> noted that the impact of </w:t>
      </w:r>
      <w:r w:rsidR="0026611E" w:rsidRPr="00786E6D">
        <w:t xml:space="preserve">the mining </w:t>
      </w:r>
      <w:r w:rsidRPr="00786E6D">
        <w:t>downturn on supply chains meant that larger companies have been squeezing smaller suppliers, with terms being extended to 90-120 days. The combination of working capital requirements for contacts with large miners and banks requiring debt repayment created extremely difficult conditio</w:t>
      </w:r>
      <w:r w:rsidR="0026611E" w:rsidRPr="00786E6D">
        <w:t>ns for mining service companies. T</w:t>
      </w:r>
      <w:r w:rsidRPr="00786E6D">
        <w:t>hose who remain had conservative balance s</w:t>
      </w:r>
      <w:r w:rsidR="00523D27">
        <w:t>heets leading into the downturn.</w:t>
      </w:r>
    </w:p>
    <w:p w14:paraId="5B07B297" w14:textId="2FC9D44A" w:rsidR="001E0C91" w:rsidRDefault="001E0C91" w:rsidP="00824E36">
      <w:pPr>
        <w:pStyle w:val="Heading3"/>
      </w:pPr>
      <w:bookmarkStart w:id="154" w:name="_Toc491081812"/>
      <w:bookmarkStart w:id="155" w:name="_Toc491108206"/>
      <w:bookmarkStart w:id="156" w:name="_Toc491168324"/>
      <w:bookmarkStart w:id="157" w:name="_Toc491704035"/>
      <w:bookmarkStart w:id="158" w:name="_Toc491705751"/>
      <w:bookmarkStart w:id="159" w:name="_Toc492465369"/>
      <w:bookmarkStart w:id="160" w:name="_Toc492571390"/>
      <w:bookmarkStart w:id="161" w:name="_Toc492902191"/>
      <w:bookmarkStart w:id="162" w:name="_Toc496095486"/>
      <w:bookmarkStart w:id="163" w:name="_Toc496097060"/>
      <w:r>
        <w:t>Small business finance</w:t>
      </w:r>
      <w:bookmarkEnd w:id="154"/>
      <w:bookmarkEnd w:id="155"/>
      <w:bookmarkEnd w:id="156"/>
      <w:bookmarkEnd w:id="157"/>
      <w:bookmarkEnd w:id="158"/>
      <w:bookmarkEnd w:id="159"/>
      <w:bookmarkEnd w:id="160"/>
      <w:bookmarkEnd w:id="161"/>
      <w:bookmarkEnd w:id="162"/>
      <w:bookmarkEnd w:id="163"/>
    </w:p>
    <w:p w14:paraId="0D5A488E" w14:textId="3367CF87" w:rsidR="000250F3" w:rsidRDefault="0046066E" w:rsidP="001B3352">
      <w:pPr>
        <w:rPr>
          <w:rFonts w:asciiTheme="minorHAnsi" w:hAnsiTheme="minorHAnsi"/>
        </w:rPr>
      </w:pPr>
      <w:r>
        <w:rPr>
          <w:rFonts w:asciiTheme="minorHAnsi" w:hAnsiTheme="minorHAnsi"/>
          <w:noProof/>
          <w:lang w:eastAsia="en-AU"/>
        </w:rPr>
        <w:drawing>
          <wp:anchor distT="0" distB="0" distL="114300" distR="114300" simplePos="0" relativeHeight="251648512" behindDoc="0" locked="0" layoutInCell="1" allowOverlap="1" wp14:anchorId="48F7670B" wp14:editId="4A7C00FC">
            <wp:simplePos x="0" y="0"/>
            <wp:positionH relativeFrom="column">
              <wp:posOffset>3799840</wp:posOffset>
            </wp:positionH>
            <wp:positionV relativeFrom="paragraph">
              <wp:posOffset>50800</wp:posOffset>
            </wp:positionV>
            <wp:extent cx="1939925" cy="824865"/>
            <wp:effectExtent l="0" t="0" r="3175" b="0"/>
            <wp:wrapSquare wrapText="bothSides"/>
            <wp:docPr id="298" name="Pictur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Z:\2017\Reports and Reviews\Intergovernmental Review of Business Investment\pullQuote-21.pn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5317" r="5226"/>
                    <a:stretch/>
                  </pic:blipFill>
                  <pic:spPr bwMode="auto">
                    <a:xfrm>
                      <a:off x="0" y="0"/>
                      <a:ext cx="1939925" cy="824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CF6" w:rsidRPr="00657F56">
        <w:rPr>
          <w:rFonts w:asciiTheme="minorHAnsi" w:hAnsiTheme="minorHAnsi"/>
        </w:rPr>
        <w:t xml:space="preserve">Another major concern for </w:t>
      </w:r>
      <w:r w:rsidR="008552FC">
        <w:rPr>
          <w:rFonts w:asciiTheme="minorHAnsi" w:hAnsiTheme="minorHAnsi"/>
        </w:rPr>
        <w:t xml:space="preserve">some </w:t>
      </w:r>
      <w:r w:rsidR="00091CF6" w:rsidRPr="00657F56">
        <w:rPr>
          <w:rFonts w:asciiTheme="minorHAnsi" w:hAnsiTheme="minorHAnsi"/>
        </w:rPr>
        <w:t xml:space="preserve">SMEs </w:t>
      </w:r>
      <w:r w:rsidR="003070C3" w:rsidRPr="00657F56">
        <w:rPr>
          <w:rFonts w:asciiTheme="minorHAnsi" w:hAnsiTheme="minorHAnsi"/>
        </w:rPr>
        <w:t xml:space="preserve">(and which can contribute to the working capital issue) </w:t>
      </w:r>
      <w:r w:rsidR="00091CF6" w:rsidRPr="00657F56">
        <w:rPr>
          <w:rFonts w:asciiTheme="minorHAnsi" w:hAnsiTheme="minorHAnsi"/>
        </w:rPr>
        <w:t xml:space="preserve">is </w:t>
      </w:r>
      <w:r w:rsidR="003070C3" w:rsidRPr="00657F56">
        <w:rPr>
          <w:rFonts w:asciiTheme="minorHAnsi" w:hAnsiTheme="minorHAnsi"/>
        </w:rPr>
        <w:t xml:space="preserve">access to credit </w:t>
      </w:r>
      <w:r w:rsidR="00091CF6" w:rsidRPr="00657F56">
        <w:rPr>
          <w:rFonts w:asciiTheme="minorHAnsi" w:hAnsiTheme="minorHAnsi"/>
        </w:rPr>
        <w:t>and</w:t>
      </w:r>
      <w:r w:rsidR="003070C3" w:rsidRPr="00657F56">
        <w:rPr>
          <w:rFonts w:asciiTheme="minorHAnsi" w:hAnsiTheme="minorHAnsi"/>
        </w:rPr>
        <w:t xml:space="preserve"> the cost of financing</w:t>
      </w:r>
      <w:r w:rsidR="00091CF6" w:rsidRPr="00657F56">
        <w:rPr>
          <w:rFonts w:asciiTheme="minorHAnsi" w:hAnsiTheme="minorHAnsi"/>
        </w:rPr>
        <w:t xml:space="preserve">. </w:t>
      </w:r>
      <w:r w:rsidR="003070C3" w:rsidRPr="00657F56">
        <w:rPr>
          <w:rFonts w:asciiTheme="minorHAnsi" w:hAnsiTheme="minorHAnsi"/>
        </w:rPr>
        <w:t xml:space="preserve">This </w:t>
      </w:r>
      <w:r w:rsidR="00091CF6" w:rsidRPr="00657F56">
        <w:rPr>
          <w:rFonts w:asciiTheme="minorHAnsi" w:hAnsiTheme="minorHAnsi"/>
        </w:rPr>
        <w:t xml:space="preserve">was </w:t>
      </w:r>
      <w:r w:rsidR="003070C3" w:rsidRPr="00657F56">
        <w:rPr>
          <w:rFonts w:asciiTheme="minorHAnsi" w:hAnsiTheme="minorHAnsi"/>
        </w:rPr>
        <w:t xml:space="preserve">in </w:t>
      </w:r>
      <w:r w:rsidR="00091CF6" w:rsidRPr="00657F56">
        <w:rPr>
          <w:rFonts w:asciiTheme="minorHAnsi" w:hAnsiTheme="minorHAnsi"/>
        </w:rPr>
        <w:t xml:space="preserve">contrast with large businesses consulted where access to and costs of financing were not seen as </w:t>
      </w:r>
      <w:r w:rsidR="00091CF6">
        <w:rPr>
          <w:rFonts w:asciiTheme="minorHAnsi" w:hAnsiTheme="minorHAnsi"/>
        </w:rPr>
        <w:t xml:space="preserve">an impediment. </w:t>
      </w:r>
      <w:r w:rsidR="00091CF6" w:rsidRPr="00657F56">
        <w:rPr>
          <w:rFonts w:asciiTheme="minorHAnsi" w:hAnsiTheme="minorHAnsi"/>
        </w:rPr>
        <w:t>Small business is reliant on bank</w:t>
      </w:r>
      <w:r w:rsidR="008552FC">
        <w:rPr>
          <w:rFonts w:asciiTheme="minorHAnsi" w:hAnsiTheme="minorHAnsi"/>
        </w:rPr>
        <w:t>s and other</w:t>
      </w:r>
      <w:r w:rsidR="00320C8C">
        <w:rPr>
          <w:rFonts w:asciiTheme="minorHAnsi" w:hAnsiTheme="minorHAnsi"/>
        </w:rPr>
        <w:t xml:space="preserve"> lenders</w:t>
      </w:r>
      <w:r w:rsidR="00091CF6" w:rsidRPr="00657F56">
        <w:rPr>
          <w:rFonts w:asciiTheme="minorHAnsi" w:hAnsiTheme="minorHAnsi"/>
        </w:rPr>
        <w:t xml:space="preserve"> for financing, whereas big business has more </w:t>
      </w:r>
      <w:r w:rsidR="00320C8C">
        <w:rPr>
          <w:rFonts w:asciiTheme="minorHAnsi" w:hAnsiTheme="minorHAnsi"/>
        </w:rPr>
        <w:t>diverse funding sources</w:t>
      </w:r>
      <w:r w:rsidR="00091CF6" w:rsidRPr="00657F56">
        <w:rPr>
          <w:rFonts w:asciiTheme="minorHAnsi" w:hAnsiTheme="minorHAnsi"/>
        </w:rPr>
        <w:t>; notably direct access to capital markets</w:t>
      </w:r>
      <w:r w:rsidR="00631272">
        <w:rPr>
          <w:rFonts w:asciiTheme="minorHAnsi" w:hAnsiTheme="minorHAnsi"/>
        </w:rPr>
        <w:t xml:space="preserve"> and greater use of equity</w:t>
      </w:r>
      <w:r w:rsidR="00091CF6" w:rsidRPr="00657F56">
        <w:rPr>
          <w:rFonts w:asciiTheme="minorHAnsi" w:hAnsiTheme="minorHAnsi"/>
        </w:rPr>
        <w:t xml:space="preserve">. This is borne out </w:t>
      </w:r>
      <w:r w:rsidR="003973C4">
        <w:rPr>
          <w:rFonts w:asciiTheme="minorHAnsi" w:hAnsiTheme="minorHAnsi"/>
        </w:rPr>
        <w:t>in the</w:t>
      </w:r>
      <w:r w:rsidR="00091CF6" w:rsidRPr="00657F56">
        <w:rPr>
          <w:rFonts w:asciiTheme="minorHAnsi" w:hAnsiTheme="minorHAnsi"/>
        </w:rPr>
        <w:t xml:space="preserve"> data which shows a smaller fall in small business borrowing rates than big business</w:t>
      </w:r>
      <w:r w:rsidR="003973C4">
        <w:rPr>
          <w:rFonts w:asciiTheme="minorHAnsi" w:hAnsiTheme="minorHAnsi"/>
        </w:rPr>
        <w:t xml:space="preserve"> (Chart </w:t>
      </w:r>
      <w:r w:rsidR="006039C0">
        <w:rPr>
          <w:rFonts w:asciiTheme="minorHAnsi" w:hAnsiTheme="minorHAnsi"/>
        </w:rPr>
        <w:t>1</w:t>
      </w:r>
      <w:r w:rsidR="00FF3DD2">
        <w:rPr>
          <w:rFonts w:asciiTheme="minorHAnsi" w:hAnsiTheme="minorHAnsi"/>
        </w:rPr>
        <w:t>5</w:t>
      </w:r>
      <w:r w:rsidR="003973C4">
        <w:rPr>
          <w:rFonts w:asciiTheme="minorHAnsi" w:hAnsiTheme="minorHAnsi"/>
        </w:rPr>
        <w:t>)</w:t>
      </w:r>
      <w:r w:rsidR="00523D27">
        <w:rPr>
          <w:rFonts w:asciiTheme="minorHAnsi" w:hAnsiTheme="minorHAnsi"/>
        </w:rPr>
        <w:t>.</w:t>
      </w:r>
    </w:p>
    <w:p w14:paraId="325DF6FD" w14:textId="5190F477" w:rsidR="00F7613B" w:rsidRPr="003973C4" w:rsidRDefault="00F7613B" w:rsidP="00691261">
      <w:pPr>
        <w:pStyle w:val="FigureMainHeading"/>
      </w:pPr>
      <w:r w:rsidRPr="003973C4">
        <w:t xml:space="preserve">Chart </w:t>
      </w:r>
      <w:r>
        <w:t>1</w:t>
      </w:r>
      <w:r w:rsidR="00FF3DD2">
        <w:t>5</w:t>
      </w:r>
      <w:r w:rsidRPr="003973C4">
        <w:t>: Business borrowing rates</w:t>
      </w:r>
    </w:p>
    <w:p w14:paraId="59D91E73" w14:textId="33CF9485" w:rsidR="00F7613B" w:rsidRDefault="00933F41" w:rsidP="00824E36">
      <w:pPr>
        <w:pStyle w:val="ChartGraphic"/>
      </w:pPr>
      <w:r w:rsidRPr="00855723">
        <w:rPr>
          <w:noProof/>
          <w:lang w:eastAsia="en-AU"/>
        </w:rPr>
        <w:drawing>
          <wp:inline distT="0" distB="0" distL="0" distR="0" wp14:anchorId="3D8191C7" wp14:editId="209B7E4E">
            <wp:extent cx="5400000" cy="2491640"/>
            <wp:effectExtent l="0" t="0" r="0" b="444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112" t="-1" r="-1" b="1485"/>
                    <a:stretch/>
                  </pic:blipFill>
                  <pic:spPr bwMode="auto">
                    <a:xfrm>
                      <a:off x="0" y="0"/>
                      <a:ext cx="5400000" cy="2491640"/>
                    </a:xfrm>
                    <a:prstGeom prst="rect">
                      <a:avLst/>
                    </a:prstGeom>
                    <a:noFill/>
                    <a:ln>
                      <a:noFill/>
                    </a:ln>
                    <a:extLst>
                      <a:ext uri="{53640926-AAD7-44D8-BBD7-CCE9431645EC}">
                        <a14:shadowObscured xmlns:a14="http://schemas.microsoft.com/office/drawing/2010/main"/>
                      </a:ext>
                    </a:extLst>
                  </pic:spPr>
                </pic:pic>
              </a:graphicData>
            </a:graphic>
          </wp:inline>
        </w:drawing>
      </w:r>
    </w:p>
    <w:p w14:paraId="79721A1C" w14:textId="309135C0" w:rsidR="00F7613B" w:rsidRPr="00B41E49" w:rsidRDefault="00F7613B" w:rsidP="00824E36">
      <w:pPr>
        <w:pStyle w:val="Source"/>
      </w:pPr>
      <w:r w:rsidRPr="00B41E49">
        <w:t>Source: RBA, Bloomberg &amp; Treasury</w:t>
      </w:r>
      <w:r w:rsidR="00523D27">
        <w:t>.</w:t>
      </w:r>
    </w:p>
    <w:p w14:paraId="58A96C08" w14:textId="7AF8D159" w:rsidR="00D25C9E" w:rsidRPr="00D25C9E" w:rsidRDefault="00D25C9E" w:rsidP="00E77984">
      <w:pPr>
        <w:pStyle w:val="SingleParagraph"/>
      </w:pPr>
    </w:p>
    <w:p w14:paraId="0B95CC51" w14:textId="36843380" w:rsidR="00091CF6" w:rsidRPr="00B41E49" w:rsidRDefault="00E77984" w:rsidP="001B3352">
      <w:pPr>
        <w:rPr>
          <w:rFonts w:asciiTheme="minorHAnsi" w:hAnsiTheme="minorHAnsi"/>
        </w:rPr>
      </w:pPr>
      <w:r>
        <w:rPr>
          <w:rFonts w:asciiTheme="minorHAnsi" w:hAnsiTheme="minorHAnsi"/>
          <w:noProof/>
          <w:lang w:eastAsia="en-AU"/>
        </w:rPr>
        <w:drawing>
          <wp:anchor distT="0" distB="0" distL="114300" distR="114300" simplePos="0" relativeHeight="251659776" behindDoc="0" locked="0" layoutInCell="1" allowOverlap="1" wp14:anchorId="3BC86F20" wp14:editId="48317A86">
            <wp:simplePos x="0" y="0"/>
            <wp:positionH relativeFrom="column">
              <wp:posOffset>-8890</wp:posOffset>
            </wp:positionH>
            <wp:positionV relativeFrom="paragraph">
              <wp:posOffset>25400</wp:posOffset>
            </wp:positionV>
            <wp:extent cx="1899920" cy="845820"/>
            <wp:effectExtent l="0" t="0" r="5080"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Z:\2017\Reports and Reviews\Intergovernmental Review of Business Investment\pullQuote-22.pn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7534" r="6983"/>
                    <a:stretch/>
                  </pic:blipFill>
                  <pic:spPr bwMode="auto">
                    <a:xfrm>
                      <a:off x="0" y="0"/>
                      <a:ext cx="1899920" cy="845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CF6" w:rsidRPr="00B41E49">
        <w:rPr>
          <w:rFonts w:asciiTheme="minorHAnsi" w:hAnsiTheme="minorHAnsi"/>
        </w:rPr>
        <w:t xml:space="preserve">There was a consensus among SMEs that Australian </w:t>
      </w:r>
      <w:r w:rsidR="00320C8C">
        <w:rPr>
          <w:rFonts w:asciiTheme="minorHAnsi" w:hAnsiTheme="minorHAnsi"/>
        </w:rPr>
        <w:t>lenders</w:t>
      </w:r>
      <w:r w:rsidR="00091CF6" w:rsidRPr="00B41E49">
        <w:rPr>
          <w:rFonts w:asciiTheme="minorHAnsi" w:hAnsiTheme="minorHAnsi"/>
        </w:rPr>
        <w:t xml:space="preserve"> are </w:t>
      </w:r>
      <w:r w:rsidR="00631272">
        <w:rPr>
          <w:rFonts w:asciiTheme="minorHAnsi" w:hAnsiTheme="minorHAnsi"/>
        </w:rPr>
        <w:t>too</w:t>
      </w:r>
      <w:r w:rsidR="00091CF6" w:rsidRPr="00B41E49">
        <w:rPr>
          <w:rFonts w:asciiTheme="minorHAnsi" w:hAnsiTheme="minorHAnsi"/>
        </w:rPr>
        <w:t xml:space="preserve"> risk averse when it comes to lending to SMEs. </w:t>
      </w:r>
      <w:r w:rsidR="00631272">
        <w:rPr>
          <w:rFonts w:asciiTheme="minorHAnsi" w:hAnsiTheme="minorHAnsi"/>
        </w:rPr>
        <w:t>It was suggested that b</w:t>
      </w:r>
      <w:r w:rsidR="00091CF6" w:rsidRPr="00B41E49">
        <w:rPr>
          <w:rFonts w:asciiTheme="minorHAnsi" w:hAnsiTheme="minorHAnsi"/>
        </w:rPr>
        <w:t xml:space="preserve">anks only lend against bricks and mortar and </w:t>
      </w:r>
      <w:r w:rsidR="00631272">
        <w:rPr>
          <w:rFonts w:asciiTheme="minorHAnsi" w:hAnsiTheme="minorHAnsi"/>
        </w:rPr>
        <w:t xml:space="preserve">are reluctant to </w:t>
      </w:r>
      <w:r w:rsidR="00091CF6" w:rsidRPr="00B41E49">
        <w:rPr>
          <w:rFonts w:asciiTheme="minorHAnsi" w:hAnsiTheme="minorHAnsi"/>
        </w:rPr>
        <w:t>lend for investment in innovation</w:t>
      </w:r>
      <w:r w:rsidR="00631272">
        <w:rPr>
          <w:rFonts w:asciiTheme="minorHAnsi" w:hAnsiTheme="minorHAnsi"/>
        </w:rPr>
        <w:t xml:space="preserve"> or against cash flow</w:t>
      </w:r>
      <w:r w:rsidR="00091CF6" w:rsidRPr="00B41E49">
        <w:rPr>
          <w:rFonts w:asciiTheme="minorHAnsi" w:hAnsiTheme="minorHAnsi"/>
        </w:rPr>
        <w:t>. Some contacts cited th</w:t>
      </w:r>
      <w:r w:rsidR="00631272">
        <w:rPr>
          <w:rFonts w:asciiTheme="minorHAnsi" w:hAnsiTheme="minorHAnsi"/>
        </w:rPr>
        <w:t xml:space="preserve">e </w:t>
      </w:r>
      <w:r w:rsidR="00091CF6" w:rsidRPr="00B41E49">
        <w:rPr>
          <w:rFonts w:asciiTheme="minorHAnsi" w:hAnsiTheme="minorHAnsi"/>
        </w:rPr>
        <w:t>need to provide residential property as security on business loans as a potential impediment to investment.</w:t>
      </w:r>
    </w:p>
    <w:p w14:paraId="1902EEB2" w14:textId="0705BDC8" w:rsidR="0050269A" w:rsidRPr="00B41E49" w:rsidRDefault="00B75194" w:rsidP="001B3352">
      <w:pPr>
        <w:rPr>
          <w:rFonts w:asciiTheme="minorHAnsi" w:hAnsiTheme="minorHAnsi"/>
        </w:rPr>
      </w:pPr>
      <w:r w:rsidRPr="00B41E49">
        <w:rPr>
          <w:rFonts w:asciiTheme="minorHAnsi" w:hAnsiTheme="minorHAnsi"/>
        </w:rPr>
        <w:t>Some SMEs consider that the cost of capital for SMEs in terms of price and covenants is prohibitive, and</w:t>
      </w:r>
      <w:r w:rsidR="00091CF6" w:rsidRPr="00B41E49">
        <w:rPr>
          <w:rFonts w:asciiTheme="minorHAnsi" w:hAnsiTheme="minorHAnsi"/>
        </w:rPr>
        <w:t xml:space="preserve"> questioned whether banks might be more willing to lend to SMEs if they were</w:t>
      </w:r>
      <w:r w:rsidR="0026611E" w:rsidRPr="00B41E49">
        <w:rPr>
          <w:rFonts w:asciiTheme="minorHAnsi" w:hAnsiTheme="minorHAnsi"/>
        </w:rPr>
        <w:t xml:space="preserve"> not</w:t>
      </w:r>
      <w:r w:rsidR="00091CF6" w:rsidRPr="00B41E49">
        <w:rPr>
          <w:rFonts w:asciiTheme="minorHAnsi" w:hAnsiTheme="minorHAnsi"/>
        </w:rPr>
        <w:t xml:space="preserve"> able to derive so much profit from the residential mortgage market</w:t>
      </w:r>
      <w:r w:rsidRPr="00B41E49">
        <w:rPr>
          <w:rFonts w:asciiTheme="minorHAnsi" w:hAnsiTheme="minorHAnsi"/>
        </w:rPr>
        <w:t>. Some contacts</w:t>
      </w:r>
      <w:r w:rsidR="00091CF6" w:rsidRPr="00B41E49">
        <w:rPr>
          <w:rFonts w:asciiTheme="minorHAnsi" w:hAnsiTheme="minorHAnsi"/>
        </w:rPr>
        <w:t xml:space="preserve"> rais</w:t>
      </w:r>
      <w:r w:rsidRPr="00B41E49">
        <w:rPr>
          <w:rFonts w:asciiTheme="minorHAnsi" w:hAnsiTheme="minorHAnsi"/>
        </w:rPr>
        <w:t>ed</w:t>
      </w:r>
      <w:r w:rsidR="00091CF6" w:rsidRPr="00B41E49">
        <w:rPr>
          <w:rFonts w:asciiTheme="minorHAnsi" w:hAnsiTheme="minorHAnsi"/>
        </w:rPr>
        <w:t xml:space="preserve"> questions about the level of competition in the </w:t>
      </w:r>
      <w:r w:rsidR="00631272">
        <w:rPr>
          <w:rFonts w:asciiTheme="minorHAnsi" w:hAnsiTheme="minorHAnsi"/>
        </w:rPr>
        <w:t xml:space="preserve">financial </w:t>
      </w:r>
      <w:r w:rsidR="00523D27">
        <w:rPr>
          <w:rFonts w:asciiTheme="minorHAnsi" w:hAnsiTheme="minorHAnsi"/>
        </w:rPr>
        <w:t>market.</w:t>
      </w:r>
    </w:p>
    <w:p w14:paraId="410AD778" w14:textId="3F462339" w:rsidR="00B75194" w:rsidRPr="007D79DA" w:rsidRDefault="008C49DA" w:rsidP="00FE6924">
      <w:pPr>
        <w:pStyle w:val="Bullet"/>
      </w:pPr>
      <w:r>
        <w:t>Some b</w:t>
      </w:r>
      <w:r w:rsidR="00B75194" w:rsidRPr="007D79DA">
        <w:t xml:space="preserve">anks consulted reported that demand for credit from small business has been lower than expected, and noted that </w:t>
      </w:r>
      <w:r w:rsidR="009B6602" w:rsidRPr="007D79DA">
        <w:t xml:space="preserve">small </w:t>
      </w:r>
      <w:r w:rsidR="00B75194" w:rsidRPr="007D79DA">
        <w:t xml:space="preserve">business loans tend to </w:t>
      </w:r>
      <w:r w:rsidR="009B6602" w:rsidRPr="007D79DA">
        <w:t xml:space="preserve">be more expensive reflecting the </w:t>
      </w:r>
      <w:r w:rsidR="00B75194" w:rsidRPr="007D79DA">
        <w:t xml:space="preserve">higher </w:t>
      </w:r>
      <w:r w:rsidR="009B6602" w:rsidRPr="007D79DA">
        <w:t xml:space="preserve">level of </w:t>
      </w:r>
      <w:r w:rsidR="00523D27">
        <w:t>risk.</w:t>
      </w:r>
    </w:p>
    <w:p w14:paraId="0F6F36BF" w14:textId="62FBAB23" w:rsidR="00B75194" w:rsidRPr="007D79DA" w:rsidRDefault="00B75194" w:rsidP="00FE6924">
      <w:pPr>
        <w:pStyle w:val="Bullet"/>
      </w:pPr>
      <w:r w:rsidRPr="007D79DA">
        <w:t xml:space="preserve">Other </w:t>
      </w:r>
      <w:r w:rsidR="004E58C0" w:rsidRPr="007D79DA">
        <w:t xml:space="preserve">stakeholders </w:t>
      </w:r>
      <w:r w:rsidRPr="007D79DA">
        <w:t xml:space="preserve">saw bank margins and </w:t>
      </w:r>
      <w:r w:rsidR="00631272" w:rsidRPr="007D79DA">
        <w:t>r</w:t>
      </w:r>
      <w:r w:rsidR="008555E5" w:rsidRPr="007D79DA">
        <w:t xml:space="preserve">eturns on </w:t>
      </w:r>
      <w:r w:rsidR="00631272" w:rsidRPr="007D79DA">
        <w:t>e</w:t>
      </w:r>
      <w:r w:rsidR="008555E5" w:rsidRPr="007D79DA">
        <w:t>quity</w:t>
      </w:r>
      <w:r w:rsidRPr="007D79DA">
        <w:t xml:space="preserve"> </w:t>
      </w:r>
      <w:r w:rsidR="008C49DA">
        <w:t xml:space="preserve">(ROE) </w:t>
      </w:r>
      <w:r w:rsidRPr="007D79DA">
        <w:t>for small business lending as unusually high and potentially an impediment to financing this segment.</w:t>
      </w:r>
    </w:p>
    <w:p w14:paraId="50DFE0A6" w14:textId="2F66B595" w:rsidR="0050269A" w:rsidRPr="007D79DA" w:rsidRDefault="0050269A" w:rsidP="00FE6924">
      <w:pPr>
        <w:pStyle w:val="Bullet"/>
      </w:pPr>
      <w:r w:rsidRPr="007D79DA">
        <w:t>SME contacts raised questions about whether Australia’s macro-prudential settings are right and suggested that prudential requirements could be recalibrated to support business lending.</w:t>
      </w:r>
    </w:p>
    <w:p w14:paraId="43C43AA6" w14:textId="0B371EF2" w:rsidR="0050269A" w:rsidRPr="007D79DA" w:rsidRDefault="0050269A" w:rsidP="00FE6924">
      <w:pPr>
        <w:pStyle w:val="Bullet"/>
      </w:pPr>
      <w:r w:rsidRPr="007D79DA">
        <w:t xml:space="preserve">Some contacts raised concerns that the recent APRA changes and associated tightening of lending practices has amplified financing challenges for SMEs. A few described </w:t>
      </w:r>
      <w:r w:rsidR="00523D27">
        <w:t>this as a quasi</w:t>
      </w:r>
      <w:r w:rsidR="00523D27">
        <w:noBreakHyphen/>
        <w:t>credit squeeze.</w:t>
      </w:r>
    </w:p>
    <w:p w14:paraId="509681E7" w14:textId="6E34DD8E" w:rsidR="00091CF6" w:rsidRPr="00B41E49" w:rsidRDefault="00B75194" w:rsidP="001B3352">
      <w:pPr>
        <w:rPr>
          <w:rFonts w:asciiTheme="minorHAnsi" w:hAnsiTheme="minorHAnsi"/>
        </w:rPr>
      </w:pPr>
      <w:r w:rsidRPr="00B41E49">
        <w:rPr>
          <w:rFonts w:asciiTheme="minorHAnsi" w:hAnsiTheme="minorHAnsi"/>
        </w:rPr>
        <w:t xml:space="preserve">A </w:t>
      </w:r>
      <w:r w:rsidR="008C49DA">
        <w:rPr>
          <w:rFonts w:asciiTheme="minorHAnsi" w:hAnsiTheme="minorHAnsi"/>
        </w:rPr>
        <w:t>number of</w:t>
      </w:r>
      <w:r w:rsidRPr="00B41E49">
        <w:rPr>
          <w:rFonts w:asciiTheme="minorHAnsi" w:hAnsiTheme="minorHAnsi"/>
        </w:rPr>
        <w:t xml:space="preserve"> s</w:t>
      </w:r>
      <w:r w:rsidR="00091CF6" w:rsidRPr="00B41E49">
        <w:rPr>
          <w:rFonts w:asciiTheme="minorHAnsi" w:hAnsiTheme="minorHAnsi"/>
        </w:rPr>
        <w:t xml:space="preserve">takeholders commented that it is noteworthy that </w:t>
      </w:r>
      <w:r w:rsidR="000250F3" w:rsidRPr="00B41E49">
        <w:rPr>
          <w:rFonts w:asciiTheme="minorHAnsi" w:hAnsiTheme="minorHAnsi"/>
        </w:rPr>
        <w:t xml:space="preserve">the </w:t>
      </w:r>
      <w:r w:rsidR="00091CF6" w:rsidRPr="00B41E49">
        <w:rPr>
          <w:rFonts w:asciiTheme="minorHAnsi" w:hAnsiTheme="minorHAnsi"/>
        </w:rPr>
        <w:t>lowest interest rates on record have not encouraged more business investment</w:t>
      </w:r>
      <w:r w:rsidR="0026611E" w:rsidRPr="00B41E49">
        <w:rPr>
          <w:rFonts w:asciiTheme="minorHAnsi" w:hAnsiTheme="minorHAnsi"/>
        </w:rPr>
        <w:t xml:space="preserve">, </w:t>
      </w:r>
      <w:r w:rsidR="00091CF6" w:rsidRPr="00B41E49">
        <w:rPr>
          <w:rFonts w:asciiTheme="minorHAnsi" w:hAnsiTheme="minorHAnsi"/>
        </w:rPr>
        <w:t>point</w:t>
      </w:r>
      <w:r w:rsidR="0026611E" w:rsidRPr="00B41E49">
        <w:rPr>
          <w:rFonts w:asciiTheme="minorHAnsi" w:hAnsiTheme="minorHAnsi"/>
        </w:rPr>
        <w:t>ing</w:t>
      </w:r>
      <w:r w:rsidR="00091CF6" w:rsidRPr="00B41E49">
        <w:rPr>
          <w:rFonts w:asciiTheme="minorHAnsi" w:hAnsiTheme="minorHAnsi"/>
        </w:rPr>
        <w:t xml:space="preserve"> to how much capital has flowed into passive investment such as real estate rather than productive investment over the </w:t>
      </w:r>
      <w:r w:rsidR="00F742E3">
        <w:rPr>
          <w:rFonts w:asciiTheme="minorHAnsi" w:hAnsiTheme="minorHAnsi"/>
        </w:rPr>
        <w:t>p</w:t>
      </w:r>
      <w:r w:rsidR="00091CF6" w:rsidRPr="00B41E49">
        <w:rPr>
          <w:rFonts w:asciiTheme="minorHAnsi" w:hAnsiTheme="minorHAnsi"/>
        </w:rPr>
        <w:t>ast decade</w:t>
      </w:r>
      <w:r w:rsidR="008D0215" w:rsidRPr="00B41E49">
        <w:rPr>
          <w:rFonts w:asciiTheme="minorHAnsi" w:hAnsiTheme="minorHAnsi"/>
        </w:rPr>
        <w:t xml:space="preserve">. They </w:t>
      </w:r>
      <w:r w:rsidR="00091CF6" w:rsidRPr="00B41E49">
        <w:rPr>
          <w:rFonts w:asciiTheme="minorHAnsi" w:hAnsiTheme="minorHAnsi"/>
        </w:rPr>
        <w:t>asked if this is the best outcome for the country.</w:t>
      </w:r>
    </w:p>
    <w:p w14:paraId="1776AD4B" w14:textId="20416AEB" w:rsidR="00344D84" w:rsidRPr="007D79DA" w:rsidRDefault="00344D84" w:rsidP="00E7059A">
      <w:pPr>
        <w:pStyle w:val="Bullet"/>
        <w:spacing w:after="210"/>
      </w:pPr>
      <w:r w:rsidRPr="007D79DA">
        <w:t>One contact commented that lending for business is as strong as it has ever been. Australians are investing in residential property, not business. Confidence wi</w:t>
      </w:r>
      <w:r w:rsidR="00523D27">
        <w:t>ll fall when house prices fall.</w:t>
      </w:r>
    </w:p>
    <w:p w14:paraId="2173BEC0" w14:textId="17632ABA" w:rsidR="00344D84" w:rsidRPr="007D79DA" w:rsidRDefault="00344D84" w:rsidP="00E7059A">
      <w:pPr>
        <w:pStyle w:val="Bullet"/>
        <w:spacing w:after="210"/>
      </w:pPr>
      <w:r w:rsidRPr="007D79DA">
        <w:t>Another commented that there is little incentive to diversify investments because the returns in commercial property are superior and it’s much easier than running a business in other sectors given all of the regulation and costs associated with employees.</w:t>
      </w:r>
    </w:p>
    <w:p w14:paraId="79B02C52" w14:textId="1BC40A8F" w:rsidR="00B75194" w:rsidRDefault="00F94E16" w:rsidP="00E7059A">
      <w:pPr>
        <w:spacing w:after="210"/>
        <w:rPr>
          <w:rFonts w:asciiTheme="minorHAnsi" w:hAnsiTheme="minorHAnsi"/>
        </w:rPr>
      </w:pPr>
      <w:r w:rsidRPr="00B41E49">
        <w:rPr>
          <w:rFonts w:asciiTheme="minorHAnsi" w:hAnsiTheme="minorHAnsi"/>
        </w:rPr>
        <w:t>Some SMEs considered that overall</w:t>
      </w:r>
      <w:r w:rsidR="008555E5" w:rsidRPr="00B41E49">
        <w:rPr>
          <w:rFonts w:asciiTheme="minorHAnsi" w:hAnsiTheme="minorHAnsi"/>
        </w:rPr>
        <w:t>,</w:t>
      </w:r>
      <w:r w:rsidRPr="00B41E49">
        <w:rPr>
          <w:rFonts w:asciiTheme="minorHAnsi" w:hAnsiTheme="minorHAnsi"/>
        </w:rPr>
        <w:t xml:space="preserve"> these financing problems point to</w:t>
      </w:r>
      <w:r w:rsidR="00B75194" w:rsidRPr="00B41E49">
        <w:rPr>
          <w:rFonts w:asciiTheme="minorHAnsi" w:hAnsiTheme="minorHAnsi"/>
        </w:rPr>
        <w:t xml:space="preserve"> a market failure. It was suggested governments could bridge the gap through a loan assistance scheme at commercial rates. However it was noted </w:t>
      </w:r>
      <w:r w:rsidR="008555E5" w:rsidRPr="00B41E49">
        <w:rPr>
          <w:rFonts w:asciiTheme="minorHAnsi" w:hAnsiTheme="minorHAnsi"/>
        </w:rPr>
        <w:t xml:space="preserve">that </w:t>
      </w:r>
      <w:r w:rsidR="00C31475">
        <w:rPr>
          <w:rFonts w:asciiTheme="minorHAnsi" w:hAnsiTheme="minorHAnsi"/>
        </w:rPr>
        <w:t>one existing</w:t>
      </w:r>
      <w:r w:rsidR="008555E5" w:rsidRPr="00B41E49">
        <w:rPr>
          <w:rFonts w:asciiTheme="minorHAnsi" w:hAnsiTheme="minorHAnsi"/>
        </w:rPr>
        <w:t xml:space="preserve"> S</w:t>
      </w:r>
      <w:r w:rsidR="00B75194" w:rsidRPr="00B41E49">
        <w:rPr>
          <w:rFonts w:asciiTheme="minorHAnsi" w:hAnsiTheme="minorHAnsi"/>
        </w:rPr>
        <w:t xml:space="preserve">tate </w:t>
      </w:r>
      <w:r w:rsidR="00203FF1">
        <w:rPr>
          <w:rFonts w:asciiTheme="minorHAnsi" w:hAnsiTheme="minorHAnsi"/>
        </w:rPr>
        <w:t>loan guarantee arrangement</w:t>
      </w:r>
      <w:r w:rsidR="00B75194" w:rsidRPr="00B41E49">
        <w:rPr>
          <w:rFonts w:asciiTheme="minorHAnsi" w:hAnsiTheme="minorHAnsi"/>
        </w:rPr>
        <w:t xml:space="preserve"> has had </w:t>
      </w:r>
      <w:r w:rsidR="00C31475">
        <w:rPr>
          <w:rFonts w:asciiTheme="minorHAnsi" w:hAnsiTheme="minorHAnsi"/>
        </w:rPr>
        <w:t>very limited</w:t>
      </w:r>
      <w:r w:rsidR="00B75194" w:rsidRPr="00B41E49">
        <w:rPr>
          <w:rFonts w:asciiTheme="minorHAnsi" w:hAnsiTheme="minorHAnsi"/>
        </w:rPr>
        <w:t xml:space="preserve"> uptake to date.</w:t>
      </w:r>
    </w:p>
    <w:p w14:paraId="76A1391A" w14:textId="4FFD6F54" w:rsidR="00B75194" w:rsidRPr="007D79DA" w:rsidRDefault="00B75194" w:rsidP="00E7059A">
      <w:pPr>
        <w:pStyle w:val="Bullet"/>
        <w:spacing w:after="210"/>
      </w:pPr>
      <w:r w:rsidRPr="007D79DA">
        <w:t>Stakeholders suggested that any such guarantee schemes need to be well-designed in order to present a good deal to SMEs relative to other market options such as peer-to-peer lending (which is expensive) and using the family home as security for an ordinary loan</w:t>
      </w:r>
      <w:r w:rsidR="00523D27">
        <w:t xml:space="preserve"> (which attracts better rates).</w:t>
      </w:r>
    </w:p>
    <w:p w14:paraId="522FF304" w14:textId="77777777" w:rsidR="00BC4E15" w:rsidRPr="00F91AE1" w:rsidRDefault="00BC4E15" w:rsidP="00E7059A">
      <w:pPr>
        <w:pStyle w:val="Heading2"/>
        <w:spacing w:before="300" w:after="200"/>
      </w:pPr>
      <w:bookmarkStart w:id="164" w:name="_Toc491168320"/>
      <w:bookmarkStart w:id="165" w:name="_Toc491704031"/>
      <w:bookmarkStart w:id="166" w:name="_Toc491705747"/>
      <w:bookmarkStart w:id="167" w:name="_Toc492465365"/>
      <w:bookmarkStart w:id="168" w:name="_Toc492571386"/>
      <w:bookmarkStart w:id="169" w:name="_Toc492902192"/>
      <w:bookmarkStart w:id="170" w:name="_Toc496095487"/>
      <w:bookmarkStart w:id="171" w:name="_Toc496097061"/>
      <w:bookmarkStart w:id="172" w:name="_Toc490218365"/>
      <w:bookmarkStart w:id="173" w:name="_Toc490237239"/>
      <w:bookmarkStart w:id="174" w:name="_Toc490745048"/>
      <w:bookmarkStart w:id="175" w:name="_Toc491081813"/>
      <w:bookmarkStart w:id="176" w:name="_Toc491108207"/>
      <w:bookmarkStart w:id="177" w:name="_Toc491168325"/>
      <w:bookmarkStart w:id="178" w:name="_Toc491704036"/>
      <w:bookmarkStart w:id="179" w:name="_Toc491705752"/>
      <w:bookmarkStart w:id="180" w:name="_Toc492465370"/>
      <w:bookmarkStart w:id="181" w:name="_Toc492571391"/>
      <w:r w:rsidRPr="003F59BF">
        <w:t>Energy</w:t>
      </w:r>
      <w:bookmarkEnd w:id="164"/>
      <w:bookmarkEnd w:id="165"/>
      <w:bookmarkEnd w:id="166"/>
      <w:bookmarkEnd w:id="167"/>
      <w:bookmarkEnd w:id="168"/>
      <w:bookmarkEnd w:id="169"/>
      <w:bookmarkEnd w:id="170"/>
      <w:bookmarkEnd w:id="171"/>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BC4E15" w:rsidRPr="008F2DDF" w14:paraId="01F095EB" w14:textId="77777777" w:rsidTr="00857D2C">
        <w:trPr>
          <w:trHeight w:val="395"/>
        </w:trPr>
        <w:tc>
          <w:tcPr>
            <w:tcW w:w="567" w:type="dxa"/>
            <w:shd w:val="clear" w:color="auto" w:fill="78BAE2"/>
          </w:tcPr>
          <w:p w14:paraId="148AD38C" w14:textId="77777777" w:rsidR="00BC4E15" w:rsidRPr="00B4036F" w:rsidRDefault="00BC4E15" w:rsidP="00857D2C">
            <w:pPr>
              <w:pStyle w:val="BoxHeading-CaseStudy"/>
            </w:pPr>
          </w:p>
        </w:tc>
        <w:tc>
          <w:tcPr>
            <w:tcW w:w="8505" w:type="dxa"/>
            <w:shd w:val="clear" w:color="auto" w:fill="EAEAEA"/>
            <w:tcMar>
              <w:right w:w="227" w:type="dxa"/>
            </w:tcMar>
          </w:tcPr>
          <w:p w14:paraId="2CE25556" w14:textId="77777777" w:rsidR="00BC4E15" w:rsidRPr="008F2DDF" w:rsidRDefault="00BC4E15" w:rsidP="00857D2C">
            <w:pPr>
              <w:pStyle w:val="BoxHeading-CaseStudy"/>
            </w:pPr>
            <w:r>
              <w:t>Key Points</w:t>
            </w:r>
          </w:p>
        </w:tc>
      </w:tr>
      <w:tr w:rsidR="00BC4E15" w:rsidRPr="009701F4" w14:paraId="4978ECD8" w14:textId="77777777" w:rsidTr="00857D2C">
        <w:trPr>
          <w:trHeight w:val="430"/>
        </w:trPr>
        <w:tc>
          <w:tcPr>
            <w:tcW w:w="567" w:type="dxa"/>
            <w:shd w:val="clear" w:color="auto" w:fill="D0F4FF" w:themeFill="text1" w:themeFillTint="1A"/>
          </w:tcPr>
          <w:p w14:paraId="05B40B67" w14:textId="77777777" w:rsidR="00BC4E15" w:rsidRPr="009B0F88" w:rsidRDefault="00BC4E15" w:rsidP="009F5E11">
            <w:pPr>
              <w:pStyle w:val="BoxText"/>
            </w:pPr>
          </w:p>
        </w:tc>
        <w:tc>
          <w:tcPr>
            <w:tcW w:w="8505" w:type="dxa"/>
            <w:shd w:val="clear" w:color="auto" w:fill="EAEAEA"/>
            <w:tcMar>
              <w:right w:w="227" w:type="dxa"/>
            </w:tcMar>
          </w:tcPr>
          <w:p w14:paraId="67261648" w14:textId="77777777" w:rsidR="00BC4E15" w:rsidRDefault="00BC4E15" w:rsidP="009F5E11">
            <w:pPr>
              <w:pStyle w:val="BoxText"/>
            </w:pPr>
            <w:r>
              <w:t xml:space="preserve">Affordable and reliable energy </w:t>
            </w:r>
            <w:r w:rsidRPr="00011506">
              <w:t xml:space="preserve">is crucial </w:t>
            </w:r>
            <w:r>
              <w:t xml:space="preserve">for </w:t>
            </w:r>
            <w:r w:rsidRPr="00011506">
              <w:t xml:space="preserve">investment </w:t>
            </w:r>
            <w:r>
              <w:t xml:space="preserve">decisions </w:t>
            </w:r>
            <w:r w:rsidRPr="00011506">
              <w:t>by small and large businesses across Australia.</w:t>
            </w:r>
          </w:p>
          <w:p w14:paraId="3B31AAE8" w14:textId="3CD82C87" w:rsidR="00BC4E15" w:rsidRPr="00011506" w:rsidRDefault="00BC4E15" w:rsidP="009F5E11">
            <w:pPr>
              <w:pStyle w:val="BoxText"/>
            </w:pPr>
            <w:r>
              <w:t>S</w:t>
            </w:r>
            <w:r w:rsidRPr="00011506">
              <w:t xml:space="preserve">ignals for new </w:t>
            </w:r>
            <w:r>
              <w:t xml:space="preserve">long-term generation </w:t>
            </w:r>
            <w:r w:rsidRPr="00011506">
              <w:t xml:space="preserve">investments require a nationally agreed and </w:t>
            </w:r>
            <w:r>
              <w:t>widely supported policy framework</w:t>
            </w:r>
            <w:r w:rsidR="00523D27">
              <w:t>.</w:t>
            </w:r>
          </w:p>
          <w:p w14:paraId="7B7667E9" w14:textId="0F59372F" w:rsidR="00BC4E15" w:rsidRDefault="00BC4E15" w:rsidP="009F5E11">
            <w:pPr>
              <w:pStyle w:val="BoxText"/>
            </w:pPr>
            <w:r w:rsidRPr="00026589">
              <w:t xml:space="preserve">The recent increase in gas and electricity prices, and the continued uncertainty around their outlook, requires concerted effort by State and Commonwealth </w:t>
            </w:r>
            <w:r w:rsidR="00E41078">
              <w:t>G</w:t>
            </w:r>
            <w:r w:rsidRPr="00026589">
              <w:t>overnments to deliver the reforms required for a reliable, affordable</w:t>
            </w:r>
            <w:r w:rsidR="00523D27">
              <w:t xml:space="preserve"> and sustainable energy market.</w:t>
            </w:r>
          </w:p>
          <w:p w14:paraId="087D497D" w14:textId="77777777" w:rsidR="00BC4E15" w:rsidRPr="009701F4" w:rsidRDefault="00BC4E15" w:rsidP="009F5E11">
            <w:pPr>
              <w:pStyle w:val="BoxText"/>
            </w:pPr>
            <w:r w:rsidRPr="00026589">
              <w:t xml:space="preserve">The rapid implementation of recommendations on energy security and the gas supply strategy from Dr Alan Finkel’s </w:t>
            </w:r>
            <w:r w:rsidRPr="00E41078">
              <w:t>Independent Review into the Future Security of the National Electricity Market</w:t>
            </w:r>
            <w:r w:rsidRPr="00026589">
              <w:t xml:space="preserve"> should remain a matter of priority.</w:t>
            </w:r>
          </w:p>
        </w:tc>
      </w:tr>
    </w:tbl>
    <w:p w14:paraId="3F22E94B" w14:textId="77777777" w:rsidR="00BC4E15" w:rsidRDefault="00BC4E15" w:rsidP="009F5E11">
      <w:pPr>
        <w:pStyle w:val="SingleParagraph"/>
      </w:pPr>
    </w:p>
    <w:p w14:paraId="395CBF62" w14:textId="3BA14E6B" w:rsidR="00BC4E15" w:rsidRDefault="00BC4E15" w:rsidP="00E7059A">
      <w:pPr>
        <w:spacing w:after="210"/>
      </w:pPr>
      <w:r w:rsidRPr="00011506">
        <w:t xml:space="preserve">The </w:t>
      </w:r>
      <w:r>
        <w:t xml:space="preserve">energy sector was regularly raised by all groups consulted as an </w:t>
      </w:r>
      <w:r w:rsidRPr="00011506">
        <w:t xml:space="preserve">example </w:t>
      </w:r>
      <w:r>
        <w:t xml:space="preserve">where </w:t>
      </w:r>
      <w:r w:rsidRPr="00011506">
        <w:t>appropriate regulatory and policy settings</w:t>
      </w:r>
      <w:r>
        <w:t xml:space="preserve"> were vital for investment decisions. It was noted that many of the factors currently impacting negatively in t</w:t>
      </w:r>
      <w:r w:rsidRPr="00011506">
        <w:t xml:space="preserve">he Australian energy market </w:t>
      </w:r>
      <w:r>
        <w:t xml:space="preserve">were the result of </w:t>
      </w:r>
      <w:r w:rsidRPr="00011506">
        <w:t>inadequate policy and regulatory settings</w:t>
      </w:r>
      <w:r>
        <w:t xml:space="preserve"> that had</w:t>
      </w:r>
      <w:r w:rsidRPr="00011506">
        <w:t xml:space="preserve"> been slow to adapt to </w:t>
      </w:r>
      <w:r>
        <w:t>shifting circumstances. While many factors were outside of government’s hands, such as the international price of new technology, it was possible for governments at all levels to provide greater policy certainty</w:t>
      </w:r>
      <w:r w:rsidR="007B5524">
        <w:t>.</w:t>
      </w:r>
    </w:p>
    <w:p w14:paraId="3626E3FA" w14:textId="5D77542E" w:rsidR="00BC4E15" w:rsidRPr="007B5524" w:rsidRDefault="00BC4E15" w:rsidP="00E7059A">
      <w:pPr>
        <w:pStyle w:val="Bullet"/>
        <w:spacing w:after="210"/>
      </w:pPr>
      <w:r w:rsidRPr="007B5524">
        <w:t>One industry contact articulated that the current regulatory settings were designed for an electricity market of the past. The market was previously about base load, intermediate and peak, but we have moved towards intermittent re</w:t>
      </w:r>
      <w:r w:rsidR="007B5524" w:rsidRPr="007B5524">
        <w:t>newables and distributed power.</w:t>
      </w:r>
    </w:p>
    <w:p w14:paraId="6D8ECC38" w14:textId="778251E3" w:rsidR="009F5E11" w:rsidRPr="007B5524" w:rsidRDefault="00BC4E15" w:rsidP="00E7059A">
      <w:pPr>
        <w:pStyle w:val="Bullet"/>
        <w:spacing w:after="0"/>
      </w:pPr>
      <w:r w:rsidRPr="007B5524">
        <w:t>Another commented that energy had not been on the radar whil</w:t>
      </w:r>
      <w:r w:rsidR="009D7F7E" w:rsidRPr="007B5524">
        <w:t xml:space="preserve">e everything was working fine. </w:t>
      </w:r>
      <w:r w:rsidRPr="007B5524">
        <w:t>However now the Australian economy is in a somewhat precarious position, and given the transition time required for investments in the sector, now is the time for politicians across the federation to come together to suppo</w:t>
      </w:r>
      <w:r w:rsidR="007B5524" w:rsidRPr="007B5524">
        <w:t>rt a long-term policy solution.</w:t>
      </w:r>
    </w:p>
    <w:p w14:paraId="072DE0F5" w14:textId="7D72B636" w:rsidR="00BC4E15" w:rsidRPr="00011506" w:rsidRDefault="003B3807" w:rsidP="00E7059A">
      <w:r>
        <w:rPr>
          <w:noProof/>
          <w:lang w:eastAsia="en-AU"/>
        </w:rPr>
        <w:drawing>
          <wp:anchor distT="0" distB="0" distL="114300" distR="114300" simplePos="0" relativeHeight="251666944" behindDoc="0" locked="0" layoutInCell="1" allowOverlap="1" wp14:anchorId="2A460EA9" wp14:editId="3DEE028C">
            <wp:simplePos x="0" y="0"/>
            <wp:positionH relativeFrom="column">
              <wp:posOffset>3683635</wp:posOffset>
            </wp:positionH>
            <wp:positionV relativeFrom="paragraph">
              <wp:posOffset>18415</wp:posOffset>
            </wp:positionV>
            <wp:extent cx="2051685" cy="863600"/>
            <wp:effectExtent l="0" t="0" r="5715" b="0"/>
            <wp:wrapSquare wrapText="bothSides"/>
            <wp:docPr id="300" name="Pictur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Z:\2017\Reports and Reviews\Intergovernmental Review of Business Investment\pullQuote-23.pn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807" r="1211"/>
                    <a:stretch/>
                  </pic:blipFill>
                  <pic:spPr bwMode="auto">
                    <a:xfrm>
                      <a:off x="0" y="0"/>
                      <a:ext cx="2051685"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4E15" w:rsidRPr="00011506">
        <w:t xml:space="preserve">Stakeholders were unanimous in their views that strong signals for new investments require a nationally agreed emissions reduction trajectory and long-term predictability of a mechanism to reduce emissions. Investments in the electricity sector are capital intensive and have long asset lives. The absence of a clear emissions reduction trajectory or a durable mechanism to guide the next wave of generation investment after the Renewable Energy Target closes in 2020 has resulted in significant uncertainty for electricity generation investment, which is stalling investment and putting upward </w:t>
      </w:r>
      <w:r w:rsidR="00523D27">
        <w:t>pressure on electricity prices.</w:t>
      </w:r>
    </w:p>
    <w:p w14:paraId="061BBAE6" w14:textId="6ED476BB" w:rsidR="00BC4E15" w:rsidRPr="00011506" w:rsidRDefault="00BC4E15" w:rsidP="00BC4E15">
      <w:pPr>
        <w:rPr>
          <w:rFonts w:asciiTheme="minorHAnsi" w:hAnsiTheme="minorHAnsi"/>
        </w:rPr>
      </w:pPr>
      <w:r w:rsidRPr="00011506">
        <w:rPr>
          <w:rFonts w:asciiTheme="minorHAnsi" w:hAnsiTheme="minorHAnsi"/>
        </w:rPr>
        <w:t>Stakeholders strongly emphasized that the urgent implementation of the recommendations made by Dr Alan Finkel’s Independent Review into the Future Security of the National Electricity Market (NEM) 2017 (Finkel Blueprint) is crucial to addressing investment uncertainty and delivering market rules that continue to deliver secure, reliable and affordable power. Stakeholders were of the view that the implementation of the Finkel Blueprint h</w:t>
      </w:r>
      <w:r>
        <w:rPr>
          <w:rFonts w:asciiTheme="minorHAnsi" w:hAnsiTheme="minorHAnsi"/>
        </w:rPr>
        <w:t>as to be durable to changes in g</w:t>
      </w:r>
      <w:r w:rsidRPr="00011506">
        <w:rPr>
          <w:rFonts w:asciiTheme="minorHAnsi" w:hAnsiTheme="minorHAnsi"/>
        </w:rPr>
        <w:t xml:space="preserve">overnment and must be coordinated at the national level to secure the support of all State and Territory </w:t>
      </w:r>
      <w:r w:rsidR="0099102A">
        <w:rPr>
          <w:rFonts w:asciiTheme="minorHAnsi" w:hAnsiTheme="minorHAnsi"/>
        </w:rPr>
        <w:t>G</w:t>
      </w:r>
      <w:r w:rsidRPr="00011506">
        <w:rPr>
          <w:rFonts w:asciiTheme="minorHAnsi" w:hAnsiTheme="minorHAnsi"/>
        </w:rPr>
        <w:t>overnments.</w:t>
      </w:r>
    </w:p>
    <w:p w14:paraId="70DDBD41" w14:textId="1A80200A" w:rsidR="00BC4E15" w:rsidRPr="007D79DA" w:rsidRDefault="00BC4E15" w:rsidP="00FE6924">
      <w:pPr>
        <w:pStyle w:val="Bullet"/>
      </w:pPr>
      <w:r w:rsidRPr="007D79DA">
        <w:t>Businesses noted that high electricity prices and concerns around reliability increasingly presented a barrier to future investments, and the perception of Australia as a favourable destina</w:t>
      </w:r>
      <w:r w:rsidR="00523D27">
        <w:t>tion for international capital.</w:t>
      </w:r>
    </w:p>
    <w:p w14:paraId="05B24D32" w14:textId="67A8547C" w:rsidR="00BC4E15" w:rsidRPr="007D79DA" w:rsidRDefault="00BC4E15" w:rsidP="00FE6924">
      <w:pPr>
        <w:pStyle w:val="Bullet"/>
      </w:pPr>
      <w:r w:rsidRPr="007D79DA">
        <w:t xml:space="preserve">A large number of </w:t>
      </w:r>
      <w:r w:rsidR="004635C6">
        <w:t>contacts</w:t>
      </w:r>
      <w:r w:rsidRPr="007D79DA">
        <w:t xml:space="preserve"> raised concerns about higher energy prices forcing businesses to “get by on really skinny margins” and threatening th</w:t>
      </w:r>
      <w:r w:rsidR="00523D27">
        <w:t>e viability of some businesses.</w:t>
      </w:r>
    </w:p>
    <w:p w14:paraId="24481DE7" w14:textId="2452F389" w:rsidR="00BC4E15" w:rsidRPr="007D79DA" w:rsidRDefault="004635C6" w:rsidP="00FE6924">
      <w:pPr>
        <w:pStyle w:val="Bullet"/>
      </w:pPr>
      <w:r>
        <w:t>Companies</w:t>
      </w:r>
      <w:r w:rsidR="00BC4E15" w:rsidRPr="007D79DA">
        <w:t xml:space="preserve"> were concerned about the impact of high and rising electricity prices on consumer confidence and affecting demand for goods and services more broadly. One contact noted that “the rubber is still yet to hit the road”– as we are yet to actually f</w:t>
      </w:r>
      <w:r w:rsidR="00523D27">
        <w:t>eel the impact of higher bills.</w:t>
      </w:r>
    </w:p>
    <w:p w14:paraId="7DAFFD3B" w14:textId="0150D884" w:rsidR="007D79DA" w:rsidRDefault="00BC4E15" w:rsidP="00FE6924">
      <w:pPr>
        <w:pStyle w:val="Bullet"/>
      </w:pPr>
      <w:r w:rsidRPr="007D79DA">
        <w:t>One contact commented that, if we were to unpack and extrapolate the underlying energy costs, we would find we are moving to a situation where fewer customers will be paying for the network assets, which will increase the cost of electricity for those who can least afford it and cannot afford to install their own generation or storage. It would be a regressive eco</w:t>
      </w:r>
      <w:r w:rsidR="00523D27">
        <w:t>nomic outcome.</w:t>
      </w:r>
    </w:p>
    <w:p w14:paraId="6D51DAA0" w14:textId="03762FC6" w:rsidR="00BC4E15" w:rsidRPr="00FD6475" w:rsidRDefault="00BE56BC" w:rsidP="008E3390">
      <w:r>
        <w:rPr>
          <w:rFonts w:asciiTheme="minorHAnsi" w:hAnsiTheme="minorHAnsi"/>
          <w:noProof/>
          <w:lang w:eastAsia="en-AU"/>
        </w:rPr>
        <w:drawing>
          <wp:anchor distT="0" distB="0" distL="114300" distR="114300" simplePos="0" relativeHeight="251667968" behindDoc="0" locked="0" layoutInCell="1" allowOverlap="1" wp14:anchorId="74A11081" wp14:editId="66C691AB">
            <wp:simplePos x="0" y="0"/>
            <wp:positionH relativeFrom="column">
              <wp:posOffset>-24765</wp:posOffset>
            </wp:positionH>
            <wp:positionV relativeFrom="paragraph">
              <wp:posOffset>29210</wp:posOffset>
            </wp:positionV>
            <wp:extent cx="2159635" cy="827405"/>
            <wp:effectExtent l="0" t="0" r="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Z:\2017\Reports and Reviews\Intergovernmental Review of Business Investment\pullQuote-24.pn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429" r="1"/>
                    <a:stretch/>
                  </pic:blipFill>
                  <pic:spPr bwMode="auto">
                    <a:xfrm>
                      <a:off x="0" y="0"/>
                      <a:ext cx="215963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4E15" w:rsidRPr="00822539">
        <w:t xml:space="preserve">Stakeholders understood that artificially </w:t>
      </w:r>
      <w:r w:rsidR="00BC4E15" w:rsidRPr="002C0463">
        <w:t>increasing generation supply will not be the solution to lower prices in the medium</w:t>
      </w:r>
      <w:r w:rsidR="0087244E">
        <w:noBreakHyphen/>
      </w:r>
      <w:r w:rsidR="00BC4E15" w:rsidRPr="002C0463">
        <w:t>term and could have long-lived negative consequences.</w:t>
      </w:r>
      <w:r w:rsidR="00BC4E15">
        <w:t xml:space="preserve"> There were references to the system in place prior to the forming of the NEM</w:t>
      </w:r>
      <w:r w:rsidR="007B5524">
        <w:t xml:space="preserve"> </w:t>
      </w:r>
      <w:r w:rsidR="00BC4E15">
        <w:t xml:space="preserve">not being favourable. Businesses commented that many of the ideas floated as quick fix supply solutions do not stack up. Businesses expressed concern about what are considered to be unhelpful and/or unwarranted government </w:t>
      </w:r>
      <w:r w:rsidR="00BC4E15" w:rsidRPr="00385DAC">
        <w:t>interventions</w:t>
      </w:r>
      <w:r w:rsidR="00BC4E15" w:rsidRPr="00FD6475">
        <w:t xml:space="preserve"> </w:t>
      </w:r>
      <w:r w:rsidR="00BC4E15">
        <w:t xml:space="preserve">in the </w:t>
      </w:r>
      <w:r w:rsidR="00BC4E15" w:rsidRPr="00385DAC">
        <w:t>market</w:t>
      </w:r>
      <w:r w:rsidR="00BC4E15">
        <w:t xml:space="preserve">. Specifically, concerns were raised about the Commonwealth Government’s </w:t>
      </w:r>
      <w:r w:rsidR="00BC4E15" w:rsidRPr="00A677BE">
        <w:t>Domestic Gas Security Mechanism</w:t>
      </w:r>
      <w:r w:rsidR="00BC4E15">
        <w:t xml:space="preserve"> and State</w:t>
      </w:r>
      <w:r w:rsidR="00BC4E15" w:rsidRPr="00385DAC">
        <w:t xml:space="preserve"> </w:t>
      </w:r>
      <w:r w:rsidR="00BC4E15">
        <w:t>gas exploration and extraction moratoriums.</w:t>
      </w:r>
    </w:p>
    <w:p w14:paraId="5D48C2BD" w14:textId="77777777" w:rsidR="008E3390" w:rsidRDefault="008E3390">
      <w:pPr>
        <w:spacing w:after="200" w:line="276" w:lineRule="auto"/>
        <w:jc w:val="left"/>
        <w:rPr>
          <w:rFonts w:asciiTheme="minorHAnsi" w:hAnsiTheme="minorHAnsi"/>
        </w:rPr>
      </w:pPr>
      <w:r>
        <w:rPr>
          <w:rFonts w:asciiTheme="minorHAnsi" w:hAnsiTheme="minorHAnsi"/>
        </w:rPr>
        <w:br w:type="page"/>
      </w:r>
    </w:p>
    <w:p w14:paraId="783D2834" w14:textId="78653254" w:rsidR="00BC4E15" w:rsidRDefault="00BC4E15" w:rsidP="008E3390">
      <w:pPr>
        <w:rPr>
          <w:rFonts w:asciiTheme="minorHAnsi" w:hAnsiTheme="minorHAnsi"/>
        </w:rPr>
      </w:pPr>
      <w:r w:rsidRPr="00011506">
        <w:rPr>
          <w:rFonts w:asciiTheme="minorHAnsi" w:hAnsiTheme="minorHAnsi"/>
        </w:rPr>
        <w:t>Energy consumers in Western Australia</w:t>
      </w:r>
      <w:r>
        <w:rPr>
          <w:rFonts w:asciiTheme="minorHAnsi" w:hAnsiTheme="minorHAnsi"/>
        </w:rPr>
        <w:t xml:space="preserve"> raised concerns about high electricity</w:t>
      </w:r>
      <w:r w:rsidRPr="00011506">
        <w:rPr>
          <w:rFonts w:asciiTheme="minorHAnsi" w:hAnsiTheme="minorHAnsi"/>
        </w:rPr>
        <w:t xml:space="preserve"> costs but, unlike the NEM this is attributed to significant generation overcapacity associated with the capacity mechanism in the</w:t>
      </w:r>
      <w:r>
        <w:rPr>
          <w:rFonts w:asciiTheme="minorHAnsi" w:hAnsiTheme="minorHAnsi"/>
        </w:rPr>
        <w:t>ir</w:t>
      </w:r>
      <w:r w:rsidRPr="00011506">
        <w:rPr>
          <w:rFonts w:asciiTheme="minorHAnsi" w:hAnsiTheme="minorHAnsi"/>
        </w:rPr>
        <w:t xml:space="preserve"> Wholesale Electricity Market (WEM)</w:t>
      </w:r>
      <w:r>
        <w:rPr>
          <w:rFonts w:asciiTheme="minorHAnsi" w:hAnsiTheme="minorHAnsi"/>
        </w:rPr>
        <w:t>. The WEM</w:t>
      </w:r>
      <w:r w:rsidRPr="00011506">
        <w:rPr>
          <w:rFonts w:asciiTheme="minorHAnsi" w:hAnsiTheme="minorHAnsi"/>
        </w:rPr>
        <w:t xml:space="preserve"> is currently transitioning to a rules framework that will require new generators to pay for their guaranteed use of network capacity, even when the network is congested. Stakeholders raised a concern that this change may make further investment in generation unviable. Some stakeholders in Western Australia noted that the Finkel </w:t>
      </w:r>
      <w:r w:rsidR="0056387A">
        <w:rPr>
          <w:rFonts w:asciiTheme="minorHAnsi" w:hAnsiTheme="minorHAnsi"/>
        </w:rPr>
        <w:t>Blueprint</w:t>
      </w:r>
      <w:r w:rsidRPr="00011506">
        <w:rPr>
          <w:rFonts w:asciiTheme="minorHAnsi" w:hAnsiTheme="minorHAnsi"/>
        </w:rPr>
        <w:t xml:space="preserve"> did not take into account the specific issues facing the WEM and remote grids in the </w:t>
      </w:r>
      <w:r>
        <w:rPr>
          <w:rFonts w:asciiTheme="minorHAnsi" w:hAnsiTheme="minorHAnsi"/>
        </w:rPr>
        <w:t>S</w:t>
      </w:r>
      <w:r w:rsidR="00523D27">
        <w:rPr>
          <w:rFonts w:asciiTheme="minorHAnsi" w:hAnsiTheme="minorHAnsi"/>
        </w:rPr>
        <w:t>tate’s north.</w:t>
      </w:r>
    </w:p>
    <w:p w14:paraId="6EC325C4" w14:textId="7AD6B995" w:rsidR="00091CF6" w:rsidRDefault="00091CF6" w:rsidP="001B3352">
      <w:pPr>
        <w:pStyle w:val="Heading2"/>
      </w:pPr>
      <w:bookmarkStart w:id="182" w:name="_Toc492902193"/>
      <w:bookmarkStart w:id="183" w:name="_Toc496095488"/>
      <w:bookmarkStart w:id="184" w:name="_Toc496097062"/>
      <w:r>
        <w:t>Taxation</w:t>
      </w:r>
      <w:bookmarkEnd w:id="172"/>
      <w:bookmarkEnd w:id="173"/>
      <w:bookmarkEnd w:id="174"/>
      <w:bookmarkEnd w:id="175"/>
      <w:bookmarkEnd w:id="176"/>
      <w:bookmarkEnd w:id="177"/>
      <w:bookmarkEnd w:id="178"/>
      <w:bookmarkEnd w:id="179"/>
      <w:bookmarkEnd w:id="180"/>
      <w:bookmarkEnd w:id="181"/>
      <w:bookmarkEnd w:id="182"/>
      <w:bookmarkEnd w:id="183"/>
      <w:bookmarkEnd w:id="184"/>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6C78F1" w:rsidRPr="008F2DDF" w14:paraId="64D9D1FA" w14:textId="77777777" w:rsidTr="006C78F1">
        <w:trPr>
          <w:trHeight w:val="395"/>
        </w:trPr>
        <w:tc>
          <w:tcPr>
            <w:tcW w:w="567" w:type="dxa"/>
            <w:shd w:val="clear" w:color="auto" w:fill="78BAE2"/>
          </w:tcPr>
          <w:p w14:paraId="66C3158D" w14:textId="77777777" w:rsidR="006C78F1" w:rsidRPr="00B4036F" w:rsidRDefault="006C78F1" w:rsidP="001B3352">
            <w:pPr>
              <w:pStyle w:val="BoxHeading-CaseStudy"/>
            </w:pPr>
          </w:p>
        </w:tc>
        <w:tc>
          <w:tcPr>
            <w:tcW w:w="8505" w:type="dxa"/>
            <w:shd w:val="clear" w:color="auto" w:fill="EAEAEA"/>
            <w:tcMar>
              <w:right w:w="227" w:type="dxa"/>
            </w:tcMar>
          </w:tcPr>
          <w:p w14:paraId="651EACD8" w14:textId="77777777" w:rsidR="006C78F1" w:rsidRPr="008F2DDF" w:rsidRDefault="006C78F1" w:rsidP="001B3352">
            <w:pPr>
              <w:pStyle w:val="BoxHeading-CaseStudy"/>
            </w:pPr>
            <w:r>
              <w:t>Key Points</w:t>
            </w:r>
          </w:p>
        </w:tc>
      </w:tr>
      <w:tr w:rsidR="006C78F1" w:rsidRPr="00D25C9E" w14:paraId="0B6AEAAD" w14:textId="77777777" w:rsidTr="006C78F1">
        <w:trPr>
          <w:trHeight w:val="430"/>
        </w:trPr>
        <w:tc>
          <w:tcPr>
            <w:tcW w:w="567" w:type="dxa"/>
            <w:shd w:val="clear" w:color="auto" w:fill="D0F4FF" w:themeFill="text1" w:themeFillTint="1A"/>
          </w:tcPr>
          <w:p w14:paraId="13595929" w14:textId="77777777" w:rsidR="006C78F1" w:rsidRPr="00D25C9E" w:rsidRDefault="006C78F1" w:rsidP="00D25C9E">
            <w:pPr>
              <w:pStyle w:val="BoxText"/>
              <w:spacing w:before="100" w:after="100"/>
            </w:pPr>
          </w:p>
        </w:tc>
        <w:tc>
          <w:tcPr>
            <w:tcW w:w="8505" w:type="dxa"/>
            <w:shd w:val="clear" w:color="auto" w:fill="EAEAEA"/>
            <w:tcMar>
              <w:right w:w="227" w:type="dxa"/>
            </w:tcMar>
          </w:tcPr>
          <w:p w14:paraId="11127B59" w14:textId="2F2F5E4A" w:rsidR="006C78F1" w:rsidRPr="00D25C9E" w:rsidRDefault="006C78F1" w:rsidP="00D25C9E">
            <w:pPr>
              <w:pStyle w:val="BoxText"/>
              <w:spacing w:before="100" w:after="100"/>
            </w:pPr>
            <w:r w:rsidRPr="00D25C9E">
              <w:t>Australia’s high corporate tax rate by international standards act</w:t>
            </w:r>
            <w:r w:rsidR="00621F7D" w:rsidRPr="00D25C9E">
              <w:t>s</w:t>
            </w:r>
            <w:r w:rsidRPr="00D25C9E">
              <w:t xml:space="preserve"> as a barrier to investment in Australia.</w:t>
            </w:r>
          </w:p>
          <w:p w14:paraId="3632AF2B" w14:textId="3C1B944D" w:rsidR="006C78F1" w:rsidRPr="00D25C9E" w:rsidRDefault="006C78F1" w:rsidP="00D25C9E">
            <w:pPr>
              <w:pStyle w:val="BoxText"/>
              <w:spacing w:before="100" w:after="100"/>
            </w:pPr>
            <w:r w:rsidRPr="00D25C9E">
              <w:t>Large multinational companies not paying their ‘fair share’ of tax put other businesses at a competitive disadvantage</w:t>
            </w:r>
            <w:r w:rsidR="00631272" w:rsidRPr="00D25C9E">
              <w:t xml:space="preserve"> – a level playing field </w:t>
            </w:r>
            <w:r w:rsidR="00A02EA8" w:rsidRPr="00D25C9E">
              <w:t xml:space="preserve">is </w:t>
            </w:r>
            <w:r w:rsidR="00631272" w:rsidRPr="00D25C9E">
              <w:t>required</w:t>
            </w:r>
            <w:r w:rsidRPr="00D25C9E">
              <w:t>.</w:t>
            </w:r>
          </w:p>
          <w:p w14:paraId="44D7D072" w14:textId="03847FBD" w:rsidR="006C78F1" w:rsidRPr="00D25C9E" w:rsidRDefault="00572585" w:rsidP="00D25C9E">
            <w:pPr>
              <w:pStyle w:val="BoxText"/>
              <w:spacing w:before="100" w:after="100"/>
            </w:pPr>
            <w:r w:rsidRPr="00D25C9E">
              <w:t>S</w:t>
            </w:r>
            <w:r w:rsidR="00010034" w:rsidRPr="00D25C9E">
              <w:t>ome SMEs consider payroll taxes act as a dis</w:t>
            </w:r>
            <w:r w:rsidR="007B5524">
              <w:t>-</w:t>
            </w:r>
            <w:r w:rsidR="00010034" w:rsidRPr="00D25C9E">
              <w:t>incentive to expand employment and investment</w:t>
            </w:r>
            <w:r w:rsidR="006C78F1" w:rsidRPr="00D25C9E">
              <w:t>.</w:t>
            </w:r>
          </w:p>
          <w:p w14:paraId="391F9383" w14:textId="146B2503" w:rsidR="008107DB" w:rsidRPr="00D25C9E" w:rsidRDefault="008107DB" w:rsidP="007C62D0">
            <w:pPr>
              <w:pStyle w:val="BoxText"/>
              <w:spacing w:before="100" w:after="100"/>
            </w:pPr>
            <w:r w:rsidRPr="00D25C9E">
              <w:t>Given the long timeframes of many investments, the tax environment and policies should remain relatively stable and avoid creating impediments to new investment, particularly in term</w:t>
            </w:r>
            <w:r w:rsidR="00523D27">
              <w:t>s of international competition.</w:t>
            </w:r>
          </w:p>
        </w:tc>
      </w:tr>
    </w:tbl>
    <w:p w14:paraId="341C16EF" w14:textId="77777777" w:rsidR="00134AFD" w:rsidRDefault="00134AFD" w:rsidP="00E77984">
      <w:pPr>
        <w:pStyle w:val="SingleParagraph"/>
      </w:pPr>
    </w:p>
    <w:p w14:paraId="22A65B23" w14:textId="3BA1B619" w:rsidR="00742A80" w:rsidRPr="008135D2" w:rsidRDefault="00091CF6" w:rsidP="001B3352">
      <w:pPr>
        <w:rPr>
          <w:rFonts w:asciiTheme="minorHAnsi" w:hAnsiTheme="minorHAnsi"/>
        </w:rPr>
      </w:pPr>
      <w:r w:rsidRPr="008135D2">
        <w:rPr>
          <w:rFonts w:asciiTheme="minorHAnsi" w:hAnsiTheme="minorHAnsi"/>
        </w:rPr>
        <w:t xml:space="preserve">Many </w:t>
      </w:r>
      <w:r w:rsidR="004635C6">
        <w:rPr>
          <w:rFonts w:asciiTheme="minorHAnsi" w:hAnsiTheme="minorHAnsi"/>
        </w:rPr>
        <w:t>companies</w:t>
      </w:r>
      <w:r w:rsidRPr="008135D2">
        <w:rPr>
          <w:rFonts w:asciiTheme="minorHAnsi" w:hAnsiTheme="minorHAnsi"/>
        </w:rPr>
        <w:t xml:space="preserve"> </w:t>
      </w:r>
      <w:r w:rsidR="00024E7D" w:rsidRPr="008135D2">
        <w:rPr>
          <w:rFonts w:asciiTheme="minorHAnsi" w:hAnsiTheme="minorHAnsi"/>
        </w:rPr>
        <w:t xml:space="preserve">consulted </w:t>
      </w:r>
      <w:r w:rsidRPr="008135D2">
        <w:rPr>
          <w:rFonts w:asciiTheme="minorHAnsi" w:hAnsiTheme="minorHAnsi"/>
        </w:rPr>
        <w:t xml:space="preserve">indicated that Australia’s 30 per cent company tax rate imposes a large distortion on investment as it sets a higher rate of return hurdle for new investments in Australia than in other countries. </w:t>
      </w:r>
      <w:r w:rsidR="00972D5A">
        <w:rPr>
          <w:rFonts w:asciiTheme="minorHAnsi" w:hAnsiTheme="minorHAnsi"/>
        </w:rPr>
        <w:t>Contacts</w:t>
      </w:r>
      <w:r w:rsidRPr="008135D2">
        <w:rPr>
          <w:rFonts w:asciiTheme="minorHAnsi" w:hAnsiTheme="minorHAnsi"/>
        </w:rPr>
        <w:t xml:space="preserve"> noted that the gap has widened in recent yea</w:t>
      </w:r>
      <w:r w:rsidR="00523D27">
        <w:rPr>
          <w:rFonts w:asciiTheme="minorHAnsi" w:hAnsiTheme="minorHAnsi"/>
        </w:rPr>
        <w:t>rs and is set to widen further.</w:t>
      </w:r>
    </w:p>
    <w:p w14:paraId="1B4AA901" w14:textId="63CD1B5F" w:rsidR="00742A80" w:rsidRPr="002133F6" w:rsidRDefault="00091CF6" w:rsidP="00FE6924">
      <w:pPr>
        <w:pStyle w:val="Bullet"/>
      </w:pPr>
      <w:r w:rsidRPr="002133F6">
        <w:t xml:space="preserve">While most businesses indicated that they are pleased with the </w:t>
      </w:r>
      <w:r w:rsidR="002B5E75">
        <w:t>Commonwealth</w:t>
      </w:r>
      <w:r w:rsidRPr="002133F6">
        <w:t xml:space="preserve"> Government’s plan to lower corporate tax rates, there was concern from </w:t>
      </w:r>
      <w:r w:rsidR="00024E7D" w:rsidRPr="002133F6">
        <w:t>some</w:t>
      </w:r>
      <w:r w:rsidRPr="002133F6">
        <w:t xml:space="preserve"> </w:t>
      </w:r>
      <w:r w:rsidR="00972D5A" w:rsidRPr="002133F6">
        <w:t>contacts</w:t>
      </w:r>
      <w:r w:rsidRPr="002133F6">
        <w:t xml:space="preserve"> that the tax cuts for large companies may not achieve the stated purpose if these companies do not reinvest tax cuts due to the franking credit arrangements. </w:t>
      </w:r>
      <w:r w:rsidR="00024E7D" w:rsidRPr="002133F6">
        <w:t xml:space="preserve">One contact </w:t>
      </w:r>
      <w:r w:rsidRPr="002133F6">
        <w:t>argued that not all companies should pay the same level of tax and su</w:t>
      </w:r>
      <w:r w:rsidR="00523D27">
        <w:t>ggested a turnover tax instead.</w:t>
      </w:r>
    </w:p>
    <w:p w14:paraId="4F8CCB03" w14:textId="1A424E0D" w:rsidR="00091CF6" w:rsidRPr="002133F6" w:rsidRDefault="00024E7D" w:rsidP="00FE6924">
      <w:pPr>
        <w:pStyle w:val="Bullet"/>
      </w:pPr>
      <w:r w:rsidRPr="002133F6">
        <w:t>B</w:t>
      </w:r>
      <w:r w:rsidR="00091CF6" w:rsidRPr="002133F6">
        <w:t>usinesses that supported the corporate tax cuts generally believed that there is a need to go further to improve Australia’s competitiveness and to stimulate investment.</w:t>
      </w:r>
    </w:p>
    <w:p w14:paraId="206502FE" w14:textId="4266B1C1" w:rsidR="009C46D2" w:rsidRDefault="00091CF6" w:rsidP="00976D38">
      <w:r w:rsidRPr="00640299">
        <w:t>A concern around competitors in the form of multinational companies not paying their fair share of tax was raised as a disincentive for investment as it puts them at a disadvantage to start with.</w:t>
      </w:r>
    </w:p>
    <w:p w14:paraId="28116CEB" w14:textId="78BE0490" w:rsidR="00976D38" w:rsidRDefault="00091CF6" w:rsidP="00976D38">
      <w:r w:rsidRPr="00640299">
        <w:t>Payroll taxes were identified as a significant concern, particularly for SMEs with a large number of employees in the services sector. These businesses considered that payroll tax crea</w:t>
      </w:r>
      <w:r w:rsidR="008555E5" w:rsidRPr="00640299">
        <w:t>tes</w:t>
      </w:r>
      <w:r w:rsidRPr="00640299">
        <w:t xml:space="preserve"> perverse incentives for employing more people and growing the business.</w:t>
      </w:r>
    </w:p>
    <w:p w14:paraId="7D0A9AEA" w14:textId="79BD1FB8" w:rsidR="00063BD4" w:rsidRPr="008267F7" w:rsidRDefault="00063BD4" w:rsidP="00FE6924">
      <w:pPr>
        <w:pStyle w:val="Bullet"/>
      </w:pPr>
      <w:r w:rsidRPr="008267F7">
        <w:t xml:space="preserve">One </w:t>
      </w:r>
      <w:r w:rsidR="004635C6">
        <w:t>contact</w:t>
      </w:r>
      <w:r w:rsidRPr="008267F7">
        <w:t xml:space="preserve"> described payroll tax a</w:t>
      </w:r>
      <w:r w:rsidR="00523D27" w:rsidRPr="008267F7">
        <w:t>s “a tax on business optimism”.</w:t>
      </w:r>
    </w:p>
    <w:p w14:paraId="46D2D331" w14:textId="28039701" w:rsidR="00693297" w:rsidRDefault="002E5B45" w:rsidP="001B3352">
      <w:pPr>
        <w:pStyle w:val="Heading2"/>
      </w:pPr>
      <w:bookmarkStart w:id="185" w:name="_Toc490745050"/>
      <w:bookmarkStart w:id="186" w:name="_Toc491081814"/>
      <w:bookmarkStart w:id="187" w:name="_Toc491108208"/>
      <w:bookmarkStart w:id="188" w:name="_Toc491168326"/>
      <w:bookmarkStart w:id="189" w:name="_Toc491704037"/>
      <w:bookmarkStart w:id="190" w:name="_Toc491705753"/>
      <w:bookmarkStart w:id="191" w:name="_Toc492465371"/>
      <w:bookmarkStart w:id="192" w:name="_Toc492571392"/>
      <w:bookmarkStart w:id="193" w:name="_Toc492902194"/>
      <w:bookmarkStart w:id="194" w:name="_Toc496095489"/>
      <w:bookmarkStart w:id="195" w:name="_Toc496097063"/>
      <w:r>
        <w:t>P</w:t>
      </w:r>
      <w:r w:rsidR="00693297">
        <w:t xml:space="preserve">olicies </w:t>
      </w:r>
      <w:r w:rsidR="00527F4F">
        <w:t>to</w:t>
      </w:r>
      <w:r w:rsidR="00693297">
        <w:t xml:space="preserve"> support a transitioning economy</w:t>
      </w:r>
      <w:bookmarkEnd w:id="103"/>
      <w:bookmarkEnd w:id="104"/>
      <w:bookmarkEnd w:id="185"/>
      <w:bookmarkEnd w:id="186"/>
      <w:bookmarkEnd w:id="187"/>
      <w:bookmarkEnd w:id="188"/>
      <w:bookmarkEnd w:id="189"/>
      <w:bookmarkEnd w:id="190"/>
      <w:bookmarkEnd w:id="191"/>
      <w:bookmarkEnd w:id="192"/>
      <w:bookmarkEnd w:id="193"/>
      <w:bookmarkEnd w:id="194"/>
      <w:bookmarkEnd w:id="195"/>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824E36" w:rsidRPr="00B4036F" w14:paraId="1C66E56A" w14:textId="77777777" w:rsidTr="0079575B">
        <w:trPr>
          <w:trHeight w:val="395"/>
        </w:trPr>
        <w:tc>
          <w:tcPr>
            <w:tcW w:w="567" w:type="dxa"/>
            <w:shd w:val="clear" w:color="auto" w:fill="78BAE2"/>
          </w:tcPr>
          <w:p w14:paraId="08F9ABEE" w14:textId="77777777" w:rsidR="00F4407F" w:rsidRPr="00B4036F" w:rsidRDefault="00F4407F" w:rsidP="001B3352">
            <w:pPr>
              <w:pStyle w:val="BoxHeading-CaseStudy"/>
            </w:pPr>
          </w:p>
        </w:tc>
        <w:tc>
          <w:tcPr>
            <w:tcW w:w="8505" w:type="dxa"/>
            <w:shd w:val="clear" w:color="auto" w:fill="EAEAEA"/>
            <w:tcMar>
              <w:right w:w="227" w:type="dxa"/>
            </w:tcMar>
          </w:tcPr>
          <w:p w14:paraId="6D457358" w14:textId="77777777" w:rsidR="00F4407F" w:rsidRPr="008F2DDF" w:rsidRDefault="00F4407F" w:rsidP="001B3352">
            <w:pPr>
              <w:pStyle w:val="BoxHeading-CaseStudy"/>
            </w:pPr>
            <w:r>
              <w:t>Key Points</w:t>
            </w:r>
          </w:p>
        </w:tc>
      </w:tr>
      <w:tr w:rsidR="00824E36" w14:paraId="5FA49902" w14:textId="77777777" w:rsidTr="0079575B">
        <w:trPr>
          <w:trHeight w:val="430"/>
        </w:trPr>
        <w:tc>
          <w:tcPr>
            <w:tcW w:w="567" w:type="dxa"/>
            <w:shd w:val="clear" w:color="auto" w:fill="D0F4FF" w:themeFill="text1" w:themeFillTint="1A"/>
          </w:tcPr>
          <w:p w14:paraId="327BE34F" w14:textId="77777777" w:rsidR="00F4407F" w:rsidRPr="009B0F88" w:rsidRDefault="00F4407F" w:rsidP="00E23515">
            <w:pPr>
              <w:pStyle w:val="BoxText"/>
            </w:pPr>
          </w:p>
        </w:tc>
        <w:tc>
          <w:tcPr>
            <w:tcW w:w="8505" w:type="dxa"/>
            <w:shd w:val="clear" w:color="auto" w:fill="EAEAEA"/>
            <w:tcMar>
              <w:right w:w="227" w:type="dxa"/>
            </w:tcMar>
          </w:tcPr>
          <w:p w14:paraId="3881125D" w14:textId="4692136F" w:rsidR="00F4407F" w:rsidRPr="008135D2" w:rsidRDefault="00F4407F" w:rsidP="00E23515">
            <w:pPr>
              <w:pStyle w:val="BoxText"/>
            </w:pPr>
            <w:r w:rsidRPr="008135D2">
              <w:t>Governments can implement well-designed policies to support structural transitions in the economy.</w:t>
            </w:r>
          </w:p>
          <w:p w14:paraId="2B255CA1" w14:textId="446482DC" w:rsidR="00B71429" w:rsidRDefault="00567416" w:rsidP="00E23515">
            <w:pPr>
              <w:pStyle w:val="BoxText"/>
            </w:pPr>
            <w:r w:rsidRPr="008135D2">
              <w:t>Australia</w:t>
            </w:r>
            <w:r w:rsidR="00130E32">
              <w:t>’s relative</w:t>
            </w:r>
            <w:r w:rsidR="008F75F5">
              <w:t>ly</w:t>
            </w:r>
            <w:r w:rsidRPr="008135D2">
              <w:t xml:space="preserve"> risk </w:t>
            </w:r>
            <w:r w:rsidR="000626FB" w:rsidRPr="008135D2">
              <w:t>averse</w:t>
            </w:r>
            <w:r w:rsidRPr="008135D2">
              <w:t xml:space="preserve"> culture </w:t>
            </w:r>
            <w:r w:rsidR="008F75F5">
              <w:t>is</w:t>
            </w:r>
            <w:r w:rsidRPr="008135D2">
              <w:t xml:space="preserve"> having a negative impact on our innovation capabilities</w:t>
            </w:r>
            <w:r w:rsidR="00523D27">
              <w:t>.</w:t>
            </w:r>
          </w:p>
          <w:p w14:paraId="4CE87EEB" w14:textId="77777777" w:rsidR="00567416" w:rsidRPr="008135D2" w:rsidRDefault="00567416" w:rsidP="00E23515">
            <w:pPr>
              <w:pStyle w:val="BoxText"/>
            </w:pPr>
            <w:r w:rsidRPr="008135D2">
              <w:t>Regulatory settings should continue to be reviewed to ensure they support an environment for innovation, but should strike a balance in protecting investors.</w:t>
            </w:r>
          </w:p>
          <w:p w14:paraId="7BDE0443" w14:textId="77777777" w:rsidR="009B650A" w:rsidRPr="008135D2" w:rsidRDefault="009B650A" w:rsidP="00E23515">
            <w:pPr>
              <w:pStyle w:val="BoxText"/>
            </w:pPr>
            <w:r w:rsidRPr="008135D2">
              <w:t>Businesses raised concerns they cannot access the required skills and knowledge to create measurable value from investments in digital and other technologies.</w:t>
            </w:r>
          </w:p>
          <w:p w14:paraId="58D72E2F" w14:textId="5282A408" w:rsidR="008F75F5" w:rsidRDefault="008F75F5" w:rsidP="00E23515">
            <w:pPr>
              <w:pStyle w:val="BoxText"/>
            </w:pPr>
            <w:r>
              <w:t>The Australian economy will continue to face the forces of technological change, ageing and globalisation, and the education and training system will need to evolve to meet those demands.</w:t>
            </w:r>
          </w:p>
          <w:p w14:paraId="636FA5BD" w14:textId="282C0C08" w:rsidR="004211DD" w:rsidRDefault="006301C5" w:rsidP="00E23515">
            <w:pPr>
              <w:pStyle w:val="BoxText"/>
            </w:pPr>
            <w:r>
              <w:t xml:space="preserve">Investment in human capital and the ability for firms to access skilled and qualified employees (through the education system or </w:t>
            </w:r>
            <w:r w:rsidR="00B507E3">
              <w:t xml:space="preserve">relevant </w:t>
            </w:r>
            <w:r>
              <w:t>visa</w:t>
            </w:r>
            <w:r w:rsidR="00523D27">
              <w:t>s) requires constant attention.</w:t>
            </w:r>
          </w:p>
          <w:p w14:paraId="1925F13E" w14:textId="79FA6D90" w:rsidR="008107DB" w:rsidRPr="009B650A" w:rsidRDefault="008107DB" w:rsidP="00E23515">
            <w:pPr>
              <w:pStyle w:val="BoxText"/>
            </w:pPr>
            <w:r>
              <w:t>Governments should continue to promote private sector participation in infrastructure projects</w:t>
            </w:r>
            <w:r w:rsidR="00D22D3F">
              <w:t xml:space="preserve"> and </w:t>
            </w:r>
            <w:r w:rsidR="00857D2C">
              <w:t>to focus efforts on making better use of existing infrastructure.</w:t>
            </w:r>
          </w:p>
        </w:tc>
      </w:tr>
    </w:tbl>
    <w:p w14:paraId="689FC5B8" w14:textId="3DAF6E86" w:rsidR="00F4407F" w:rsidRDefault="00F4407F" w:rsidP="009D3C07">
      <w:pPr>
        <w:pStyle w:val="SingleParagraph"/>
      </w:pPr>
    </w:p>
    <w:p w14:paraId="7BD89283" w14:textId="74D11A89" w:rsidR="002A56A8" w:rsidRPr="008135D2" w:rsidRDefault="00550D40" w:rsidP="001B3352">
      <w:pPr>
        <w:rPr>
          <w:rFonts w:asciiTheme="minorHAnsi" w:hAnsiTheme="minorHAnsi"/>
        </w:rPr>
      </w:pPr>
      <w:r w:rsidRPr="008135D2">
        <w:rPr>
          <w:rFonts w:asciiTheme="minorHAnsi" w:hAnsiTheme="minorHAnsi"/>
        </w:rPr>
        <w:t>Governments can implement w</w:t>
      </w:r>
      <w:r w:rsidR="00991813" w:rsidRPr="008135D2">
        <w:rPr>
          <w:rFonts w:asciiTheme="minorHAnsi" w:hAnsiTheme="minorHAnsi"/>
        </w:rPr>
        <w:t xml:space="preserve">ell-designed policies to support </w:t>
      </w:r>
      <w:r w:rsidR="000A6CD8" w:rsidRPr="008135D2">
        <w:rPr>
          <w:rFonts w:asciiTheme="minorHAnsi" w:hAnsiTheme="minorHAnsi"/>
        </w:rPr>
        <w:t xml:space="preserve">industry to deal with </w:t>
      </w:r>
      <w:r w:rsidR="00991813" w:rsidRPr="008135D2">
        <w:rPr>
          <w:rFonts w:asciiTheme="minorHAnsi" w:hAnsiTheme="minorHAnsi"/>
        </w:rPr>
        <w:t>the struct</w:t>
      </w:r>
      <w:r w:rsidR="001F7FDC" w:rsidRPr="008135D2">
        <w:rPr>
          <w:rFonts w:asciiTheme="minorHAnsi" w:hAnsiTheme="minorHAnsi"/>
        </w:rPr>
        <w:t>ural transitions in the economy</w:t>
      </w:r>
      <w:r w:rsidR="00991813" w:rsidRPr="008135D2">
        <w:rPr>
          <w:rFonts w:asciiTheme="minorHAnsi" w:hAnsiTheme="minorHAnsi"/>
        </w:rPr>
        <w:t>.</w:t>
      </w:r>
      <w:r w:rsidR="00626E0B" w:rsidRPr="008135D2">
        <w:rPr>
          <w:rFonts w:asciiTheme="minorHAnsi" w:hAnsiTheme="minorHAnsi"/>
          <w:lang w:eastAsia="en-AU"/>
        </w:rPr>
        <w:t xml:space="preserve"> </w:t>
      </w:r>
      <w:r w:rsidR="00567416" w:rsidRPr="008135D2">
        <w:rPr>
          <w:rFonts w:asciiTheme="minorHAnsi" w:hAnsiTheme="minorHAnsi"/>
        </w:rPr>
        <w:t>For example, t</w:t>
      </w:r>
      <w:r w:rsidR="00F4407F" w:rsidRPr="008135D2">
        <w:rPr>
          <w:rFonts w:asciiTheme="minorHAnsi" w:hAnsiTheme="minorHAnsi"/>
        </w:rPr>
        <w:t>he accelerating pace of technological change is causing</w:t>
      </w:r>
      <w:r w:rsidR="00F4407F">
        <w:rPr>
          <w:rFonts w:asciiTheme="minorHAnsi" w:hAnsiTheme="minorHAnsi"/>
        </w:rPr>
        <w:t xml:space="preserve"> structural shifts in </w:t>
      </w:r>
      <w:r w:rsidR="002B33C7">
        <w:rPr>
          <w:rFonts w:asciiTheme="minorHAnsi" w:hAnsiTheme="minorHAnsi"/>
        </w:rPr>
        <w:t xml:space="preserve">some </w:t>
      </w:r>
      <w:r w:rsidR="00F4407F" w:rsidRPr="008135D2">
        <w:rPr>
          <w:rFonts w:asciiTheme="minorHAnsi" w:hAnsiTheme="minorHAnsi"/>
        </w:rPr>
        <w:t>industry sectors and employment patterns. Governments should not impede these transitions</w:t>
      </w:r>
      <w:r w:rsidR="000D6A7E" w:rsidRPr="008135D2">
        <w:rPr>
          <w:rFonts w:asciiTheme="minorHAnsi" w:hAnsiTheme="minorHAnsi"/>
        </w:rPr>
        <w:t xml:space="preserve">. </w:t>
      </w:r>
      <w:r w:rsidR="00567416">
        <w:rPr>
          <w:rFonts w:asciiTheme="minorHAnsi" w:hAnsiTheme="minorHAnsi"/>
        </w:rPr>
        <w:t>However, w</w:t>
      </w:r>
      <w:r w:rsidR="00F4407F">
        <w:rPr>
          <w:rFonts w:asciiTheme="minorHAnsi" w:hAnsiTheme="minorHAnsi"/>
        </w:rPr>
        <w:t xml:space="preserve">ell-designed </w:t>
      </w:r>
      <w:r w:rsidR="00626E0B">
        <w:rPr>
          <w:rFonts w:asciiTheme="minorHAnsi" w:hAnsiTheme="minorHAnsi"/>
        </w:rPr>
        <w:t xml:space="preserve">policies </w:t>
      </w:r>
      <w:r w:rsidR="000A6CD8">
        <w:rPr>
          <w:rFonts w:asciiTheme="minorHAnsi" w:hAnsiTheme="minorHAnsi"/>
        </w:rPr>
        <w:t xml:space="preserve">can help smooth </w:t>
      </w:r>
      <w:r w:rsidR="001F7FDC">
        <w:rPr>
          <w:rFonts w:asciiTheme="minorHAnsi" w:hAnsiTheme="minorHAnsi"/>
        </w:rPr>
        <w:t xml:space="preserve">the </w:t>
      </w:r>
      <w:r w:rsidR="000A6CD8">
        <w:rPr>
          <w:rFonts w:asciiTheme="minorHAnsi" w:hAnsiTheme="minorHAnsi"/>
        </w:rPr>
        <w:t xml:space="preserve">transition and assist </w:t>
      </w:r>
      <w:r w:rsidR="008135D2">
        <w:rPr>
          <w:rFonts w:asciiTheme="minorHAnsi" w:hAnsiTheme="minorHAnsi"/>
        </w:rPr>
        <w:t>business</w:t>
      </w:r>
      <w:r w:rsidR="000A6CD8">
        <w:rPr>
          <w:rFonts w:asciiTheme="minorHAnsi" w:hAnsiTheme="minorHAnsi"/>
        </w:rPr>
        <w:t xml:space="preserve"> </w:t>
      </w:r>
      <w:r w:rsidR="00567416">
        <w:rPr>
          <w:rFonts w:asciiTheme="minorHAnsi" w:hAnsiTheme="minorHAnsi"/>
        </w:rPr>
        <w:t>and the co</w:t>
      </w:r>
      <w:r w:rsidR="009A0430">
        <w:rPr>
          <w:rFonts w:asciiTheme="minorHAnsi" w:hAnsiTheme="minorHAnsi"/>
        </w:rPr>
        <w:t>mmunity more broadly</w:t>
      </w:r>
      <w:r w:rsidR="00567416">
        <w:rPr>
          <w:rFonts w:asciiTheme="minorHAnsi" w:hAnsiTheme="minorHAnsi"/>
        </w:rPr>
        <w:t xml:space="preserve"> </w:t>
      </w:r>
      <w:r w:rsidR="000A6CD8">
        <w:rPr>
          <w:rFonts w:asciiTheme="minorHAnsi" w:hAnsiTheme="minorHAnsi"/>
        </w:rPr>
        <w:t>to adapt</w:t>
      </w:r>
      <w:r w:rsidR="00567416">
        <w:rPr>
          <w:rFonts w:asciiTheme="minorHAnsi" w:hAnsiTheme="minorHAnsi"/>
        </w:rPr>
        <w:t xml:space="preserve">. </w:t>
      </w:r>
      <w:r w:rsidR="009A0430">
        <w:rPr>
          <w:rFonts w:asciiTheme="minorHAnsi" w:hAnsiTheme="minorHAnsi"/>
        </w:rPr>
        <w:t>Such polices can help to ensure that p</w:t>
      </w:r>
      <w:r w:rsidR="00523D27">
        <w:rPr>
          <w:rFonts w:asciiTheme="minorHAnsi" w:hAnsiTheme="minorHAnsi"/>
        </w:rPr>
        <w:t>roductivity growth is realised.</w:t>
      </w:r>
    </w:p>
    <w:p w14:paraId="392D2564" w14:textId="2F30C647" w:rsidR="00F4407F" w:rsidRDefault="00F4407F" w:rsidP="00824E36">
      <w:pPr>
        <w:pStyle w:val="Heading3"/>
      </w:pPr>
      <w:bookmarkStart w:id="196" w:name="_Toc491108209"/>
      <w:bookmarkStart w:id="197" w:name="_Toc491168327"/>
      <w:bookmarkStart w:id="198" w:name="_Toc491704038"/>
      <w:bookmarkStart w:id="199" w:name="_Toc491705754"/>
      <w:bookmarkStart w:id="200" w:name="_Toc492465372"/>
      <w:bookmarkStart w:id="201" w:name="_Toc492571393"/>
      <w:bookmarkStart w:id="202" w:name="_Toc492902195"/>
      <w:bookmarkStart w:id="203" w:name="_Toc496095490"/>
      <w:bookmarkStart w:id="204" w:name="_Toc496097064"/>
      <w:r>
        <w:t>Innovation</w:t>
      </w:r>
      <w:bookmarkEnd w:id="196"/>
      <w:bookmarkEnd w:id="197"/>
      <w:bookmarkEnd w:id="198"/>
      <w:bookmarkEnd w:id="199"/>
      <w:bookmarkEnd w:id="200"/>
      <w:bookmarkEnd w:id="201"/>
      <w:bookmarkEnd w:id="202"/>
      <w:bookmarkEnd w:id="203"/>
      <w:bookmarkEnd w:id="204"/>
    </w:p>
    <w:p w14:paraId="6792FBEF" w14:textId="07BCFEA3" w:rsidR="00567416" w:rsidRPr="008135D2" w:rsidRDefault="00567416" w:rsidP="001B3352">
      <w:pPr>
        <w:rPr>
          <w:rFonts w:asciiTheme="minorHAnsi" w:hAnsiTheme="minorHAnsi"/>
        </w:rPr>
      </w:pPr>
      <w:r w:rsidRPr="008135D2">
        <w:rPr>
          <w:rFonts w:asciiTheme="minorHAnsi" w:hAnsiTheme="minorHAnsi"/>
        </w:rPr>
        <w:t xml:space="preserve">Innovation is important in every industry as it has the potential for far reaching economic implications – keeping Australia competitive, boosting employment and maintaining living standards. While high commodity prices have </w:t>
      </w:r>
      <w:r w:rsidR="008F1AF2">
        <w:rPr>
          <w:rFonts w:asciiTheme="minorHAnsi" w:hAnsiTheme="minorHAnsi"/>
        </w:rPr>
        <w:t xml:space="preserve">helped </w:t>
      </w:r>
      <w:r w:rsidRPr="008135D2">
        <w:rPr>
          <w:rFonts w:asciiTheme="minorHAnsi" w:hAnsiTheme="minorHAnsi"/>
        </w:rPr>
        <w:t xml:space="preserve">drive growth in living standards over the </w:t>
      </w:r>
      <w:r w:rsidR="00823096">
        <w:rPr>
          <w:rFonts w:asciiTheme="minorHAnsi" w:hAnsiTheme="minorHAnsi"/>
        </w:rPr>
        <w:t>p</w:t>
      </w:r>
      <w:r w:rsidRPr="008135D2">
        <w:rPr>
          <w:rFonts w:asciiTheme="minorHAnsi" w:hAnsiTheme="minorHAnsi"/>
        </w:rPr>
        <w:t>ast decade, fostering innovation and commercialising ideas will be a key driver of future jobs and growth.</w:t>
      </w:r>
    </w:p>
    <w:p w14:paraId="6C97B0E4" w14:textId="788173E0" w:rsidR="009E584B" w:rsidRPr="003A012C" w:rsidRDefault="00A95333" w:rsidP="009E584B">
      <w:r>
        <w:rPr>
          <w:rFonts w:asciiTheme="minorHAnsi" w:hAnsiTheme="minorHAnsi"/>
          <w:noProof/>
          <w:lang w:eastAsia="en-AU"/>
        </w:rPr>
        <w:drawing>
          <wp:anchor distT="0" distB="0" distL="114300" distR="114300" simplePos="0" relativeHeight="251670016" behindDoc="0" locked="0" layoutInCell="1" allowOverlap="1" wp14:anchorId="2BB7E5CE" wp14:editId="1257F4E0">
            <wp:simplePos x="0" y="0"/>
            <wp:positionH relativeFrom="column">
              <wp:posOffset>3856355</wp:posOffset>
            </wp:positionH>
            <wp:positionV relativeFrom="paragraph">
              <wp:posOffset>49530</wp:posOffset>
            </wp:positionV>
            <wp:extent cx="1892300" cy="803910"/>
            <wp:effectExtent l="0" t="0" r="0" b="0"/>
            <wp:wrapSquare wrapText="bothSides"/>
            <wp:docPr id="302" name="Pictur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Z:\2017\Reports and Reviews\Intergovernmental Review of Business Investment\pullQuote-25.pn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5317" r="5226"/>
                    <a:stretch/>
                  </pic:blipFill>
                  <pic:spPr bwMode="auto">
                    <a:xfrm>
                      <a:off x="0" y="0"/>
                      <a:ext cx="1892300" cy="80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1429">
        <w:rPr>
          <w:rFonts w:asciiTheme="minorHAnsi" w:hAnsiTheme="minorHAnsi"/>
        </w:rPr>
        <w:t>Innovation capabilities are impacted by the risk</w:t>
      </w:r>
      <w:r w:rsidR="009E584B">
        <w:rPr>
          <w:rFonts w:asciiTheme="minorHAnsi" w:hAnsiTheme="minorHAnsi"/>
        </w:rPr>
        <w:t>s</w:t>
      </w:r>
      <w:r w:rsidR="00B71429">
        <w:rPr>
          <w:rFonts w:asciiTheme="minorHAnsi" w:hAnsiTheme="minorHAnsi"/>
        </w:rPr>
        <w:t xml:space="preserve"> that businesses are willing to </w:t>
      </w:r>
      <w:r w:rsidR="009E584B">
        <w:rPr>
          <w:rFonts w:asciiTheme="minorHAnsi" w:hAnsiTheme="minorHAnsi"/>
        </w:rPr>
        <w:t xml:space="preserve">take. </w:t>
      </w:r>
      <w:r w:rsidR="009E584B">
        <w:t xml:space="preserve">Stakeholders discussed the difference between the risk appetite of people in Australia compared to </w:t>
      </w:r>
      <w:r w:rsidR="000023A1">
        <w:t>places like Israel</w:t>
      </w:r>
      <w:r w:rsidR="009E584B">
        <w:t xml:space="preserve">, and the </w:t>
      </w:r>
      <w:r w:rsidR="009E584B" w:rsidRPr="003A012C">
        <w:t>stigma of failure</w:t>
      </w:r>
      <w:r w:rsidR="009E584B">
        <w:t xml:space="preserve"> was specifically identified as</w:t>
      </w:r>
      <w:r w:rsidR="009E584B" w:rsidRPr="003A012C">
        <w:t xml:space="preserve"> a barrier to experimentation and learning. </w:t>
      </w:r>
    </w:p>
    <w:p w14:paraId="126A0D9F" w14:textId="0A1988D5" w:rsidR="009E584B" w:rsidRDefault="009E584B" w:rsidP="002133F6">
      <w:pPr>
        <w:pStyle w:val="Bullet"/>
        <w:tabs>
          <w:tab w:val="clear" w:pos="425"/>
        </w:tabs>
        <w:rPr>
          <w:bCs/>
          <w:iCs/>
        </w:rPr>
      </w:pPr>
      <w:r w:rsidRPr="002133F6">
        <w:rPr>
          <w:bCs/>
          <w:iCs/>
        </w:rPr>
        <w:t>One contact noted that their organisation tackles risk by identifying the harm that could happen and mitigate it by producing a set of regulations, which in turn actually reduces the flexibility of the business and therefore</w:t>
      </w:r>
      <w:r w:rsidR="00523D27">
        <w:rPr>
          <w:bCs/>
          <w:iCs/>
        </w:rPr>
        <w:t xml:space="preserve"> reduces the appetite for risk.</w:t>
      </w:r>
    </w:p>
    <w:p w14:paraId="46F23CF5" w14:textId="77777777" w:rsidR="00A95333" w:rsidRDefault="00A95333">
      <w:pPr>
        <w:spacing w:after="200" w:line="276" w:lineRule="auto"/>
        <w:jc w:val="left"/>
      </w:pPr>
      <w:r>
        <w:br w:type="page"/>
      </w:r>
    </w:p>
    <w:p w14:paraId="0D07BE98" w14:textId="48C84B01" w:rsidR="00963B07" w:rsidRPr="002133F6" w:rsidRDefault="00963B07" w:rsidP="00963B07">
      <w:r>
        <w:t xml:space="preserve">Some businesses commented that Australia </w:t>
      </w:r>
      <w:r w:rsidRPr="00385DAC">
        <w:t xml:space="preserve">has a similar legal framework to countries that do innovation well but </w:t>
      </w:r>
      <w:r>
        <w:t xml:space="preserve">that </w:t>
      </w:r>
      <w:r w:rsidRPr="00385DAC">
        <w:t>we have some significant cultural differences</w:t>
      </w:r>
      <w:r>
        <w:t>. Other</w:t>
      </w:r>
      <w:r w:rsidRPr="00963B07">
        <w:t xml:space="preserve"> </w:t>
      </w:r>
      <w:r w:rsidRPr="00E2600E">
        <w:t>businesses expressed concern that the current insolvency regime is too onerous and is dis</w:t>
      </w:r>
      <w:r w:rsidRPr="00E2600E">
        <w:noBreakHyphen/>
        <w:t>incentivising risk taking.</w:t>
      </w:r>
      <w:r>
        <w:t xml:space="preserve"> </w:t>
      </w:r>
      <w:r w:rsidR="00B11E8E">
        <w:t xml:space="preserve">This is consistent with past consultation processes, where it has been raised in particular by small businesses. </w:t>
      </w:r>
      <w:r>
        <w:t xml:space="preserve">It was </w:t>
      </w:r>
      <w:r w:rsidR="00B11E8E">
        <w:t>noted</w:t>
      </w:r>
      <w:r>
        <w:t xml:space="preserve"> that regulatory settings should strike a balance in protecting investors while supporting an environment for innovation</w:t>
      </w:r>
      <w:r w:rsidR="00043971">
        <w:t xml:space="preserve"> and that</w:t>
      </w:r>
      <w:r>
        <w:t xml:space="preserve"> regulatory settings should continue to be reviewed and, where appropriate, international models should be considered.</w:t>
      </w:r>
    </w:p>
    <w:tbl>
      <w:tblPr>
        <w:tblStyle w:val="KeyPoints"/>
        <w:tblW w:w="0" w:type="auto"/>
        <w:tblInd w:w="198" w:type="dxa"/>
        <w:tblBorders>
          <w:top w:val="none" w:sz="0" w:space="0" w:color="auto"/>
          <w:left w:val="none" w:sz="0" w:space="0" w:color="auto"/>
          <w:bottom w:val="none" w:sz="0" w:space="0" w:color="auto"/>
          <w:right w:val="none" w:sz="0" w:space="0" w:color="auto"/>
        </w:tblBorders>
        <w:tblLayout w:type="fixed"/>
        <w:tblCellMar>
          <w:left w:w="198" w:type="dxa"/>
          <w:right w:w="227" w:type="dxa"/>
        </w:tblCellMar>
        <w:tblLook w:val="04A0" w:firstRow="1" w:lastRow="0" w:firstColumn="1" w:lastColumn="0" w:noHBand="0" w:noVBand="1"/>
      </w:tblPr>
      <w:tblGrid>
        <w:gridCol w:w="567"/>
        <w:gridCol w:w="8562"/>
      </w:tblGrid>
      <w:tr w:rsidR="00DA53EC" w:rsidRPr="008F2DDF" w14:paraId="3BDA0B1B" w14:textId="77777777" w:rsidTr="00DA53EC">
        <w:trPr>
          <w:trHeight w:val="491"/>
        </w:trPr>
        <w:tc>
          <w:tcPr>
            <w:tcW w:w="567" w:type="dxa"/>
            <w:shd w:val="clear" w:color="auto" w:fill="4FA4DA"/>
          </w:tcPr>
          <w:p w14:paraId="23032185" w14:textId="4F86E0EC" w:rsidR="00DA53EC" w:rsidRPr="002E7EA9" w:rsidRDefault="00DA53EC" w:rsidP="001B3352">
            <w:pPr>
              <w:pStyle w:val="BoxHeading-KeyIssues"/>
              <w:rPr>
                <w:highlight w:val="magenta"/>
              </w:rPr>
            </w:pPr>
          </w:p>
        </w:tc>
        <w:tc>
          <w:tcPr>
            <w:tcW w:w="8562" w:type="dxa"/>
            <w:shd w:val="clear" w:color="auto" w:fill="EAEAEA"/>
            <w:tcMar>
              <w:right w:w="227" w:type="dxa"/>
            </w:tcMar>
          </w:tcPr>
          <w:p w14:paraId="4A29ACE1" w14:textId="48CD17FF" w:rsidR="00DA53EC" w:rsidRPr="002E7EA9" w:rsidRDefault="00DA53EC" w:rsidP="00EA0CF8">
            <w:pPr>
              <w:pStyle w:val="BoxHeading-KeyIssues"/>
              <w:rPr>
                <w:highlight w:val="magenta"/>
              </w:rPr>
            </w:pPr>
            <w:r w:rsidRPr="00743B21">
              <w:t xml:space="preserve">box </w:t>
            </w:r>
            <w:r w:rsidR="00EA0CF8">
              <w:t>6</w:t>
            </w:r>
            <w:r w:rsidRPr="00743B21">
              <w:t xml:space="preserve">: </w:t>
            </w:r>
            <w:r>
              <w:t>National innovation and science agenda</w:t>
            </w:r>
          </w:p>
        </w:tc>
      </w:tr>
      <w:tr w:rsidR="00DA53EC" w14:paraId="3237DF57" w14:textId="77777777" w:rsidTr="00DA53EC">
        <w:trPr>
          <w:trHeight w:val="997"/>
        </w:trPr>
        <w:tc>
          <w:tcPr>
            <w:tcW w:w="567" w:type="dxa"/>
            <w:shd w:val="clear" w:color="auto" w:fill="002833" w:themeFill="text1"/>
          </w:tcPr>
          <w:p w14:paraId="36E8DCB5" w14:textId="77777777" w:rsidR="00DA53EC" w:rsidRPr="004D4446" w:rsidRDefault="00DA53EC" w:rsidP="001B3352">
            <w:pPr>
              <w:pStyle w:val="BoxHeading-KeyIssues"/>
            </w:pPr>
          </w:p>
        </w:tc>
        <w:tc>
          <w:tcPr>
            <w:tcW w:w="8562" w:type="dxa"/>
            <w:shd w:val="clear" w:color="auto" w:fill="EAEAEA"/>
            <w:tcMar>
              <w:right w:w="227" w:type="dxa"/>
            </w:tcMar>
          </w:tcPr>
          <w:p w14:paraId="1030C8CD" w14:textId="369F5E30" w:rsidR="00DA53EC" w:rsidRPr="008135D2" w:rsidRDefault="000D6A7E" w:rsidP="00D25C9E">
            <w:pPr>
              <w:pStyle w:val="BoxText"/>
            </w:pPr>
            <w:r w:rsidRPr="008135D2">
              <w:t>G</w:t>
            </w:r>
            <w:r w:rsidR="006C0757" w:rsidRPr="008135D2">
              <w:t>iven</w:t>
            </w:r>
            <w:r w:rsidR="00DA53EC" w:rsidRPr="008135D2">
              <w:t xml:space="preserve"> the positive relationship between innovation and productivity, the Commonwealth Government launched </w:t>
            </w:r>
            <w:r w:rsidR="00907C84" w:rsidRPr="008135D2">
              <w:t xml:space="preserve">the </w:t>
            </w:r>
            <w:r w:rsidR="00DA53EC" w:rsidRPr="008135D2">
              <w:t>NISA</w:t>
            </w:r>
            <w:r w:rsidR="006C0757" w:rsidRPr="008135D2">
              <w:t>,</w:t>
            </w:r>
            <w:r w:rsidR="00DA53EC" w:rsidRPr="008135D2">
              <w:t xml:space="preserve"> a broad initiative aimed at promoting innovation in the economy through building talent and skills, improving access to capital and encouraging entrepreneurship.</w:t>
            </w:r>
          </w:p>
          <w:p w14:paraId="57FCEB14" w14:textId="79F7BBE2" w:rsidR="00DA53EC" w:rsidRPr="008135D2" w:rsidRDefault="00DA53EC" w:rsidP="00D25C9E">
            <w:pPr>
              <w:pStyle w:val="BoxText"/>
            </w:pPr>
            <w:r w:rsidRPr="008135D2">
              <w:t xml:space="preserve">The NISA initiatives are closely aligned with potential strategies to deal with issues raised by stakeholders consulted. For instance, to help redress the risk aversion culture towards a better balance the Commonwealth Governments </w:t>
            </w:r>
            <w:r w:rsidR="00E61449">
              <w:t>has</w:t>
            </w:r>
            <w:r w:rsidRPr="008135D2">
              <w:t xml:space="preserve"> introduc</w:t>
            </w:r>
            <w:r w:rsidR="00D80D0E">
              <w:t>ed</w:t>
            </w:r>
            <w:r w:rsidRPr="008135D2">
              <w:t xml:space="preserve"> laws that:</w:t>
            </w:r>
          </w:p>
          <w:p w14:paraId="1E9E7172" w14:textId="2FEFD1A7" w:rsidR="00DA53EC" w:rsidRPr="002133F6" w:rsidRDefault="00DA53EC" w:rsidP="00D25C9E">
            <w:pPr>
              <w:pStyle w:val="BoxBullet"/>
            </w:pPr>
            <w:r w:rsidRPr="002133F6">
              <w:t>introduce</w:t>
            </w:r>
            <w:r w:rsidR="00E61449">
              <w:t>s</w:t>
            </w:r>
            <w:r w:rsidRPr="002133F6">
              <w:t xml:space="preserve"> a safe harbour to encourage directors to seek advice earlier on how to restructure and save financially distressed, but viabl</w:t>
            </w:r>
            <w:r w:rsidR="00523D27">
              <w:t>e companies; and</w:t>
            </w:r>
          </w:p>
          <w:p w14:paraId="0C1E7250" w14:textId="247B07F4" w:rsidR="00DA53EC" w:rsidRPr="002133F6" w:rsidRDefault="00D80D0E" w:rsidP="00D25C9E">
            <w:pPr>
              <w:pStyle w:val="BoxBullet"/>
            </w:pPr>
            <w:r>
              <w:t xml:space="preserve">will </w:t>
            </w:r>
            <w:r w:rsidR="00DA53EC" w:rsidRPr="002133F6">
              <w:t>make ipso facto clauses (that allow contracting parties to immediately terminate agreements with a company when an insolvency event occurs) unenforceable if the company is undertaking a formal restructure.</w:t>
            </w:r>
          </w:p>
          <w:p w14:paraId="07E7E770" w14:textId="145D5BDF" w:rsidR="00043971" w:rsidRDefault="00043971" w:rsidP="00D25C9E">
            <w:pPr>
              <w:pStyle w:val="BoxText"/>
            </w:pPr>
            <w:r>
              <w:t xml:space="preserve">These changes are aimed at reducing the stigma associated with insolvency </w:t>
            </w:r>
            <w:r w:rsidR="008F1AF2">
              <w:t xml:space="preserve">in order </w:t>
            </w:r>
            <w:r>
              <w:t xml:space="preserve">to redress the risk adverse culture in a measured approach. </w:t>
            </w:r>
          </w:p>
          <w:p w14:paraId="74D352D9" w14:textId="77777777" w:rsidR="00DA53EC" w:rsidRPr="008135D2" w:rsidRDefault="00DA53EC" w:rsidP="00D25C9E">
            <w:pPr>
              <w:pStyle w:val="BoxText"/>
            </w:pPr>
            <w:r w:rsidRPr="008135D2">
              <w:t>Another key focus of NISA is equipping Australians with the skills they need for jobs in an increasingly knowledge-based economy, including programs to increase digital literacy, improve science, technology, engineering and mathematics (STEM) learning outcomes and encourage women to engage in STEM education and careers.</w:t>
            </w:r>
          </w:p>
          <w:p w14:paraId="78AD7A40" w14:textId="1A63D104" w:rsidR="00DA53EC" w:rsidRPr="00522D49" w:rsidRDefault="00DA53EC" w:rsidP="00D25C9E">
            <w:pPr>
              <w:pStyle w:val="BoxText"/>
            </w:pPr>
            <w:r w:rsidRPr="008135D2">
              <w:t>Under the NISA the Commonwealth Government has implemented a range of measures to improve access to finance, including new tax incentives for investors in early stage innovation companies, improved tax rules for venture capital and a new regulatory framework for crowd sourced equity funding for public companies. This new framework will be extended to proprietary companies.</w:t>
            </w:r>
          </w:p>
        </w:tc>
      </w:tr>
    </w:tbl>
    <w:p w14:paraId="1AA143FD" w14:textId="77777777" w:rsidR="008854A6" w:rsidRDefault="008854A6" w:rsidP="00E23515">
      <w:pPr>
        <w:pStyle w:val="SingleParagraph"/>
      </w:pPr>
    </w:p>
    <w:p w14:paraId="1E5604E1" w14:textId="05CB97B2" w:rsidR="00693297" w:rsidRPr="00193C4C" w:rsidRDefault="009222D6" w:rsidP="00193C4C">
      <w:r>
        <w:rPr>
          <w:rFonts w:asciiTheme="minorHAnsi" w:hAnsiTheme="minorHAnsi"/>
          <w:noProof/>
          <w:lang w:eastAsia="en-AU"/>
        </w:rPr>
        <w:drawing>
          <wp:anchor distT="0" distB="0" distL="114300" distR="114300" simplePos="0" relativeHeight="251671040" behindDoc="0" locked="0" layoutInCell="1" allowOverlap="1" wp14:anchorId="30217316" wp14:editId="7FA6A875">
            <wp:simplePos x="0" y="0"/>
            <wp:positionH relativeFrom="column">
              <wp:posOffset>3893820</wp:posOffset>
            </wp:positionH>
            <wp:positionV relativeFrom="paragraph">
              <wp:posOffset>41275</wp:posOffset>
            </wp:positionV>
            <wp:extent cx="1844675" cy="816610"/>
            <wp:effectExtent l="0" t="0" r="3175" b="2540"/>
            <wp:wrapSquare wrapText="bothSides"/>
            <wp:docPr id="303" name="Pictur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Z:\2017\Reports and Reviews\Intergovernmental Review of Business Investment\pullQuote-26.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7090" r="6999"/>
                    <a:stretch/>
                  </pic:blipFill>
                  <pic:spPr bwMode="auto">
                    <a:xfrm>
                      <a:off x="0" y="0"/>
                      <a:ext cx="1844675" cy="816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5C6">
        <w:t>Companies</w:t>
      </w:r>
      <w:r w:rsidR="006C0757" w:rsidRPr="008F164E">
        <w:t xml:space="preserve"> noted that Australia’s research and development</w:t>
      </w:r>
      <w:r w:rsidR="006A4E42" w:rsidRPr="008F164E">
        <w:t xml:space="preserve"> (R&amp;D)</w:t>
      </w:r>
      <w:r w:rsidR="00693297" w:rsidRPr="008F164E">
        <w:t xml:space="preserve"> polic</w:t>
      </w:r>
      <w:r w:rsidR="006C0757" w:rsidRPr="008F164E">
        <w:t>ies used to be ‘</w:t>
      </w:r>
      <w:r w:rsidR="00693297" w:rsidRPr="008F164E">
        <w:t>cutting edge</w:t>
      </w:r>
      <w:r w:rsidR="006C0757" w:rsidRPr="008F164E">
        <w:t>’ but are</w:t>
      </w:r>
      <w:r w:rsidR="00693297" w:rsidRPr="008F164E">
        <w:t xml:space="preserve"> now falling behind </w:t>
      </w:r>
      <w:r w:rsidR="006C0757" w:rsidRPr="008F164E">
        <w:t>many</w:t>
      </w:r>
      <w:r w:rsidR="00693297" w:rsidRPr="008F164E">
        <w:t xml:space="preserve"> countries</w:t>
      </w:r>
      <w:r w:rsidR="006C0757" w:rsidRPr="008F164E">
        <w:t xml:space="preserve">. </w:t>
      </w:r>
      <w:r w:rsidR="000A6CD8" w:rsidRPr="008F164E">
        <w:t>T</w:t>
      </w:r>
      <w:r w:rsidR="006C0757" w:rsidRPr="008F164E">
        <w:t xml:space="preserve">hey </w:t>
      </w:r>
      <w:r w:rsidR="000A6CD8" w:rsidRPr="008F164E">
        <w:t>expressed concern</w:t>
      </w:r>
      <w:r w:rsidR="006C0757" w:rsidRPr="008F164E">
        <w:t xml:space="preserve"> that</w:t>
      </w:r>
      <w:r w:rsidR="00693297" w:rsidRPr="008F164E">
        <w:t xml:space="preserve"> funding </w:t>
      </w:r>
      <w:r w:rsidR="006C0757" w:rsidRPr="008F164E">
        <w:t xml:space="preserve">is being scaled </w:t>
      </w:r>
      <w:r w:rsidR="00693297" w:rsidRPr="008F164E">
        <w:t>back whereas other</w:t>
      </w:r>
      <w:r w:rsidR="006C0757" w:rsidRPr="008F164E">
        <w:t xml:space="preserve"> countries</w:t>
      </w:r>
      <w:r w:rsidR="00693297" w:rsidRPr="008F164E">
        <w:t xml:space="preserve"> are increasing it. </w:t>
      </w:r>
      <w:r w:rsidR="000A6CD8" w:rsidRPr="008F164E">
        <w:t>One</w:t>
      </w:r>
      <w:r w:rsidR="009D3C07">
        <w:t> </w:t>
      </w:r>
      <w:r w:rsidR="000A6CD8" w:rsidRPr="008F164E">
        <w:t>commented</w:t>
      </w:r>
      <w:r w:rsidR="004D4446" w:rsidRPr="008F164E">
        <w:t xml:space="preserve"> that </w:t>
      </w:r>
      <w:r w:rsidR="00693297" w:rsidRPr="008F164E">
        <w:t>R&amp;D arrangement</w:t>
      </w:r>
      <w:r w:rsidR="004D4446" w:rsidRPr="008F164E">
        <w:t>s</w:t>
      </w:r>
      <w:r w:rsidR="00693297" w:rsidRPr="008F164E">
        <w:t xml:space="preserve"> w</w:t>
      </w:r>
      <w:r w:rsidR="004D4446" w:rsidRPr="008F164E">
        <w:t>ere</w:t>
      </w:r>
      <w:r w:rsidR="00693297" w:rsidRPr="008F164E">
        <w:t xml:space="preserve"> stable for 15</w:t>
      </w:r>
      <w:r w:rsidR="009D3C07">
        <w:t> </w:t>
      </w:r>
      <w:r w:rsidR="00693297" w:rsidRPr="008F164E">
        <w:t>years but ha</w:t>
      </w:r>
      <w:r w:rsidR="004D4446" w:rsidRPr="008F164E">
        <w:t>ve</w:t>
      </w:r>
      <w:r w:rsidR="00693297" w:rsidRPr="008F164E">
        <w:t xml:space="preserve"> </w:t>
      </w:r>
      <w:r w:rsidR="004D4446" w:rsidRPr="008F164E">
        <w:t>recently been changing on a regular basis</w:t>
      </w:r>
      <w:r w:rsidR="00693297" w:rsidRPr="008F164E">
        <w:t>.</w:t>
      </w:r>
    </w:p>
    <w:p w14:paraId="42394992" w14:textId="3E9C93F4" w:rsidR="00890D5D" w:rsidRPr="008F164E" w:rsidRDefault="00991813" w:rsidP="001B3352">
      <w:pPr>
        <w:rPr>
          <w:rFonts w:asciiTheme="minorHAnsi" w:hAnsiTheme="minorHAnsi"/>
        </w:rPr>
      </w:pPr>
      <w:r w:rsidRPr="008F164E">
        <w:rPr>
          <w:rFonts w:asciiTheme="minorHAnsi" w:hAnsiTheme="minorHAnsi"/>
        </w:rPr>
        <w:t>Some SMEs raised concerns around Australia’s R&amp;D tax incentives, noting that they can only benefit from the incentives if and when they are strongly cash flow positive.</w:t>
      </w:r>
      <w:r w:rsidR="00890D5D" w:rsidRPr="008F164E">
        <w:rPr>
          <w:rFonts w:asciiTheme="minorHAnsi" w:hAnsiTheme="minorHAnsi"/>
        </w:rPr>
        <w:t xml:space="preserve"> </w:t>
      </w:r>
      <w:r w:rsidR="00550D40" w:rsidRPr="008F164E">
        <w:rPr>
          <w:rFonts w:asciiTheme="minorHAnsi" w:hAnsiTheme="minorHAnsi"/>
        </w:rPr>
        <w:t>Contacts provided</w:t>
      </w:r>
      <w:r w:rsidR="00890D5D" w:rsidRPr="008F164E">
        <w:rPr>
          <w:rFonts w:asciiTheme="minorHAnsi" w:hAnsiTheme="minorHAnsi"/>
        </w:rPr>
        <w:t xml:space="preserve"> mixed views on gran</w:t>
      </w:r>
      <w:r w:rsidR="00890D5D">
        <w:rPr>
          <w:rFonts w:asciiTheme="minorHAnsi" w:hAnsiTheme="minorHAnsi"/>
        </w:rPr>
        <w:t xml:space="preserve">t schemes established by </w:t>
      </w:r>
      <w:r w:rsidR="008F164E">
        <w:rPr>
          <w:rFonts w:asciiTheme="minorHAnsi" w:hAnsiTheme="minorHAnsi"/>
        </w:rPr>
        <w:t>S</w:t>
      </w:r>
      <w:r w:rsidR="00890D5D" w:rsidRPr="008F164E">
        <w:rPr>
          <w:rFonts w:asciiTheme="minorHAnsi" w:hAnsiTheme="minorHAnsi"/>
        </w:rPr>
        <w:t xml:space="preserve">tates since securing grants </w:t>
      </w:r>
      <w:r w:rsidR="00550D40" w:rsidRPr="008F164E">
        <w:rPr>
          <w:rFonts w:asciiTheme="minorHAnsi" w:hAnsiTheme="minorHAnsi"/>
        </w:rPr>
        <w:t xml:space="preserve">through these schemes </w:t>
      </w:r>
      <w:r w:rsidR="00890D5D" w:rsidRPr="008F164E">
        <w:rPr>
          <w:rFonts w:asciiTheme="minorHAnsi" w:hAnsiTheme="minorHAnsi"/>
        </w:rPr>
        <w:t xml:space="preserve">requires cash co-contributions from applicants. </w:t>
      </w:r>
      <w:r w:rsidR="00972D5A">
        <w:rPr>
          <w:rFonts w:asciiTheme="minorHAnsi" w:hAnsiTheme="minorHAnsi"/>
        </w:rPr>
        <w:t>They</w:t>
      </w:r>
      <w:r w:rsidR="00890D5D" w:rsidRPr="008F164E">
        <w:rPr>
          <w:rFonts w:asciiTheme="minorHAnsi" w:hAnsiTheme="minorHAnsi"/>
        </w:rPr>
        <w:t xml:space="preserve"> suggested revisiting eligibility criteria</w:t>
      </w:r>
      <w:r w:rsidR="00E91C2A" w:rsidRPr="008F164E">
        <w:rPr>
          <w:rFonts w:asciiTheme="minorHAnsi" w:hAnsiTheme="minorHAnsi"/>
        </w:rPr>
        <w:t xml:space="preserve"> to better target </w:t>
      </w:r>
      <w:r w:rsidR="009A0430">
        <w:rPr>
          <w:rFonts w:asciiTheme="minorHAnsi" w:hAnsiTheme="minorHAnsi"/>
        </w:rPr>
        <w:t>such</w:t>
      </w:r>
      <w:r w:rsidR="000A6CD8" w:rsidRPr="008F164E">
        <w:rPr>
          <w:rFonts w:asciiTheme="minorHAnsi" w:hAnsiTheme="minorHAnsi"/>
        </w:rPr>
        <w:t xml:space="preserve"> programs</w:t>
      </w:r>
      <w:r w:rsidR="00E91C2A" w:rsidRPr="008F164E">
        <w:rPr>
          <w:rFonts w:asciiTheme="minorHAnsi" w:hAnsiTheme="minorHAnsi"/>
        </w:rPr>
        <w:t xml:space="preserve"> rather than r</w:t>
      </w:r>
      <w:r w:rsidR="00890D5D" w:rsidRPr="008F164E">
        <w:rPr>
          <w:rFonts w:asciiTheme="minorHAnsi" w:hAnsiTheme="minorHAnsi"/>
        </w:rPr>
        <w:t xml:space="preserve">emoving </w:t>
      </w:r>
      <w:r w:rsidR="000A6CD8" w:rsidRPr="008F164E">
        <w:rPr>
          <w:rFonts w:asciiTheme="minorHAnsi" w:hAnsiTheme="minorHAnsi"/>
        </w:rPr>
        <w:t>these</w:t>
      </w:r>
      <w:r w:rsidR="00E91C2A" w:rsidRPr="008F164E">
        <w:rPr>
          <w:rFonts w:asciiTheme="minorHAnsi" w:hAnsiTheme="minorHAnsi"/>
        </w:rPr>
        <w:t xml:space="preserve"> </w:t>
      </w:r>
      <w:r w:rsidR="00890D5D" w:rsidRPr="008F164E">
        <w:rPr>
          <w:rFonts w:asciiTheme="minorHAnsi" w:hAnsiTheme="minorHAnsi"/>
        </w:rPr>
        <w:t>altogether</w:t>
      </w:r>
      <w:r w:rsidR="00E91C2A" w:rsidRPr="008F164E">
        <w:rPr>
          <w:rFonts w:asciiTheme="minorHAnsi" w:hAnsiTheme="minorHAnsi"/>
        </w:rPr>
        <w:t xml:space="preserve"> where uptake is low</w:t>
      </w:r>
      <w:r w:rsidR="000A6CD8" w:rsidRPr="008F164E">
        <w:rPr>
          <w:rFonts w:asciiTheme="minorHAnsi" w:hAnsiTheme="minorHAnsi"/>
        </w:rPr>
        <w:t xml:space="preserve"> or the scheme is not meeting the desired objectives</w:t>
      </w:r>
      <w:r w:rsidR="00890D5D" w:rsidRPr="008F164E">
        <w:rPr>
          <w:rFonts w:asciiTheme="minorHAnsi" w:hAnsiTheme="minorHAnsi"/>
        </w:rPr>
        <w:t>.</w:t>
      </w:r>
    </w:p>
    <w:p w14:paraId="5E2D4FBE" w14:textId="41B408BA" w:rsidR="004D4576" w:rsidRPr="002133F6" w:rsidRDefault="004D4576" w:rsidP="00FE6924">
      <w:pPr>
        <w:pStyle w:val="Bullet"/>
      </w:pPr>
      <w:r w:rsidRPr="002133F6">
        <w:t>A few stakeholders commented that there needs to be more fostering of industry clustering and innovation hubs to build momentum in the transition to advanced manufacturing. There was an open question on government</w:t>
      </w:r>
      <w:r w:rsidR="00523D27">
        <w:t>s’ role in assisting with this.</w:t>
      </w:r>
    </w:p>
    <w:p w14:paraId="0C4D23F7" w14:textId="77777777" w:rsidR="00F21FA5" w:rsidRDefault="00F21FA5" w:rsidP="00824E36">
      <w:pPr>
        <w:pStyle w:val="Heading3"/>
      </w:pPr>
      <w:bookmarkStart w:id="205" w:name="_Toc490218376"/>
      <w:bookmarkStart w:id="206" w:name="_Toc490237252"/>
      <w:bookmarkStart w:id="207" w:name="_Toc490745052"/>
      <w:bookmarkStart w:id="208" w:name="_Toc491081816"/>
      <w:bookmarkStart w:id="209" w:name="_Toc491108210"/>
      <w:bookmarkStart w:id="210" w:name="_Toc491168328"/>
      <w:bookmarkStart w:id="211" w:name="_Toc491704039"/>
      <w:bookmarkStart w:id="212" w:name="_Toc491705755"/>
      <w:bookmarkStart w:id="213" w:name="_Toc492465373"/>
      <w:bookmarkStart w:id="214" w:name="_Toc492571394"/>
      <w:bookmarkStart w:id="215" w:name="_Toc492902196"/>
      <w:bookmarkStart w:id="216" w:name="_Toc496095491"/>
      <w:bookmarkStart w:id="217" w:name="_Toc496097065"/>
      <w:r>
        <w:t>Skills and the labour market</w:t>
      </w:r>
      <w:bookmarkEnd w:id="205"/>
      <w:bookmarkEnd w:id="206"/>
      <w:bookmarkEnd w:id="207"/>
      <w:bookmarkEnd w:id="208"/>
      <w:bookmarkEnd w:id="209"/>
      <w:bookmarkEnd w:id="210"/>
      <w:bookmarkEnd w:id="211"/>
      <w:bookmarkEnd w:id="212"/>
      <w:bookmarkEnd w:id="213"/>
      <w:bookmarkEnd w:id="214"/>
      <w:bookmarkEnd w:id="215"/>
      <w:bookmarkEnd w:id="216"/>
      <w:bookmarkEnd w:id="217"/>
    </w:p>
    <w:p w14:paraId="06696C30" w14:textId="73D076D6" w:rsidR="00F21FA5" w:rsidRPr="008F164E" w:rsidRDefault="00F21FA5" w:rsidP="001B3352">
      <w:pPr>
        <w:rPr>
          <w:rFonts w:asciiTheme="minorHAnsi" w:hAnsiTheme="minorHAnsi"/>
        </w:rPr>
      </w:pPr>
      <w:r w:rsidRPr="008F164E">
        <w:rPr>
          <w:rFonts w:asciiTheme="minorHAnsi" w:hAnsiTheme="minorHAnsi"/>
        </w:rPr>
        <w:t>Businesses raised concerns that while digital and other technologies are being adopted across Australian industries, they cannot access the required skills and knowledge to create measurable value from them. This can be more challenging for small businesses, which typically need to see a strong case for the adoption of new technologies before</w:t>
      </w:r>
      <w:r w:rsidR="00523D27">
        <w:rPr>
          <w:rFonts w:asciiTheme="minorHAnsi" w:hAnsiTheme="minorHAnsi"/>
        </w:rPr>
        <w:t xml:space="preserve"> committing money or resources.</w:t>
      </w:r>
    </w:p>
    <w:p w14:paraId="607F2B94" w14:textId="1F6BD9D8" w:rsidR="00297515" w:rsidRPr="008F164E" w:rsidRDefault="00E7059A" w:rsidP="001B3352">
      <w:pPr>
        <w:rPr>
          <w:rFonts w:asciiTheme="minorHAnsi" w:hAnsiTheme="minorHAnsi"/>
        </w:rPr>
      </w:pPr>
      <w:r>
        <w:rPr>
          <w:rFonts w:asciiTheme="minorHAnsi" w:hAnsiTheme="minorHAnsi"/>
          <w:noProof/>
          <w:lang w:eastAsia="en-AU"/>
        </w:rPr>
        <w:drawing>
          <wp:anchor distT="0" distB="0" distL="114300" distR="114300" simplePos="0" relativeHeight="251657728" behindDoc="0" locked="0" layoutInCell="1" allowOverlap="1" wp14:anchorId="15F674CF" wp14:editId="65B605ED">
            <wp:simplePos x="0" y="0"/>
            <wp:positionH relativeFrom="column">
              <wp:posOffset>-20320</wp:posOffset>
            </wp:positionH>
            <wp:positionV relativeFrom="paragraph">
              <wp:posOffset>43815</wp:posOffset>
            </wp:positionV>
            <wp:extent cx="1655445" cy="647700"/>
            <wp:effectExtent l="0" t="0" r="1905" b="0"/>
            <wp:wrapSquare wrapText="bothSides"/>
            <wp:docPr id="304" name="Pictur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Z:\2017\Reports and Reviews\Intergovernmental Review of Business Investment\pullQuote-27.pn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3294" t="11634" r="13203" b="10434"/>
                    <a:stretch/>
                  </pic:blipFill>
                  <pic:spPr bwMode="auto">
                    <a:xfrm>
                      <a:off x="0" y="0"/>
                      <a:ext cx="1655445"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1FA5" w:rsidRPr="008F164E">
        <w:rPr>
          <w:rFonts w:asciiTheme="minorHAnsi" w:hAnsiTheme="minorHAnsi"/>
        </w:rPr>
        <w:t>Stakeholders agreed that the labour market needs to be flexible enough to adapt to changing skills needs and people will need to be able to reskill much more quickly to adapt to the changing economy. It was agreed that we are rapidly going to need employees with a different set of skills but that we are not well placed for this</w:t>
      </w:r>
      <w:r w:rsidR="00CD207C" w:rsidRPr="008F164E">
        <w:rPr>
          <w:rFonts w:asciiTheme="minorHAnsi" w:hAnsiTheme="minorHAnsi"/>
        </w:rPr>
        <w:t>, for example there is already a lack of programming skills</w:t>
      </w:r>
      <w:r w:rsidR="00F21FA5">
        <w:rPr>
          <w:rFonts w:asciiTheme="minorHAnsi" w:hAnsiTheme="minorHAnsi"/>
        </w:rPr>
        <w:t>.</w:t>
      </w:r>
    </w:p>
    <w:p w14:paraId="56170A70" w14:textId="47E657C5" w:rsidR="00F21FA5" w:rsidRPr="002133F6" w:rsidRDefault="00F21FA5" w:rsidP="00FE6924">
      <w:pPr>
        <w:pStyle w:val="Bullet"/>
      </w:pPr>
      <w:r w:rsidRPr="008F164E">
        <w:t>One contact provided an example of a company in advanced manufacturing that was unable to fill a number of jobs because a large number of the applicants f</w:t>
      </w:r>
      <w:r w:rsidR="00523D27">
        <w:t>ailed a basic maths assessment.</w:t>
      </w:r>
    </w:p>
    <w:p w14:paraId="4CF85529" w14:textId="68ED288E" w:rsidR="00F21FA5" w:rsidRPr="008F164E" w:rsidRDefault="00F21FA5" w:rsidP="001B3352">
      <w:pPr>
        <w:rPr>
          <w:rFonts w:asciiTheme="minorHAnsi" w:hAnsiTheme="minorHAnsi"/>
        </w:rPr>
      </w:pPr>
      <w:r w:rsidRPr="008F164E">
        <w:rPr>
          <w:rFonts w:asciiTheme="minorHAnsi" w:hAnsiTheme="minorHAnsi"/>
        </w:rPr>
        <w:t xml:space="preserve">Some contacts considered that gaps and shortfalls across Australia’s education and training systems are an issue. It was noted that universities are responding by offering shorter, more general degrees. It is considered that the Vocational Education and </w:t>
      </w:r>
      <w:r w:rsidR="009A0430">
        <w:rPr>
          <w:rFonts w:asciiTheme="minorHAnsi" w:hAnsiTheme="minorHAnsi"/>
        </w:rPr>
        <w:t>T</w:t>
      </w:r>
      <w:r w:rsidRPr="008F164E">
        <w:rPr>
          <w:rFonts w:asciiTheme="minorHAnsi" w:hAnsiTheme="minorHAnsi"/>
        </w:rPr>
        <w:t xml:space="preserve">raining (VET) sector will need to play a bigger role in the future. Some contacts suggested that there needs to be greater </w:t>
      </w:r>
      <w:r w:rsidR="00823096">
        <w:rPr>
          <w:rFonts w:asciiTheme="minorHAnsi" w:hAnsiTheme="minorHAnsi"/>
        </w:rPr>
        <w:t>link</w:t>
      </w:r>
      <w:r w:rsidRPr="008F164E">
        <w:rPr>
          <w:rFonts w:asciiTheme="minorHAnsi" w:hAnsiTheme="minorHAnsi"/>
        </w:rPr>
        <w:t>s between universities</w:t>
      </w:r>
      <w:r w:rsidR="009A0430">
        <w:rPr>
          <w:rFonts w:asciiTheme="minorHAnsi" w:hAnsiTheme="minorHAnsi"/>
        </w:rPr>
        <w:t>,</w:t>
      </w:r>
      <w:r w:rsidRPr="008F164E">
        <w:rPr>
          <w:rFonts w:asciiTheme="minorHAnsi" w:hAnsiTheme="minorHAnsi"/>
        </w:rPr>
        <w:t xml:space="preserve"> the VET sector and training hubs. Others acknowledged that industry should be sending signals on skills needs to the education sector but that businesses themselves are still adapting to the fast pace of technological change and the impacts – such as the advancing of A</w:t>
      </w:r>
      <w:r w:rsidR="00CD207C" w:rsidRPr="008F164E">
        <w:rPr>
          <w:rFonts w:asciiTheme="minorHAnsi" w:hAnsiTheme="minorHAnsi"/>
        </w:rPr>
        <w:t xml:space="preserve">rtificial </w:t>
      </w:r>
      <w:r w:rsidRPr="008F164E">
        <w:rPr>
          <w:rFonts w:asciiTheme="minorHAnsi" w:hAnsiTheme="minorHAnsi"/>
        </w:rPr>
        <w:t>I</w:t>
      </w:r>
      <w:r w:rsidR="00CD207C" w:rsidRPr="008F164E">
        <w:rPr>
          <w:rFonts w:asciiTheme="minorHAnsi" w:hAnsiTheme="minorHAnsi"/>
        </w:rPr>
        <w:t>ntelligence</w:t>
      </w:r>
      <w:r w:rsidRPr="008F164E">
        <w:rPr>
          <w:rFonts w:asciiTheme="minorHAnsi" w:hAnsiTheme="minorHAnsi"/>
        </w:rPr>
        <w:t>.</w:t>
      </w:r>
    </w:p>
    <w:p w14:paraId="033FD90E" w14:textId="62DB2336" w:rsidR="00F21FA5" w:rsidRPr="0020294C" w:rsidRDefault="009A0430" w:rsidP="00134AFD">
      <w:r>
        <w:t>Our consultations</w:t>
      </w:r>
      <w:r w:rsidR="00F21FA5" w:rsidRPr="008F164E">
        <w:t xml:space="preserve"> raised important questions about how the VET and university sector respond to the changing industry needs, as well as industry’s role in this through signalling. Concerns </w:t>
      </w:r>
      <w:r w:rsidR="008F164E">
        <w:t>were</w:t>
      </w:r>
      <w:r w:rsidR="00F21FA5">
        <w:t xml:space="preserve"> </w:t>
      </w:r>
      <w:r w:rsidR="00F21FA5" w:rsidRPr="008F164E">
        <w:t>raised about the rapid pace of technological change</w:t>
      </w:r>
      <w:r w:rsidR="00F21FA5">
        <w:t xml:space="preserve"> and likely impacts on industry</w:t>
      </w:r>
      <w:r w:rsidR="008F164E">
        <w:t xml:space="preserve">, which </w:t>
      </w:r>
      <w:r w:rsidR="00F21FA5" w:rsidRPr="008F164E">
        <w:t>highlight</w:t>
      </w:r>
      <w:r w:rsidR="008F164E">
        <w:t>s</w:t>
      </w:r>
      <w:r w:rsidR="00F21FA5" w:rsidRPr="008F164E">
        <w:t xml:space="preserve"> the importance of industry working together with the education sector </w:t>
      </w:r>
      <w:r w:rsidR="00926C61">
        <w:t>to help smooth this transition.</w:t>
      </w:r>
    </w:p>
    <w:p w14:paraId="6457D71D" w14:textId="1B58FD3A" w:rsidR="009A0430" w:rsidRDefault="00F21FA5" w:rsidP="009A0430">
      <w:r w:rsidRPr="008F164E">
        <w:t xml:space="preserve">Other questions raised include whether the VET sector could play a greater role in skilling the workforce and what </w:t>
      </w:r>
      <w:r w:rsidR="009A0430">
        <w:t xml:space="preserve">is </w:t>
      </w:r>
      <w:r w:rsidRPr="008F164E">
        <w:t>industry’s role in providing relevant technical and on-the-job training</w:t>
      </w:r>
      <w:r w:rsidR="00CD207C" w:rsidRPr="008F164E">
        <w:t>.</w:t>
      </w:r>
      <w:r w:rsidRPr="008F164E">
        <w:t xml:space="preserve"> Some of the feedback suggests that industry assumes that skilling of workforces is primarily a role for government</w:t>
      </w:r>
      <w:r w:rsidR="009A0430">
        <w:t>s</w:t>
      </w:r>
      <w:r w:rsidR="00926C61">
        <w:t>.</w:t>
      </w:r>
    </w:p>
    <w:p w14:paraId="167B68C9" w14:textId="42EC1C24" w:rsidR="001B1D69" w:rsidRDefault="00E7059A" w:rsidP="00824E36">
      <w:pPr>
        <w:pStyle w:val="Heading4"/>
      </w:pPr>
      <w:bookmarkStart w:id="218" w:name="_Toc490218377"/>
      <w:bookmarkStart w:id="219" w:name="_Toc490237253"/>
      <w:bookmarkStart w:id="220" w:name="_Toc490745053"/>
      <w:bookmarkStart w:id="221" w:name="_Toc491081817"/>
      <w:bookmarkStart w:id="222" w:name="_Toc491108211"/>
      <w:bookmarkStart w:id="223" w:name="_Toc491168329"/>
      <w:bookmarkStart w:id="224" w:name="_Toc491704040"/>
      <w:bookmarkStart w:id="225" w:name="_Toc491705756"/>
      <w:bookmarkStart w:id="226" w:name="_Toc492465374"/>
      <w:bookmarkStart w:id="227" w:name="_Toc492571395"/>
      <w:bookmarkStart w:id="228" w:name="_Toc492902197"/>
      <w:r>
        <w:rPr>
          <w:noProof/>
          <w:lang w:eastAsia="en-AU"/>
        </w:rPr>
        <w:drawing>
          <wp:anchor distT="0" distB="0" distL="114300" distR="114300" simplePos="0" relativeHeight="251658752" behindDoc="0" locked="0" layoutInCell="1" allowOverlap="1" wp14:anchorId="4336717B" wp14:editId="4CBB97F4">
            <wp:simplePos x="0" y="0"/>
            <wp:positionH relativeFrom="column">
              <wp:posOffset>3932555</wp:posOffset>
            </wp:positionH>
            <wp:positionV relativeFrom="paragraph">
              <wp:posOffset>325755</wp:posOffset>
            </wp:positionV>
            <wp:extent cx="1799590" cy="755650"/>
            <wp:effectExtent l="0" t="0" r="0" b="6350"/>
            <wp:wrapSquare wrapText="bothSides"/>
            <wp:docPr id="305" name="Pictur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Z:\2017\Reports and Reviews\Intergovernmental Review of Business Investment\pullQuote-28.pn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7089" t="2062" r="7001" b="2014"/>
                    <a:stretch/>
                  </pic:blipFill>
                  <pic:spPr bwMode="auto">
                    <a:xfrm>
                      <a:off x="0" y="0"/>
                      <a:ext cx="1799590" cy="75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1FA5">
        <w:t>SMEs skills challenges</w:t>
      </w:r>
      <w:bookmarkEnd w:id="218"/>
      <w:bookmarkEnd w:id="219"/>
      <w:bookmarkEnd w:id="220"/>
      <w:bookmarkEnd w:id="221"/>
      <w:bookmarkEnd w:id="222"/>
      <w:bookmarkEnd w:id="223"/>
      <w:bookmarkEnd w:id="224"/>
      <w:bookmarkEnd w:id="225"/>
      <w:bookmarkEnd w:id="226"/>
      <w:bookmarkEnd w:id="227"/>
      <w:bookmarkEnd w:id="228"/>
    </w:p>
    <w:p w14:paraId="783E96DC" w14:textId="3C0FBDAB" w:rsidR="00F21FA5" w:rsidRPr="001B1D69" w:rsidRDefault="00F21FA5" w:rsidP="00193C4C">
      <w:r w:rsidRPr="001B1D69">
        <w:t xml:space="preserve">Our consultations revealed that attracting and retaining skilled labour </w:t>
      </w:r>
      <w:r w:rsidR="009A0430" w:rsidRPr="001B1D69">
        <w:t xml:space="preserve">and </w:t>
      </w:r>
      <w:r w:rsidRPr="001B1D69">
        <w:t>talented professionals can be even more challenging for SMEs. Contacts in Adelaide</w:t>
      </w:r>
      <w:r w:rsidR="00610F45" w:rsidRPr="001B1D69">
        <w:t>,</w:t>
      </w:r>
      <w:r w:rsidRPr="001B1D69" w:rsidDel="00610F45">
        <w:t xml:space="preserve"> </w:t>
      </w:r>
      <w:r w:rsidRPr="001B1D69">
        <w:t>Tasmania</w:t>
      </w:r>
      <w:r w:rsidR="00610F45" w:rsidRPr="001B1D69">
        <w:t xml:space="preserve"> and the ACT</w:t>
      </w:r>
      <w:r w:rsidRPr="001B1D69">
        <w:t xml:space="preserve"> </w:t>
      </w:r>
      <w:r w:rsidR="00610F45" w:rsidRPr="001B1D69">
        <w:t xml:space="preserve">commented </w:t>
      </w:r>
      <w:r w:rsidRPr="001B1D69">
        <w:t>that this is parti</w:t>
      </w:r>
      <w:r w:rsidR="00D96B1E" w:rsidRPr="001B1D69">
        <w:t>cularly challenging in smaller S</w:t>
      </w:r>
      <w:r w:rsidRPr="001B1D69">
        <w:t>tates</w:t>
      </w:r>
      <w:r w:rsidR="00926C61">
        <w:t>.</w:t>
      </w:r>
    </w:p>
    <w:p w14:paraId="142E66FE" w14:textId="06471914" w:rsidR="00F21FA5" w:rsidRPr="008F164E" w:rsidRDefault="00F21FA5" w:rsidP="00FE6924">
      <w:pPr>
        <w:pStyle w:val="Bullet"/>
      </w:pPr>
      <w:r w:rsidRPr="008F164E">
        <w:t xml:space="preserve">One contact in </w:t>
      </w:r>
      <w:r w:rsidR="00CD207C" w:rsidRPr="008F164E">
        <w:t>South Australia</w:t>
      </w:r>
      <w:r w:rsidRPr="008F164E">
        <w:t xml:space="preserve"> described this as the biggest barrier to their business expansion, noting that it’s hard to compete</w:t>
      </w:r>
      <w:r w:rsidR="00D96B1E">
        <w:t xml:space="preserve"> with large companies in other S</w:t>
      </w:r>
      <w:r w:rsidRPr="008F164E">
        <w:t xml:space="preserve">tates. While locals consider that Adelaide, and </w:t>
      </w:r>
      <w:r w:rsidR="00CD207C" w:rsidRPr="008F164E">
        <w:t>South Australia</w:t>
      </w:r>
      <w:r w:rsidRPr="008F164E">
        <w:t xml:space="preserve"> more broadly, are generally considered a ‘dream’ place to do business and live, </w:t>
      </w:r>
      <w:r w:rsidR="00972D5A">
        <w:t>businesses</w:t>
      </w:r>
      <w:r w:rsidRPr="008F164E">
        <w:t xml:space="preserve"> indicated that attracting talent, particularly young people with technical skills (IT skills for example), is diffic</w:t>
      </w:r>
      <w:r w:rsidR="00926C61">
        <w:t>ult even with a salary premium.</w:t>
      </w:r>
    </w:p>
    <w:p w14:paraId="6243AD8D" w14:textId="577BD62B" w:rsidR="00944D3E" w:rsidRPr="002133F6" w:rsidRDefault="00944D3E" w:rsidP="00FE6924">
      <w:pPr>
        <w:pStyle w:val="Bullet"/>
      </w:pPr>
      <w:r w:rsidRPr="008F164E">
        <w:t xml:space="preserve">Similarly </w:t>
      </w:r>
      <w:r w:rsidR="00F21FA5" w:rsidRPr="008F164E">
        <w:t xml:space="preserve">a contact in Tasmania noted that it is hard to compete with large construction projects on the mainland and skilled workers </w:t>
      </w:r>
      <w:r w:rsidR="00F21FA5">
        <w:t xml:space="preserve">are often lured to the bigger </w:t>
      </w:r>
      <w:r w:rsidR="008F164E">
        <w:t>S</w:t>
      </w:r>
      <w:r w:rsidR="00F21FA5" w:rsidRPr="008F164E">
        <w:t>tates.</w:t>
      </w:r>
    </w:p>
    <w:p w14:paraId="776BD6DF" w14:textId="1EEE191A" w:rsidR="00610F45" w:rsidRPr="00804986" w:rsidRDefault="00610F45" w:rsidP="002133F6">
      <w:pPr>
        <w:pStyle w:val="Bullet"/>
        <w:tabs>
          <w:tab w:val="clear" w:pos="425"/>
        </w:tabs>
        <w:rPr>
          <w:rFonts w:asciiTheme="minorHAnsi" w:hAnsiTheme="minorHAnsi"/>
        </w:rPr>
      </w:pPr>
      <w:r w:rsidRPr="00804986">
        <w:rPr>
          <w:rFonts w:asciiTheme="minorHAnsi" w:hAnsiTheme="minorHAnsi"/>
        </w:rPr>
        <w:t>A contact in Canberra noted</w:t>
      </w:r>
      <w:r w:rsidRPr="00FE6924">
        <w:t xml:space="preserve"> that while the ACT is home to five universities and a range of tertiary and training instituti</w:t>
      </w:r>
      <w:r w:rsidRPr="00804986">
        <w:rPr>
          <w:rFonts w:asciiTheme="minorHAnsi" w:hAnsiTheme="minorHAnsi"/>
        </w:rPr>
        <w:t>ons, Canberra businesses continue to identify skills shortages as a key impediment to bus</w:t>
      </w:r>
      <w:r w:rsidR="00926C61">
        <w:rPr>
          <w:rFonts w:asciiTheme="minorHAnsi" w:hAnsiTheme="minorHAnsi"/>
        </w:rPr>
        <w:t xml:space="preserve">iness investment in the </w:t>
      </w:r>
      <w:r w:rsidR="00E95FE4">
        <w:rPr>
          <w:rFonts w:asciiTheme="minorHAnsi" w:hAnsiTheme="minorHAnsi"/>
        </w:rPr>
        <w:t>r</w:t>
      </w:r>
      <w:r w:rsidR="00926C61">
        <w:rPr>
          <w:rFonts w:asciiTheme="minorHAnsi" w:hAnsiTheme="minorHAnsi"/>
        </w:rPr>
        <w:t>egion.</w:t>
      </w:r>
    </w:p>
    <w:p w14:paraId="4BDBE918" w14:textId="39B98E33" w:rsidR="00822558" w:rsidRPr="002133F6" w:rsidRDefault="00610F45" w:rsidP="00FE6924">
      <w:pPr>
        <w:pStyle w:val="Bullet"/>
      </w:pPr>
      <w:r w:rsidRPr="008F164E">
        <w:t xml:space="preserve">Some small businesses suggested that they lack the time or resources to invest in upskilling themselves or their employees. </w:t>
      </w:r>
      <w:r w:rsidR="00944D3E" w:rsidRPr="008F164E">
        <w:t xml:space="preserve">One </w:t>
      </w:r>
      <w:r w:rsidR="002A7E61" w:rsidRPr="008F164E">
        <w:t xml:space="preserve">contact </w:t>
      </w:r>
      <w:r w:rsidR="00944D3E" w:rsidRPr="008F164E">
        <w:t>said the cost of training staff is around $40</w:t>
      </w:r>
      <w:r w:rsidR="002A7E61" w:rsidRPr="008F164E">
        <w:t>,</w:t>
      </w:r>
      <w:r w:rsidR="00944D3E" w:rsidRPr="008F164E">
        <w:t xml:space="preserve">000 to $60,000 per employee </w:t>
      </w:r>
      <w:r w:rsidR="002A7E61" w:rsidRPr="008F164E">
        <w:t xml:space="preserve">in their business so </w:t>
      </w:r>
      <w:r w:rsidR="00944D3E" w:rsidRPr="008F164E">
        <w:t>the investment in your labour force is a bi</w:t>
      </w:r>
      <w:r w:rsidR="00926C61">
        <w:t>g part of your working capital.</w:t>
      </w:r>
    </w:p>
    <w:p w14:paraId="37CDAB28" w14:textId="1A2F0898" w:rsidR="00F21FA5" w:rsidRDefault="00F21FA5" w:rsidP="00CD6D1C">
      <w:pPr>
        <w:pStyle w:val="Heading4"/>
      </w:pPr>
      <w:bookmarkStart w:id="229" w:name="_Toc490218378"/>
      <w:bookmarkStart w:id="230" w:name="_Toc490237254"/>
      <w:bookmarkStart w:id="231" w:name="_Toc490745054"/>
      <w:bookmarkStart w:id="232" w:name="_Toc491081818"/>
      <w:bookmarkStart w:id="233" w:name="_Toc491108212"/>
      <w:bookmarkStart w:id="234" w:name="_Toc491168330"/>
      <w:bookmarkStart w:id="235" w:name="_Toc491704041"/>
      <w:bookmarkStart w:id="236" w:name="_Toc491705757"/>
      <w:bookmarkStart w:id="237" w:name="_Toc492465375"/>
      <w:bookmarkStart w:id="238" w:name="_Toc492571396"/>
      <w:bookmarkStart w:id="239" w:name="_Toc492902198"/>
      <w:r>
        <w:t>Skilled visa program</w:t>
      </w:r>
      <w:bookmarkEnd w:id="229"/>
      <w:bookmarkEnd w:id="230"/>
      <w:bookmarkEnd w:id="231"/>
      <w:bookmarkEnd w:id="232"/>
      <w:bookmarkEnd w:id="233"/>
      <w:bookmarkEnd w:id="234"/>
      <w:bookmarkEnd w:id="235"/>
      <w:bookmarkEnd w:id="236"/>
      <w:bookmarkEnd w:id="237"/>
      <w:bookmarkEnd w:id="238"/>
      <w:bookmarkEnd w:id="239"/>
    </w:p>
    <w:p w14:paraId="518B0F9F" w14:textId="12D111FA" w:rsidR="00AF76FC" w:rsidRPr="008F164E" w:rsidRDefault="00F21FA5" w:rsidP="001B3352">
      <w:pPr>
        <w:rPr>
          <w:rFonts w:asciiTheme="minorHAnsi" w:hAnsiTheme="minorHAnsi"/>
        </w:rPr>
      </w:pPr>
      <w:r w:rsidRPr="008F164E">
        <w:rPr>
          <w:rFonts w:asciiTheme="minorHAnsi" w:hAnsiTheme="minorHAnsi"/>
        </w:rPr>
        <w:t xml:space="preserve">Most stakeholders indicated strong support for the </w:t>
      </w:r>
      <w:r w:rsidR="00DF1E04" w:rsidRPr="008F164E">
        <w:rPr>
          <w:rFonts w:asciiTheme="minorHAnsi" w:hAnsiTheme="minorHAnsi"/>
        </w:rPr>
        <w:t xml:space="preserve">457 visa </w:t>
      </w:r>
      <w:r w:rsidRPr="008F164E">
        <w:rPr>
          <w:rFonts w:asciiTheme="minorHAnsi" w:hAnsiTheme="minorHAnsi"/>
        </w:rPr>
        <w:t>scheme as a way of managing skills shortages – particularly for roles where the Australian workforce does not have the skills</w:t>
      </w:r>
      <w:r w:rsidR="00DF1E04" w:rsidRPr="008F164E">
        <w:rPr>
          <w:rFonts w:asciiTheme="minorHAnsi" w:hAnsiTheme="minorHAnsi"/>
        </w:rPr>
        <w:t>, with a number of examples across a range of industries provided</w:t>
      </w:r>
      <w:r w:rsidR="00926C61">
        <w:rPr>
          <w:rFonts w:asciiTheme="minorHAnsi" w:hAnsiTheme="minorHAnsi"/>
        </w:rPr>
        <w:t>.</w:t>
      </w:r>
    </w:p>
    <w:p w14:paraId="5C8FC554" w14:textId="2295BBB6" w:rsidR="00AF76FC" w:rsidRPr="008F164E" w:rsidRDefault="00F21FA5" w:rsidP="002133F6">
      <w:pPr>
        <w:pStyle w:val="Bullet"/>
        <w:tabs>
          <w:tab w:val="clear" w:pos="425"/>
        </w:tabs>
        <w:rPr>
          <w:rFonts w:asciiTheme="minorHAnsi" w:hAnsiTheme="minorHAnsi"/>
        </w:rPr>
      </w:pPr>
      <w:r w:rsidRPr="008F164E">
        <w:rPr>
          <w:rFonts w:asciiTheme="minorHAnsi" w:hAnsiTheme="minorHAnsi"/>
        </w:rPr>
        <w:t xml:space="preserve">Contacts commented that changes to the 457 visa scheme limiting some visas to two years, including for CEOs and other key personnel risk closing off </w:t>
      </w:r>
      <w:r w:rsidR="00DF1E04" w:rsidRPr="008F164E">
        <w:rPr>
          <w:rFonts w:asciiTheme="minorHAnsi" w:hAnsiTheme="minorHAnsi"/>
        </w:rPr>
        <w:t>the option to fill genuine skills shortages</w:t>
      </w:r>
      <w:r w:rsidRPr="008F164E">
        <w:rPr>
          <w:rFonts w:asciiTheme="minorHAnsi" w:hAnsiTheme="minorHAnsi"/>
        </w:rPr>
        <w:t>.</w:t>
      </w:r>
      <w:r w:rsidR="00AF76FC" w:rsidRPr="008F164E">
        <w:rPr>
          <w:rFonts w:asciiTheme="minorHAnsi" w:hAnsiTheme="minorHAnsi"/>
        </w:rPr>
        <w:t xml:space="preserve"> Many companies raised concern </w:t>
      </w:r>
      <w:r w:rsidR="00822558">
        <w:rPr>
          <w:rFonts w:asciiTheme="minorHAnsi" w:hAnsiTheme="minorHAnsi"/>
        </w:rPr>
        <w:t xml:space="preserve">about </w:t>
      </w:r>
      <w:r w:rsidR="00AF76FC" w:rsidRPr="008F164E">
        <w:rPr>
          <w:rFonts w:asciiTheme="minorHAnsi" w:hAnsiTheme="minorHAnsi"/>
        </w:rPr>
        <w:t>the process by which the changes came about and the lack of consultation ahead of the announcement.</w:t>
      </w:r>
    </w:p>
    <w:p w14:paraId="6CFD3513" w14:textId="162A897D" w:rsidR="00F21FA5" w:rsidRPr="008F164E" w:rsidRDefault="00F21FA5" w:rsidP="002133F6">
      <w:pPr>
        <w:pStyle w:val="Bullet"/>
        <w:tabs>
          <w:tab w:val="clear" w:pos="425"/>
        </w:tabs>
        <w:rPr>
          <w:rFonts w:asciiTheme="minorHAnsi" w:hAnsiTheme="minorHAnsi"/>
        </w:rPr>
      </w:pPr>
      <w:r w:rsidRPr="008F164E">
        <w:rPr>
          <w:rFonts w:asciiTheme="minorHAnsi" w:hAnsiTheme="minorHAnsi"/>
        </w:rPr>
        <w:t>Some stakeholders in Darwin raised concerns that the changes to the 457 visa program</w:t>
      </w:r>
      <w:r w:rsidR="00B507E3">
        <w:rPr>
          <w:rFonts w:asciiTheme="minorHAnsi" w:hAnsiTheme="minorHAnsi"/>
        </w:rPr>
        <w:t xml:space="preserve"> and the Work and Holiday and Working Holiday visas</w:t>
      </w:r>
      <w:r w:rsidRPr="008F164E">
        <w:rPr>
          <w:rFonts w:asciiTheme="minorHAnsi" w:hAnsiTheme="minorHAnsi"/>
        </w:rPr>
        <w:t xml:space="preserve"> will disproportionately affect the NT given the high intake of migrant workers.</w:t>
      </w:r>
    </w:p>
    <w:p w14:paraId="3E27A4EF" w14:textId="44D41E71" w:rsidR="00BA0CB8" w:rsidRDefault="00BA0CB8" w:rsidP="001B3352">
      <w:pPr>
        <w:rPr>
          <w:rFonts w:asciiTheme="minorHAnsi" w:hAnsiTheme="minorHAnsi"/>
        </w:rPr>
      </w:pPr>
      <w:r w:rsidRPr="008F164E">
        <w:rPr>
          <w:rFonts w:asciiTheme="minorHAnsi" w:hAnsiTheme="minorHAnsi"/>
        </w:rPr>
        <w:t xml:space="preserve">One stakeholder raised concern that there is too big a reliance on the 457 scheme and that </w:t>
      </w:r>
      <w:r w:rsidR="00550D40" w:rsidRPr="008F164E">
        <w:rPr>
          <w:rFonts w:asciiTheme="minorHAnsi" w:hAnsiTheme="minorHAnsi"/>
        </w:rPr>
        <w:t>Australians could easily fill the lower skilled jobs if businesses focussed on training Australian workers</w:t>
      </w:r>
      <w:r>
        <w:rPr>
          <w:rFonts w:asciiTheme="minorHAnsi" w:hAnsiTheme="minorHAnsi"/>
        </w:rPr>
        <w:t>.</w:t>
      </w:r>
    </w:p>
    <w:p w14:paraId="3EF7929B" w14:textId="77777777" w:rsidR="00991813" w:rsidRDefault="00991813" w:rsidP="00CD6D1C">
      <w:pPr>
        <w:pStyle w:val="Heading3"/>
      </w:pPr>
      <w:bookmarkStart w:id="240" w:name="_Toc490218379"/>
      <w:bookmarkStart w:id="241" w:name="_Toc490237255"/>
      <w:bookmarkStart w:id="242" w:name="_Toc490745055"/>
      <w:bookmarkStart w:id="243" w:name="_Toc491081819"/>
      <w:bookmarkStart w:id="244" w:name="_Toc491108213"/>
      <w:bookmarkStart w:id="245" w:name="_Toc491168331"/>
      <w:bookmarkStart w:id="246" w:name="_Toc491704042"/>
      <w:bookmarkStart w:id="247" w:name="_Toc491705758"/>
      <w:bookmarkStart w:id="248" w:name="_Toc492465376"/>
      <w:bookmarkStart w:id="249" w:name="_Toc492571397"/>
      <w:bookmarkStart w:id="250" w:name="_Toc492902199"/>
      <w:bookmarkStart w:id="251" w:name="_Toc496095492"/>
      <w:bookmarkStart w:id="252" w:name="_Toc496097066"/>
      <w:r>
        <w:t>Infrastructure</w:t>
      </w:r>
      <w:bookmarkEnd w:id="240"/>
      <w:bookmarkEnd w:id="241"/>
      <w:bookmarkEnd w:id="242"/>
      <w:bookmarkEnd w:id="243"/>
      <w:bookmarkEnd w:id="244"/>
      <w:bookmarkEnd w:id="245"/>
      <w:bookmarkEnd w:id="246"/>
      <w:bookmarkEnd w:id="247"/>
      <w:bookmarkEnd w:id="248"/>
      <w:bookmarkEnd w:id="249"/>
      <w:bookmarkEnd w:id="250"/>
      <w:bookmarkEnd w:id="251"/>
      <w:bookmarkEnd w:id="252"/>
    </w:p>
    <w:p w14:paraId="42DE7374" w14:textId="6B188D2C" w:rsidR="00644DFA" w:rsidRPr="008F164E" w:rsidRDefault="004D6908" w:rsidP="001B3352">
      <w:pPr>
        <w:rPr>
          <w:rFonts w:asciiTheme="minorHAnsi" w:hAnsiTheme="minorHAnsi"/>
        </w:rPr>
      </w:pPr>
      <w:r>
        <w:rPr>
          <w:rFonts w:asciiTheme="minorHAnsi" w:hAnsiTheme="minorHAnsi"/>
        </w:rPr>
        <w:t>Transport i</w:t>
      </w:r>
      <w:r w:rsidR="00277968" w:rsidRPr="008F164E">
        <w:rPr>
          <w:rFonts w:asciiTheme="minorHAnsi" w:hAnsiTheme="minorHAnsi"/>
        </w:rPr>
        <w:t>nfrastructure is</w:t>
      </w:r>
      <w:r w:rsidR="009F07BE" w:rsidRPr="008F164E">
        <w:rPr>
          <w:rFonts w:asciiTheme="minorHAnsi" w:hAnsiTheme="minorHAnsi"/>
        </w:rPr>
        <w:t xml:space="preserve"> an</w:t>
      </w:r>
      <w:r w:rsidR="00277968" w:rsidRPr="008F164E">
        <w:rPr>
          <w:rFonts w:asciiTheme="minorHAnsi" w:hAnsiTheme="minorHAnsi"/>
        </w:rPr>
        <w:t xml:space="preserve"> important enabler of productivity and efficiency </w:t>
      </w:r>
      <w:r w:rsidR="00E91C2A" w:rsidRPr="008F164E">
        <w:rPr>
          <w:rFonts w:asciiTheme="minorHAnsi" w:hAnsiTheme="minorHAnsi"/>
        </w:rPr>
        <w:t>and</w:t>
      </w:r>
      <w:r w:rsidR="00277968" w:rsidRPr="008F164E">
        <w:rPr>
          <w:rFonts w:asciiTheme="minorHAnsi" w:hAnsiTheme="minorHAnsi"/>
        </w:rPr>
        <w:t xml:space="preserve"> is a connector </w:t>
      </w:r>
      <w:r w:rsidR="00FA1F14" w:rsidRPr="008F164E">
        <w:rPr>
          <w:rFonts w:asciiTheme="minorHAnsi" w:hAnsiTheme="minorHAnsi"/>
        </w:rPr>
        <w:t>between people</w:t>
      </w:r>
      <w:r w:rsidR="00B50E87" w:rsidRPr="008F164E">
        <w:rPr>
          <w:rFonts w:asciiTheme="minorHAnsi" w:hAnsiTheme="minorHAnsi"/>
        </w:rPr>
        <w:t>, goods and services</w:t>
      </w:r>
      <w:r w:rsidR="00FA1F14" w:rsidRPr="008F164E">
        <w:rPr>
          <w:rFonts w:asciiTheme="minorHAnsi" w:hAnsiTheme="minorHAnsi"/>
        </w:rPr>
        <w:t xml:space="preserve"> and markets</w:t>
      </w:r>
      <w:r w:rsidR="00EC4C94" w:rsidRPr="008F164E">
        <w:rPr>
          <w:rFonts w:asciiTheme="minorHAnsi" w:hAnsiTheme="minorHAnsi"/>
        </w:rPr>
        <w:t>. A number of stakeholders in different regions noted</w:t>
      </w:r>
      <w:r w:rsidR="00FA1F14" w:rsidRPr="008F164E">
        <w:rPr>
          <w:rFonts w:asciiTheme="minorHAnsi" w:hAnsiTheme="minorHAnsi"/>
        </w:rPr>
        <w:t xml:space="preserve"> the importance of being able to transport goods to market</w:t>
      </w:r>
      <w:r w:rsidR="00926C61">
        <w:rPr>
          <w:rFonts w:asciiTheme="minorHAnsi" w:hAnsiTheme="minorHAnsi"/>
        </w:rPr>
        <w:t>.</w:t>
      </w:r>
    </w:p>
    <w:p w14:paraId="17F8A7F8" w14:textId="1E59DE52" w:rsidR="00644DFA" w:rsidRPr="008F164E" w:rsidRDefault="00644DFA" w:rsidP="002133F6">
      <w:pPr>
        <w:pStyle w:val="Bullet"/>
        <w:tabs>
          <w:tab w:val="clear" w:pos="425"/>
        </w:tabs>
        <w:rPr>
          <w:rFonts w:asciiTheme="minorHAnsi" w:hAnsiTheme="minorHAnsi"/>
        </w:rPr>
      </w:pPr>
      <w:r w:rsidRPr="008F164E">
        <w:rPr>
          <w:rFonts w:asciiTheme="minorHAnsi" w:hAnsiTheme="minorHAnsi"/>
        </w:rPr>
        <w:t xml:space="preserve">Shipping related export market access challenges were identified in Adelaide (where there has been a dramatic reduction in available shipping slots due to less competition in global shipping) and Tasmania (where the </w:t>
      </w:r>
      <w:r w:rsidRPr="00644DFA">
        <w:rPr>
          <w:rFonts w:asciiTheme="minorHAnsi" w:hAnsiTheme="minorHAnsi"/>
        </w:rPr>
        <w:t>direct shipping line ceased in 2010</w:t>
      </w:r>
      <w:r>
        <w:rPr>
          <w:rFonts w:asciiTheme="minorHAnsi" w:hAnsiTheme="minorHAnsi"/>
        </w:rPr>
        <w:t>).</w:t>
      </w:r>
    </w:p>
    <w:p w14:paraId="3C491E04" w14:textId="20BB3F7F" w:rsidR="00EF5803" w:rsidRPr="008F164E" w:rsidRDefault="00EF5803" w:rsidP="002133F6">
      <w:pPr>
        <w:pStyle w:val="Bullet"/>
        <w:tabs>
          <w:tab w:val="clear" w:pos="425"/>
        </w:tabs>
        <w:rPr>
          <w:rFonts w:asciiTheme="minorHAnsi" w:hAnsiTheme="minorHAnsi"/>
        </w:rPr>
      </w:pPr>
      <w:r w:rsidRPr="008F164E">
        <w:rPr>
          <w:rFonts w:asciiTheme="minorHAnsi" w:hAnsiTheme="minorHAnsi"/>
        </w:rPr>
        <w:t xml:space="preserve">There was strong support in Tasmania for the </w:t>
      </w:r>
      <w:r w:rsidRPr="000523D7">
        <w:rPr>
          <w:rFonts w:asciiTheme="minorHAnsi" w:hAnsiTheme="minorHAnsi"/>
        </w:rPr>
        <w:t>Bass Straight scheme</w:t>
      </w:r>
      <w:r w:rsidRPr="008F164E">
        <w:rPr>
          <w:rFonts w:asciiTheme="minorHAnsi" w:hAnsiTheme="minorHAnsi"/>
        </w:rPr>
        <w:t xml:space="preserve"> which was described as the life</w:t>
      </w:r>
      <w:r w:rsidR="009D7F7E">
        <w:rPr>
          <w:rFonts w:asciiTheme="minorHAnsi" w:hAnsiTheme="minorHAnsi"/>
        </w:rPr>
        <w:t xml:space="preserve">line of the Tasmanian economy. </w:t>
      </w:r>
      <w:r w:rsidR="00530762">
        <w:rPr>
          <w:rFonts w:asciiTheme="minorHAnsi" w:hAnsiTheme="minorHAnsi"/>
        </w:rPr>
        <w:t>Contacts</w:t>
      </w:r>
      <w:r w:rsidRPr="008F164E">
        <w:rPr>
          <w:rFonts w:asciiTheme="minorHAnsi" w:hAnsiTheme="minorHAnsi"/>
        </w:rPr>
        <w:t xml:space="preserve"> suggested that it is hard to know whether to invest in production to expand exports if there is uncertainty about the scheme continuing.</w:t>
      </w:r>
    </w:p>
    <w:p w14:paraId="179A3B2C" w14:textId="00BF2209" w:rsidR="00EF5803" w:rsidRPr="008F164E" w:rsidRDefault="00B50E87" w:rsidP="002133F6">
      <w:pPr>
        <w:pStyle w:val="Bullet"/>
        <w:tabs>
          <w:tab w:val="clear" w:pos="425"/>
        </w:tabs>
        <w:rPr>
          <w:rFonts w:asciiTheme="minorHAnsi" w:hAnsiTheme="minorHAnsi"/>
        </w:rPr>
      </w:pPr>
      <w:r w:rsidRPr="008F164E">
        <w:rPr>
          <w:rFonts w:asciiTheme="minorHAnsi" w:hAnsiTheme="minorHAnsi"/>
        </w:rPr>
        <w:t>L</w:t>
      </w:r>
      <w:r w:rsidR="00644DFA" w:rsidRPr="008F164E">
        <w:rPr>
          <w:rFonts w:asciiTheme="minorHAnsi" w:hAnsiTheme="minorHAnsi"/>
        </w:rPr>
        <w:t xml:space="preserve">and transport infrastructure challenges were also identified in </w:t>
      </w:r>
      <w:r w:rsidR="00EF5803" w:rsidRPr="008F164E">
        <w:rPr>
          <w:rFonts w:asciiTheme="minorHAnsi" w:hAnsiTheme="minorHAnsi"/>
        </w:rPr>
        <w:t>South Australia. Given the small size of the local market</w:t>
      </w:r>
      <w:r w:rsidR="00EC4C94" w:rsidRPr="008F164E">
        <w:rPr>
          <w:rFonts w:asciiTheme="minorHAnsi" w:hAnsiTheme="minorHAnsi"/>
        </w:rPr>
        <w:t>,</w:t>
      </w:r>
      <w:r w:rsidR="00EF5803" w:rsidRPr="008F164E">
        <w:rPr>
          <w:rFonts w:asciiTheme="minorHAnsi" w:hAnsiTheme="minorHAnsi"/>
        </w:rPr>
        <w:t xml:space="preserve"> most of the products need to </w:t>
      </w:r>
      <w:r w:rsidR="00C333F1">
        <w:rPr>
          <w:rFonts w:asciiTheme="minorHAnsi" w:hAnsiTheme="minorHAnsi"/>
        </w:rPr>
        <w:t xml:space="preserve">be </w:t>
      </w:r>
      <w:r w:rsidR="00EF5803" w:rsidRPr="008F164E">
        <w:rPr>
          <w:rFonts w:asciiTheme="minorHAnsi" w:hAnsiTheme="minorHAnsi"/>
        </w:rPr>
        <w:t>exported interstate or overseas.</w:t>
      </w:r>
    </w:p>
    <w:p w14:paraId="3E1552C5" w14:textId="77659427" w:rsidR="00644DFA" w:rsidRPr="008F164E" w:rsidRDefault="00644DFA" w:rsidP="00E7059A">
      <w:pPr>
        <w:pStyle w:val="Bullet"/>
        <w:tabs>
          <w:tab w:val="clear" w:pos="425"/>
        </w:tabs>
        <w:spacing w:after="0"/>
        <w:rPr>
          <w:rFonts w:asciiTheme="minorHAnsi" w:hAnsiTheme="minorHAnsi"/>
        </w:rPr>
      </w:pPr>
      <w:r w:rsidRPr="008F164E">
        <w:rPr>
          <w:rFonts w:asciiTheme="minorHAnsi" w:hAnsiTheme="minorHAnsi"/>
        </w:rPr>
        <w:t>Northern Territory</w:t>
      </w:r>
      <w:r w:rsidR="00EF5803" w:rsidRPr="008F164E">
        <w:rPr>
          <w:rFonts w:asciiTheme="minorHAnsi" w:hAnsiTheme="minorHAnsi"/>
        </w:rPr>
        <w:t xml:space="preserve"> contacts raised concerns about </w:t>
      </w:r>
      <w:r w:rsidR="002D434A">
        <w:rPr>
          <w:rFonts w:asciiTheme="minorHAnsi" w:hAnsiTheme="minorHAnsi"/>
        </w:rPr>
        <w:t>a</w:t>
      </w:r>
      <w:r w:rsidR="00EF5803" w:rsidRPr="008F164E">
        <w:rPr>
          <w:rFonts w:asciiTheme="minorHAnsi" w:hAnsiTheme="minorHAnsi"/>
        </w:rPr>
        <w:t xml:space="preserve"> lack of supporting infrastructure</w:t>
      </w:r>
      <w:r w:rsidR="00EC4C94" w:rsidRPr="008F164E">
        <w:rPr>
          <w:rFonts w:asciiTheme="minorHAnsi" w:hAnsiTheme="minorHAnsi"/>
        </w:rPr>
        <w:t>,</w:t>
      </w:r>
      <w:r w:rsidR="00A64068" w:rsidRPr="008F164E">
        <w:rPr>
          <w:rFonts w:asciiTheme="minorHAnsi" w:hAnsiTheme="minorHAnsi"/>
        </w:rPr>
        <w:t xml:space="preserve"> </w:t>
      </w:r>
      <w:r w:rsidR="00EC4C94" w:rsidRPr="008F164E">
        <w:rPr>
          <w:rFonts w:asciiTheme="minorHAnsi" w:hAnsiTheme="minorHAnsi"/>
        </w:rPr>
        <w:t>noting that</w:t>
      </w:r>
      <w:r w:rsidR="00EF5803" w:rsidRPr="008F164E">
        <w:rPr>
          <w:rFonts w:asciiTheme="minorHAnsi" w:hAnsiTheme="minorHAnsi"/>
        </w:rPr>
        <w:t xml:space="preserve"> road and rail improvements </w:t>
      </w:r>
      <w:r w:rsidR="00EC4C94" w:rsidRPr="008F164E">
        <w:rPr>
          <w:rFonts w:asciiTheme="minorHAnsi" w:hAnsiTheme="minorHAnsi"/>
        </w:rPr>
        <w:t xml:space="preserve">were </w:t>
      </w:r>
      <w:r w:rsidR="00EF5803" w:rsidRPr="008F164E">
        <w:rPr>
          <w:rFonts w:asciiTheme="minorHAnsi" w:hAnsiTheme="minorHAnsi"/>
        </w:rPr>
        <w:t xml:space="preserve">required to </w:t>
      </w:r>
      <w:r w:rsidR="004D6908">
        <w:rPr>
          <w:rFonts w:asciiTheme="minorHAnsi" w:hAnsiTheme="minorHAnsi"/>
        </w:rPr>
        <w:t xml:space="preserve">smooth supply chains to </w:t>
      </w:r>
      <w:r w:rsidR="00EF5803" w:rsidRPr="008F164E">
        <w:rPr>
          <w:rFonts w:asciiTheme="minorHAnsi" w:hAnsiTheme="minorHAnsi"/>
        </w:rPr>
        <w:t>support the agriculture, tourism and commodities industries.</w:t>
      </w:r>
      <w:r w:rsidR="00E45D5D" w:rsidRPr="008F164E">
        <w:rPr>
          <w:rFonts w:asciiTheme="minorHAnsi" w:hAnsiTheme="minorHAnsi"/>
        </w:rPr>
        <w:t xml:space="preserve"> The scale of most projects is such that they are less likely to get up through the Infrastructure Australia process</w:t>
      </w:r>
      <w:r w:rsidR="00E45D5D">
        <w:rPr>
          <w:rFonts w:asciiTheme="minorHAnsi" w:hAnsiTheme="minorHAnsi"/>
        </w:rPr>
        <w:t>. Project</w:t>
      </w:r>
      <w:r w:rsidR="00C333F1">
        <w:rPr>
          <w:rFonts w:asciiTheme="minorHAnsi" w:hAnsiTheme="minorHAnsi"/>
        </w:rPr>
        <w:noBreakHyphen/>
      </w:r>
      <w:r w:rsidR="00E45D5D" w:rsidRPr="008F164E">
        <w:rPr>
          <w:rFonts w:asciiTheme="minorHAnsi" w:hAnsiTheme="minorHAnsi"/>
        </w:rPr>
        <w:t>by</w:t>
      </w:r>
      <w:r w:rsidR="00C333F1">
        <w:rPr>
          <w:rFonts w:asciiTheme="minorHAnsi" w:hAnsiTheme="minorHAnsi"/>
        </w:rPr>
        <w:noBreakHyphen/>
      </w:r>
      <w:r w:rsidR="00E45D5D" w:rsidRPr="008F164E">
        <w:rPr>
          <w:rFonts w:asciiTheme="minorHAnsi" w:hAnsiTheme="minorHAnsi"/>
        </w:rPr>
        <w:t>project cost benefit ratios do not adequately take into account the holistic</w:t>
      </w:r>
      <w:r w:rsidR="00523D27">
        <w:rPr>
          <w:rFonts w:asciiTheme="minorHAnsi" w:hAnsiTheme="minorHAnsi"/>
        </w:rPr>
        <w:t xml:space="preserve"> regional development benefits.</w:t>
      </w:r>
    </w:p>
    <w:p w14:paraId="3AC01FA6" w14:textId="0EF18179" w:rsidR="00991813" w:rsidRPr="008F164E" w:rsidRDefault="00E7059A" w:rsidP="00E7059A">
      <w:pPr>
        <w:spacing w:before="180"/>
        <w:rPr>
          <w:rFonts w:asciiTheme="minorHAnsi" w:hAnsiTheme="minorHAnsi"/>
        </w:rPr>
      </w:pPr>
      <w:r>
        <w:rPr>
          <w:rFonts w:asciiTheme="minorHAnsi" w:hAnsiTheme="minorHAnsi"/>
          <w:noProof/>
          <w:lang w:eastAsia="en-AU"/>
        </w:rPr>
        <w:drawing>
          <wp:anchor distT="0" distB="0" distL="114300" distR="114300" simplePos="0" relativeHeight="251668992" behindDoc="0" locked="0" layoutInCell="1" allowOverlap="1" wp14:anchorId="2B3E810B" wp14:editId="4B16EF6E">
            <wp:simplePos x="0" y="0"/>
            <wp:positionH relativeFrom="column">
              <wp:posOffset>-19685</wp:posOffset>
            </wp:positionH>
            <wp:positionV relativeFrom="paragraph">
              <wp:posOffset>93345</wp:posOffset>
            </wp:positionV>
            <wp:extent cx="1741170" cy="770890"/>
            <wp:effectExtent l="0" t="0" r="0" b="0"/>
            <wp:wrapSquare wrapText="bothSides"/>
            <wp:docPr id="306" name="Pictur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Z:\2017\Reports and Reviews\Intergovernmental Review of Business Investment\pullQuote-29.pn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7089" r="7001"/>
                    <a:stretch/>
                  </pic:blipFill>
                  <pic:spPr bwMode="auto">
                    <a:xfrm>
                      <a:off x="0" y="0"/>
                      <a:ext cx="1741170" cy="770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813" w:rsidRPr="008F164E">
        <w:rPr>
          <w:rFonts w:asciiTheme="minorHAnsi" w:hAnsiTheme="minorHAnsi"/>
        </w:rPr>
        <w:t>Stakeholders were unanimous in their views that we need more bipartisan support for major infrastructure projects in order to support business confidence</w:t>
      </w:r>
      <w:r w:rsidR="00EC4C94" w:rsidRPr="008F164E">
        <w:rPr>
          <w:rFonts w:asciiTheme="minorHAnsi" w:hAnsiTheme="minorHAnsi"/>
        </w:rPr>
        <w:t>. T</w:t>
      </w:r>
      <w:r w:rsidR="00991813" w:rsidRPr="008F164E">
        <w:rPr>
          <w:rFonts w:asciiTheme="minorHAnsi" w:hAnsiTheme="minorHAnsi"/>
        </w:rPr>
        <w:t xml:space="preserve">his is important for the Australian brand. </w:t>
      </w:r>
    </w:p>
    <w:p w14:paraId="778AE6E3" w14:textId="28CD518F" w:rsidR="00991813" w:rsidRPr="008F164E" w:rsidRDefault="00991813" w:rsidP="003569DD">
      <w:pPr>
        <w:rPr>
          <w:rFonts w:asciiTheme="minorHAnsi" w:hAnsiTheme="minorHAnsi"/>
        </w:rPr>
      </w:pPr>
      <w:r w:rsidRPr="008F164E">
        <w:rPr>
          <w:rFonts w:asciiTheme="minorHAnsi" w:hAnsiTheme="minorHAnsi"/>
        </w:rPr>
        <w:t>Businesses consider that there is strong investor appetite in</w:t>
      </w:r>
      <w:r w:rsidR="00E91C2A" w:rsidRPr="008F164E">
        <w:rPr>
          <w:rFonts w:asciiTheme="minorHAnsi" w:hAnsiTheme="minorHAnsi"/>
        </w:rPr>
        <w:t xml:space="preserve"> the</w:t>
      </w:r>
      <w:r w:rsidRPr="008F164E">
        <w:rPr>
          <w:rFonts w:asciiTheme="minorHAnsi" w:hAnsiTheme="minorHAnsi"/>
        </w:rPr>
        <w:t xml:space="preserve"> infrastructure sector, and no shortage of capital for </w:t>
      </w:r>
      <w:r w:rsidRPr="007E21BC">
        <w:rPr>
          <w:rFonts w:asciiTheme="minorHAnsi" w:hAnsiTheme="minorHAnsi"/>
        </w:rPr>
        <w:t>good</w:t>
      </w:r>
      <w:r w:rsidR="00E91C2A" w:rsidRPr="008F164E">
        <w:rPr>
          <w:rFonts w:asciiTheme="minorHAnsi" w:hAnsiTheme="minorHAnsi"/>
        </w:rPr>
        <w:t xml:space="preserve"> </w:t>
      </w:r>
      <w:r w:rsidR="00633184" w:rsidRPr="008F164E">
        <w:rPr>
          <w:rFonts w:asciiTheme="minorHAnsi" w:hAnsiTheme="minorHAnsi"/>
        </w:rPr>
        <w:t>Greenfields</w:t>
      </w:r>
      <w:r w:rsidR="00E91C2A" w:rsidRPr="008F164E">
        <w:rPr>
          <w:rFonts w:asciiTheme="minorHAnsi" w:hAnsiTheme="minorHAnsi"/>
        </w:rPr>
        <w:t xml:space="preserve"> investments. H</w:t>
      </w:r>
      <w:r w:rsidRPr="008F164E">
        <w:rPr>
          <w:rFonts w:asciiTheme="minorHAnsi" w:hAnsiTheme="minorHAnsi"/>
        </w:rPr>
        <w:t>owever</w:t>
      </w:r>
      <w:r w:rsidR="00E91C2A" w:rsidRPr="008F164E">
        <w:rPr>
          <w:rFonts w:asciiTheme="minorHAnsi" w:hAnsiTheme="minorHAnsi"/>
        </w:rPr>
        <w:t>,</w:t>
      </w:r>
      <w:r w:rsidRPr="008F164E">
        <w:rPr>
          <w:rFonts w:asciiTheme="minorHAnsi" w:hAnsiTheme="minorHAnsi"/>
        </w:rPr>
        <w:t xml:space="preserve"> there </w:t>
      </w:r>
      <w:r w:rsidR="00C112BC" w:rsidRPr="008F164E">
        <w:rPr>
          <w:rFonts w:asciiTheme="minorHAnsi" w:hAnsiTheme="minorHAnsi"/>
        </w:rPr>
        <w:t>remains</w:t>
      </w:r>
      <w:r w:rsidRPr="008F164E">
        <w:rPr>
          <w:rFonts w:asciiTheme="minorHAnsi" w:hAnsiTheme="minorHAnsi"/>
        </w:rPr>
        <w:t xml:space="preserve"> a strong role for governments to play </w:t>
      </w:r>
      <w:r w:rsidR="00C112BC" w:rsidRPr="008F164E">
        <w:rPr>
          <w:rFonts w:asciiTheme="minorHAnsi" w:hAnsiTheme="minorHAnsi"/>
        </w:rPr>
        <w:t>particularly with</w:t>
      </w:r>
      <w:r w:rsidRPr="008F164E">
        <w:rPr>
          <w:rFonts w:asciiTheme="minorHAnsi" w:hAnsiTheme="minorHAnsi"/>
        </w:rPr>
        <w:t xml:space="preserve"> more investment in land transport infrastructure </w:t>
      </w:r>
      <w:r w:rsidR="00C112BC" w:rsidRPr="008F164E">
        <w:rPr>
          <w:rFonts w:asciiTheme="minorHAnsi" w:hAnsiTheme="minorHAnsi"/>
        </w:rPr>
        <w:t xml:space="preserve">projects </w:t>
      </w:r>
      <w:r w:rsidRPr="008F164E">
        <w:rPr>
          <w:rFonts w:asciiTheme="minorHAnsi" w:hAnsiTheme="minorHAnsi"/>
        </w:rPr>
        <w:t xml:space="preserve">to alleviate congestion for business (transporting goods) and to </w:t>
      </w:r>
      <w:r w:rsidR="00523D27">
        <w:rPr>
          <w:rFonts w:asciiTheme="minorHAnsi" w:hAnsiTheme="minorHAnsi"/>
        </w:rPr>
        <w:t>enable greater labour mobility.</w:t>
      </w:r>
    </w:p>
    <w:p w14:paraId="43E8B13A" w14:textId="12374811" w:rsidR="00FC7592" w:rsidRPr="008F164E" w:rsidRDefault="00C112BC" w:rsidP="003569DD">
      <w:pPr>
        <w:pStyle w:val="Bullet"/>
        <w:tabs>
          <w:tab w:val="clear" w:pos="425"/>
        </w:tabs>
        <w:rPr>
          <w:rFonts w:asciiTheme="minorHAnsi" w:hAnsiTheme="minorHAnsi"/>
        </w:rPr>
      </w:pPr>
      <w:r w:rsidRPr="008F164E">
        <w:rPr>
          <w:rFonts w:asciiTheme="minorHAnsi" w:hAnsiTheme="minorHAnsi"/>
        </w:rPr>
        <w:t xml:space="preserve">One peak industry body </w:t>
      </w:r>
      <w:r w:rsidR="00FC7592" w:rsidRPr="008F164E">
        <w:rPr>
          <w:rFonts w:asciiTheme="minorHAnsi" w:hAnsiTheme="minorHAnsi"/>
        </w:rPr>
        <w:t>considers</w:t>
      </w:r>
      <w:r w:rsidRPr="008F164E">
        <w:rPr>
          <w:rFonts w:asciiTheme="minorHAnsi" w:hAnsiTheme="minorHAnsi"/>
        </w:rPr>
        <w:t xml:space="preserve"> that insufficient infrastructure </w:t>
      </w:r>
      <w:r w:rsidR="00FC7592" w:rsidRPr="008F164E">
        <w:rPr>
          <w:rFonts w:asciiTheme="minorHAnsi" w:hAnsiTheme="minorHAnsi"/>
        </w:rPr>
        <w:t xml:space="preserve">is </w:t>
      </w:r>
      <w:r w:rsidR="004D6908">
        <w:rPr>
          <w:rFonts w:asciiTheme="minorHAnsi" w:hAnsiTheme="minorHAnsi"/>
        </w:rPr>
        <w:t>a</w:t>
      </w:r>
      <w:r w:rsidRPr="008F164E">
        <w:rPr>
          <w:rFonts w:asciiTheme="minorHAnsi" w:hAnsiTheme="minorHAnsi"/>
        </w:rPr>
        <w:t xml:space="preserve"> major barrier to gr</w:t>
      </w:r>
      <w:r w:rsidR="00FC7592" w:rsidRPr="008F164E">
        <w:rPr>
          <w:rFonts w:asciiTheme="minorHAnsi" w:hAnsiTheme="minorHAnsi"/>
        </w:rPr>
        <w:t xml:space="preserve">eater investment </w:t>
      </w:r>
      <w:r w:rsidR="004D6908">
        <w:rPr>
          <w:rFonts w:asciiTheme="minorHAnsi" w:hAnsiTheme="minorHAnsi"/>
        </w:rPr>
        <w:t>because it</w:t>
      </w:r>
      <w:r w:rsidR="00FC7592" w:rsidRPr="008F164E">
        <w:rPr>
          <w:rFonts w:asciiTheme="minorHAnsi" w:hAnsiTheme="minorHAnsi"/>
        </w:rPr>
        <w:t xml:space="preserve"> is critical for </w:t>
      </w:r>
      <w:r w:rsidR="00FC7592" w:rsidRPr="002133F6">
        <w:rPr>
          <w:rFonts w:asciiTheme="minorHAnsi" w:hAnsiTheme="minorHAnsi"/>
        </w:rPr>
        <w:t>transporting goods to market and congestion caused by inadequate infrastructure adds to business costs.</w:t>
      </w:r>
    </w:p>
    <w:p w14:paraId="1018612B" w14:textId="6C468286" w:rsidR="00C112BC" w:rsidRPr="008F164E" w:rsidRDefault="00C112BC" w:rsidP="003569DD">
      <w:pPr>
        <w:pStyle w:val="Bullet"/>
        <w:tabs>
          <w:tab w:val="clear" w:pos="425"/>
        </w:tabs>
        <w:rPr>
          <w:rFonts w:asciiTheme="minorHAnsi" w:hAnsiTheme="minorHAnsi"/>
        </w:rPr>
      </w:pPr>
      <w:r w:rsidRPr="008F164E">
        <w:rPr>
          <w:rFonts w:asciiTheme="minorHAnsi" w:hAnsiTheme="minorHAnsi"/>
        </w:rPr>
        <w:t xml:space="preserve">Another </w:t>
      </w:r>
      <w:r w:rsidR="00972D5A">
        <w:rPr>
          <w:rFonts w:asciiTheme="minorHAnsi" w:hAnsiTheme="minorHAnsi"/>
        </w:rPr>
        <w:t>contact</w:t>
      </w:r>
      <w:r w:rsidRPr="008F164E">
        <w:rPr>
          <w:rFonts w:asciiTheme="minorHAnsi" w:hAnsiTheme="minorHAnsi"/>
        </w:rPr>
        <w:t xml:space="preserve"> noted that transport is also an important for labour mobility</w:t>
      </w:r>
      <w:r w:rsidR="002D434A">
        <w:rPr>
          <w:rFonts w:asciiTheme="minorHAnsi" w:hAnsiTheme="minorHAnsi"/>
        </w:rPr>
        <w:t>, and</w:t>
      </w:r>
      <w:r w:rsidR="00AF2BDD" w:rsidRPr="008F164E">
        <w:rPr>
          <w:rFonts w:asciiTheme="minorHAnsi" w:hAnsiTheme="minorHAnsi"/>
        </w:rPr>
        <w:t xml:space="preserve"> suggested that the </w:t>
      </w:r>
      <w:r w:rsidRPr="008F164E">
        <w:rPr>
          <w:rFonts w:asciiTheme="minorHAnsi" w:hAnsiTheme="minorHAnsi"/>
        </w:rPr>
        <w:t xml:space="preserve">rail funding announced in </w:t>
      </w:r>
      <w:r w:rsidR="008552FC">
        <w:rPr>
          <w:rFonts w:asciiTheme="minorHAnsi" w:hAnsiTheme="minorHAnsi"/>
        </w:rPr>
        <w:t xml:space="preserve">the 2017-18 </w:t>
      </w:r>
      <w:r w:rsidR="002869E9">
        <w:rPr>
          <w:rFonts w:asciiTheme="minorHAnsi" w:hAnsiTheme="minorHAnsi"/>
        </w:rPr>
        <w:t xml:space="preserve">Federal </w:t>
      </w:r>
      <w:r w:rsidRPr="008F164E">
        <w:rPr>
          <w:rFonts w:asciiTheme="minorHAnsi" w:hAnsiTheme="minorHAnsi"/>
        </w:rPr>
        <w:t xml:space="preserve">Budget is good but </w:t>
      </w:r>
      <w:r w:rsidR="00AF2BDD" w:rsidRPr="008F164E">
        <w:rPr>
          <w:rFonts w:asciiTheme="minorHAnsi" w:hAnsiTheme="minorHAnsi"/>
        </w:rPr>
        <w:t>that it needs to be brought forward from the out years to accelerate the productivity benefits this funding will</w:t>
      </w:r>
      <w:r w:rsidR="00AF2BDD">
        <w:rPr>
          <w:rFonts w:asciiTheme="minorHAnsi" w:hAnsiTheme="minorHAnsi"/>
        </w:rPr>
        <w:t xml:space="preserve"> provide </w:t>
      </w:r>
      <w:r w:rsidR="00530762">
        <w:rPr>
          <w:rFonts w:asciiTheme="minorHAnsi" w:hAnsiTheme="minorHAnsi"/>
        </w:rPr>
        <w:t>“</w:t>
      </w:r>
      <w:r w:rsidR="00AF2BDD">
        <w:rPr>
          <w:rFonts w:asciiTheme="minorHAnsi" w:hAnsiTheme="minorHAnsi"/>
        </w:rPr>
        <w:t xml:space="preserve">otherwise </w:t>
      </w:r>
      <w:r>
        <w:rPr>
          <w:rFonts w:asciiTheme="minorHAnsi" w:hAnsiTheme="minorHAnsi"/>
        </w:rPr>
        <w:t>we will be waiting a decade before real progress</w:t>
      </w:r>
      <w:r w:rsidR="00530762">
        <w:rPr>
          <w:rFonts w:asciiTheme="minorHAnsi" w:hAnsiTheme="minorHAnsi"/>
        </w:rPr>
        <w:t>”</w:t>
      </w:r>
      <w:r w:rsidR="00523D27">
        <w:rPr>
          <w:rFonts w:asciiTheme="minorHAnsi" w:hAnsiTheme="minorHAnsi"/>
        </w:rPr>
        <w:t>.</w:t>
      </w:r>
    </w:p>
    <w:p w14:paraId="4C3DF9B6" w14:textId="1B60E96D" w:rsidR="00AF2BDD" w:rsidRPr="008F164E" w:rsidRDefault="00986DD3" w:rsidP="003569DD">
      <w:pPr>
        <w:pStyle w:val="Bullet"/>
        <w:tabs>
          <w:tab w:val="clear" w:pos="425"/>
        </w:tabs>
        <w:rPr>
          <w:rFonts w:asciiTheme="minorHAnsi" w:hAnsiTheme="minorHAnsi"/>
        </w:rPr>
      </w:pPr>
      <w:r w:rsidRPr="008F164E">
        <w:rPr>
          <w:rFonts w:asciiTheme="minorHAnsi" w:hAnsiTheme="minorHAnsi"/>
        </w:rPr>
        <w:t>Stakeholder</w:t>
      </w:r>
      <w:r w:rsidR="00312E64" w:rsidRPr="008F164E">
        <w:rPr>
          <w:rFonts w:asciiTheme="minorHAnsi" w:hAnsiTheme="minorHAnsi"/>
        </w:rPr>
        <w:t>s</w:t>
      </w:r>
      <w:r w:rsidRPr="008F164E">
        <w:rPr>
          <w:rFonts w:asciiTheme="minorHAnsi" w:hAnsiTheme="minorHAnsi"/>
        </w:rPr>
        <w:t xml:space="preserve"> also commented on the positive spillover benefits of</w:t>
      </w:r>
      <w:r w:rsidR="00AF2BDD" w:rsidRPr="008F164E">
        <w:rPr>
          <w:rFonts w:asciiTheme="minorHAnsi" w:hAnsiTheme="minorHAnsi"/>
        </w:rPr>
        <w:t xml:space="preserve"> public</w:t>
      </w:r>
      <w:r w:rsidRPr="008F164E">
        <w:rPr>
          <w:rFonts w:asciiTheme="minorHAnsi" w:hAnsiTheme="minorHAnsi"/>
        </w:rPr>
        <w:t xml:space="preserve"> funding in</w:t>
      </w:r>
      <w:r w:rsidR="00AF2BDD" w:rsidRPr="008F164E">
        <w:rPr>
          <w:rFonts w:asciiTheme="minorHAnsi" w:hAnsiTheme="minorHAnsi"/>
        </w:rPr>
        <w:t xml:space="preserve"> infrastructure </w:t>
      </w:r>
      <w:r w:rsidRPr="008F164E">
        <w:rPr>
          <w:rFonts w:asciiTheme="minorHAnsi" w:hAnsiTheme="minorHAnsi"/>
        </w:rPr>
        <w:t xml:space="preserve">into the economy more broadly, with numerous citations of what </w:t>
      </w:r>
      <w:r w:rsidR="00EC4C94" w:rsidRPr="008F164E">
        <w:rPr>
          <w:rFonts w:asciiTheme="minorHAnsi" w:hAnsiTheme="minorHAnsi"/>
        </w:rPr>
        <w:t>some contacts</w:t>
      </w:r>
      <w:r w:rsidRPr="008F164E">
        <w:rPr>
          <w:rFonts w:asciiTheme="minorHAnsi" w:hAnsiTheme="minorHAnsi"/>
        </w:rPr>
        <w:t xml:space="preserve"> described as </w:t>
      </w:r>
      <w:r w:rsidR="00AF2BDD" w:rsidRPr="008F164E">
        <w:rPr>
          <w:rFonts w:asciiTheme="minorHAnsi" w:hAnsiTheme="minorHAnsi"/>
        </w:rPr>
        <w:t xml:space="preserve">the current </w:t>
      </w:r>
      <w:r w:rsidR="00530762">
        <w:rPr>
          <w:rFonts w:asciiTheme="minorHAnsi" w:hAnsiTheme="minorHAnsi"/>
        </w:rPr>
        <w:t>‘</w:t>
      </w:r>
      <w:r w:rsidR="00AF2BDD" w:rsidRPr="008F164E">
        <w:rPr>
          <w:rFonts w:asciiTheme="minorHAnsi" w:hAnsiTheme="minorHAnsi"/>
        </w:rPr>
        <w:t>infrastructure boom</w:t>
      </w:r>
      <w:r w:rsidR="00530762">
        <w:rPr>
          <w:rFonts w:asciiTheme="minorHAnsi" w:hAnsiTheme="minorHAnsi"/>
        </w:rPr>
        <w:t>’</w:t>
      </w:r>
      <w:r w:rsidRPr="008F164E">
        <w:rPr>
          <w:rFonts w:asciiTheme="minorHAnsi" w:hAnsiTheme="minorHAnsi"/>
        </w:rPr>
        <w:t xml:space="preserve"> in NSW</w:t>
      </w:r>
      <w:r w:rsidR="009D7F7E">
        <w:rPr>
          <w:rFonts w:asciiTheme="minorHAnsi" w:hAnsiTheme="minorHAnsi"/>
        </w:rPr>
        <w:t>.</w:t>
      </w:r>
    </w:p>
    <w:p w14:paraId="0822AB29" w14:textId="6AA6B8E7" w:rsidR="00CC0ACC" w:rsidRDefault="00644DFA" w:rsidP="004D6908">
      <w:pPr>
        <w:rPr>
          <w:rFonts w:asciiTheme="minorHAnsi" w:hAnsiTheme="minorHAnsi"/>
        </w:rPr>
      </w:pPr>
      <w:r w:rsidRPr="008F164E">
        <w:rPr>
          <w:rFonts w:asciiTheme="minorHAnsi" w:hAnsiTheme="minorHAnsi"/>
        </w:rPr>
        <w:t xml:space="preserve">Contacts </w:t>
      </w:r>
      <w:r w:rsidR="00DE4A12" w:rsidRPr="008F164E">
        <w:rPr>
          <w:rFonts w:asciiTheme="minorHAnsi" w:hAnsiTheme="minorHAnsi"/>
        </w:rPr>
        <w:t>suggested</w:t>
      </w:r>
      <w:r w:rsidR="00AF2BDD" w:rsidRPr="008F164E">
        <w:rPr>
          <w:rFonts w:asciiTheme="minorHAnsi" w:hAnsiTheme="minorHAnsi"/>
        </w:rPr>
        <w:t xml:space="preserve"> that governments should </w:t>
      </w:r>
      <w:r w:rsidR="00DE4A12" w:rsidRPr="008F164E">
        <w:rPr>
          <w:rFonts w:asciiTheme="minorHAnsi" w:hAnsiTheme="minorHAnsi"/>
        </w:rPr>
        <w:t xml:space="preserve">also </w:t>
      </w:r>
      <w:r w:rsidR="00AF2BDD" w:rsidRPr="008F164E">
        <w:rPr>
          <w:rFonts w:asciiTheme="minorHAnsi" w:hAnsiTheme="minorHAnsi"/>
        </w:rPr>
        <w:t>look to improve procurement processes.</w:t>
      </w:r>
      <w:r w:rsidR="004D6908">
        <w:rPr>
          <w:rFonts w:asciiTheme="minorHAnsi" w:hAnsiTheme="minorHAnsi"/>
        </w:rPr>
        <w:t xml:space="preserve"> </w:t>
      </w:r>
      <w:r w:rsidR="00DE4A12" w:rsidRPr="008F164E">
        <w:rPr>
          <w:rFonts w:asciiTheme="minorHAnsi" w:hAnsiTheme="minorHAnsi"/>
        </w:rPr>
        <w:t>One</w:t>
      </w:r>
      <w:r w:rsidR="00E77984">
        <w:rPr>
          <w:rFonts w:asciiTheme="minorHAnsi" w:hAnsiTheme="minorHAnsi"/>
        </w:rPr>
        <w:t> </w:t>
      </w:r>
      <w:r w:rsidR="00DE4A12" w:rsidRPr="008F164E">
        <w:rPr>
          <w:rFonts w:asciiTheme="minorHAnsi" w:hAnsiTheme="minorHAnsi"/>
        </w:rPr>
        <w:t xml:space="preserve">company noted the high bid costs associated with </w:t>
      </w:r>
      <w:r w:rsidR="00EC4C94" w:rsidRPr="008F164E">
        <w:rPr>
          <w:rFonts w:asciiTheme="minorHAnsi" w:hAnsiTheme="minorHAnsi"/>
        </w:rPr>
        <w:t xml:space="preserve">Public Private Partnerships </w:t>
      </w:r>
      <w:r w:rsidR="00DE4A12" w:rsidRPr="008F164E">
        <w:rPr>
          <w:rFonts w:asciiTheme="minorHAnsi" w:hAnsiTheme="minorHAnsi"/>
        </w:rPr>
        <w:t>(around 1</w:t>
      </w:r>
      <w:r w:rsidR="002D1C4D">
        <w:rPr>
          <w:rFonts w:asciiTheme="minorHAnsi" w:hAnsiTheme="minorHAnsi"/>
        </w:rPr>
        <w:noBreakHyphen/>
      </w:r>
      <w:r w:rsidR="00DE4A12" w:rsidRPr="008F164E">
        <w:rPr>
          <w:rFonts w:asciiTheme="minorHAnsi" w:hAnsiTheme="minorHAnsi"/>
        </w:rPr>
        <w:t>3</w:t>
      </w:r>
      <w:r w:rsidR="002D1C4D">
        <w:rPr>
          <w:rFonts w:asciiTheme="minorHAnsi" w:hAnsiTheme="minorHAnsi"/>
        </w:rPr>
        <w:t> </w:t>
      </w:r>
      <w:r w:rsidR="00E95FE4">
        <w:rPr>
          <w:rFonts w:asciiTheme="minorHAnsi" w:hAnsiTheme="minorHAnsi"/>
        </w:rPr>
        <w:t>per cent</w:t>
      </w:r>
      <w:r w:rsidR="00DE4A12" w:rsidRPr="008F164E">
        <w:rPr>
          <w:rFonts w:asciiTheme="minorHAnsi" w:hAnsiTheme="minorHAnsi"/>
        </w:rPr>
        <w:t xml:space="preserve"> of project costs) and the need for governments to do more work around this. </w:t>
      </w:r>
      <w:r w:rsidR="009F07BE" w:rsidRPr="008F164E">
        <w:rPr>
          <w:rFonts w:asciiTheme="minorHAnsi" w:hAnsiTheme="minorHAnsi"/>
        </w:rPr>
        <w:t>It was also noted that t</w:t>
      </w:r>
      <w:r w:rsidRPr="008F164E">
        <w:rPr>
          <w:rFonts w:asciiTheme="minorHAnsi" w:hAnsiTheme="minorHAnsi"/>
        </w:rPr>
        <w:t>here are unintended complexities in g</w:t>
      </w:r>
      <w:r w:rsidR="00982030" w:rsidRPr="008F164E">
        <w:rPr>
          <w:rFonts w:asciiTheme="minorHAnsi" w:hAnsiTheme="minorHAnsi"/>
        </w:rPr>
        <w:t>overnment procurement processes</w:t>
      </w:r>
      <w:r w:rsidRPr="008F164E">
        <w:rPr>
          <w:rFonts w:asciiTheme="minorHAnsi" w:hAnsiTheme="minorHAnsi"/>
        </w:rPr>
        <w:t>.</w:t>
      </w:r>
    </w:p>
    <w:p w14:paraId="191060C5" w14:textId="77777777" w:rsidR="00CC0ACC" w:rsidRDefault="00CC0ACC">
      <w:pPr>
        <w:spacing w:after="200" w:line="276" w:lineRule="auto"/>
        <w:jc w:val="left"/>
        <w:rPr>
          <w:rFonts w:asciiTheme="minorHAnsi" w:hAnsiTheme="minorHAnsi"/>
        </w:rPr>
      </w:pPr>
      <w:r>
        <w:rPr>
          <w:rFonts w:asciiTheme="minorHAnsi" w:hAnsiTheme="minorHAnsi"/>
        </w:rPr>
        <w:br w:type="page"/>
      </w:r>
    </w:p>
    <w:p w14:paraId="317B9C71" w14:textId="29842D34" w:rsidR="00514E43" w:rsidRDefault="00514E43" w:rsidP="000D79CD">
      <w:pPr>
        <w:pStyle w:val="Heading1"/>
        <w:ind w:left="0" w:firstLine="0"/>
      </w:pPr>
      <w:bookmarkStart w:id="253" w:name="_Toc492902200"/>
      <w:bookmarkStart w:id="254" w:name="_Toc496095493"/>
      <w:bookmarkStart w:id="255" w:name="_Toc496097067"/>
      <w:r w:rsidRPr="00514E43">
        <w:t>Appendix A: stakeholders consulted</w:t>
      </w:r>
      <w:bookmarkEnd w:id="253"/>
      <w:bookmarkEnd w:id="254"/>
      <w:bookmarkEnd w:id="255"/>
    </w:p>
    <w:p w14:paraId="164F586E" w14:textId="69CB1CD5" w:rsidR="00193C4C" w:rsidRPr="00193C4C" w:rsidRDefault="00193C4C" w:rsidP="00945D46">
      <w:r w:rsidRPr="00193C4C">
        <w:t xml:space="preserve">Heads of Treasuries would like to thank the following businesses </w:t>
      </w:r>
      <w:r w:rsidR="005E5EDC">
        <w:t xml:space="preserve">and organisations </w:t>
      </w:r>
      <w:r w:rsidRPr="00193C4C">
        <w:t xml:space="preserve">for their valuable input to this </w:t>
      </w:r>
      <w:r w:rsidR="005C03DE">
        <w:t>R</w:t>
      </w:r>
      <w:r w:rsidRPr="00193C4C">
        <w:t>eview.</w:t>
      </w:r>
    </w:p>
    <w:tbl>
      <w:tblPr>
        <w:tblW w:w="9087" w:type="dxa"/>
        <w:tblInd w:w="93" w:type="dxa"/>
        <w:tblBorders>
          <w:top w:val="single" w:sz="4" w:space="0" w:color="B2B2B2"/>
          <w:bottom w:val="single" w:sz="4" w:space="0" w:color="B2B2B2"/>
          <w:insideH w:val="single" w:sz="4" w:space="0" w:color="B2B2B2"/>
          <w:insideV w:val="single" w:sz="4" w:space="0" w:color="B2B2B2"/>
        </w:tblBorders>
        <w:tblLook w:val="04A0" w:firstRow="1" w:lastRow="0" w:firstColumn="1" w:lastColumn="0" w:noHBand="0" w:noVBand="1"/>
      </w:tblPr>
      <w:tblGrid>
        <w:gridCol w:w="9087"/>
      </w:tblGrid>
      <w:tr w:rsidR="00DE7FD0" w:rsidRPr="00193C4C" w14:paraId="4F042097" w14:textId="77777777" w:rsidTr="00504091">
        <w:trPr>
          <w:trHeight w:val="340"/>
        </w:trPr>
        <w:tc>
          <w:tcPr>
            <w:tcW w:w="9087" w:type="dxa"/>
            <w:shd w:val="clear" w:color="auto" w:fill="F8F8F8"/>
            <w:noWrap/>
            <w:vAlign w:val="center"/>
            <w:hideMark/>
          </w:tcPr>
          <w:p w14:paraId="4B10651F" w14:textId="0220A40A" w:rsidR="00DE7FD0" w:rsidRPr="00193C4C" w:rsidRDefault="00DE7FD0" w:rsidP="00193C4C">
            <w:pPr>
              <w:spacing w:before="100" w:beforeAutospacing="1" w:after="100" w:afterAutospacing="1" w:line="240" w:lineRule="auto"/>
            </w:pPr>
            <w:r w:rsidRPr="00193C4C">
              <w:t>A. Noble &amp; Son</w:t>
            </w:r>
            <w:r w:rsidR="00B25731" w:rsidRPr="00193C4C">
              <w:t xml:space="preserve"> Limited</w:t>
            </w:r>
          </w:p>
        </w:tc>
      </w:tr>
      <w:tr w:rsidR="00CD6D1C" w:rsidRPr="00193C4C" w14:paraId="598FA222" w14:textId="77777777" w:rsidTr="00504091">
        <w:trPr>
          <w:trHeight w:val="340"/>
        </w:trPr>
        <w:tc>
          <w:tcPr>
            <w:tcW w:w="9087" w:type="dxa"/>
            <w:shd w:val="clear" w:color="auto" w:fill="auto"/>
            <w:noWrap/>
            <w:vAlign w:val="center"/>
            <w:hideMark/>
          </w:tcPr>
          <w:p w14:paraId="3217E3EC" w14:textId="21EFD90D" w:rsidR="00CD6D1C" w:rsidRPr="00193C4C" w:rsidRDefault="007B5524" w:rsidP="007B5524">
            <w:pPr>
              <w:spacing w:before="100" w:beforeAutospacing="1" w:after="100" w:afterAutospacing="1" w:line="240" w:lineRule="auto"/>
            </w:pPr>
            <w:r>
              <w:t>AGL</w:t>
            </w:r>
            <w:r w:rsidR="00CD6D1C" w:rsidRPr="00193C4C">
              <w:t xml:space="preserve"> Energy Limited</w:t>
            </w:r>
          </w:p>
        </w:tc>
      </w:tr>
      <w:tr w:rsidR="00DE7FD0" w:rsidRPr="00193C4C" w14:paraId="588B7B71" w14:textId="77777777" w:rsidTr="00504091">
        <w:trPr>
          <w:trHeight w:val="340"/>
        </w:trPr>
        <w:tc>
          <w:tcPr>
            <w:tcW w:w="9087" w:type="dxa"/>
            <w:shd w:val="clear" w:color="auto" w:fill="F8F8F8"/>
            <w:noWrap/>
            <w:vAlign w:val="center"/>
            <w:hideMark/>
          </w:tcPr>
          <w:p w14:paraId="764BE48A" w14:textId="2904E793" w:rsidR="00DE7FD0" w:rsidRPr="00193C4C" w:rsidRDefault="00DE7FD0" w:rsidP="00193C4C">
            <w:pPr>
              <w:spacing w:before="100" w:beforeAutospacing="1" w:after="100" w:afterAutospacing="1" w:line="240" w:lineRule="auto"/>
            </w:pPr>
            <w:r w:rsidRPr="00193C4C">
              <w:t>Ahrens Group</w:t>
            </w:r>
            <w:r w:rsidR="005100A5" w:rsidRPr="00193C4C">
              <w:t xml:space="preserve"> Pty Ltd</w:t>
            </w:r>
          </w:p>
        </w:tc>
      </w:tr>
      <w:tr w:rsidR="00DE7FD0" w:rsidRPr="00193C4C" w14:paraId="25763254" w14:textId="77777777" w:rsidTr="00504091">
        <w:trPr>
          <w:trHeight w:val="340"/>
        </w:trPr>
        <w:tc>
          <w:tcPr>
            <w:tcW w:w="9087" w:type="dxa"/>
            <w:shd w:val="clear" w:color="auto" w:fill="auto"/>
            <w:noWrap/>
            <w:vAlign w:val="center"/>
            <w:hideMark/>
          </w:tcPr>
          <w:p w14:paraId="7A0B7AE2" w14:textId="6B31B1C4" w:rsidR="00DE7FD0" w:rsidRPr="00193C4C" w:rsidRDefault="00DE7FD0" w:rsidP="00193C4C">
            <w:pPr>
              <w:spacing w:before="100" w:beforeAutospacing="1" w:after="100" w:afterAutospacing="1" w:line="240" w:lineRule="auto"/>
            </w:pPr>
            <w:r w:rsidRPr="00193C4C">
              <w:t>Alinta Energy</w:t>
            </w:r>
            <w:r w:rsidR="00B25731" w:rsidRPr="00193C4C">
              <w:t xml:space="preserve"> Pty Ltd</w:t>
            </w:r>
          </w:p>
        </w:tc>
      </w:tr>
      <w:tr w:rsidR="00DE7FD0" w:rsidRPr="00193C4C" w14:paraId="32E93B2A" w14:textId="77777777" w:rsidTr="00504091">
        <w:trPr>
          <w:trHeight w:val="340"/>
        </w:trPr>
        <w:tc>
          <w:tcPr>
            <w:tcW w:w="9087" w:type="dxa"/>
            <w:shd w:val="clear" w:color="auto" w:fill="F8F8F8"/>
            <w:noWrap/>
            <w:vAlign w:val="center"/>
            <w:hideMark/>
          </w:tcPr>
          <w:p w14:paraId="42758E84" w14:textId="77777777" w:rsidR="00DE7FD0" w:rsidRPr="00193C4C" w:rsidRDefault="00DE7FD0" w:rsidP="00193C4C">
            <w:pPr>
              <w:spacing w:before="100" w:beforeAutospacing="1" w:after="100" w:afterAutospacing="1" w:line="240" w:lineRule="auto"/>
            </w:pPr>
            <w:r w:rsidRPr="00193C4C">
              <w:t>AMP Limited</w:t>
            </w:r>
          </w:p>
        </w:tc>
      </w:tr>
      <w:tr w:rsidR="00CD6D1C" w:rsidRPr="00193C4C" w14:paraId="1D0D03B1" w14:textId="77777777" w:rsidTr="00504091">
        <w:trPr>
          <w:trHeight w:val="340"/>
        </w:trPr>
        <w:tc>
          <w:tcPr>
            <w:tcW w:w="9087" w:type="dxa"/>
            <w:shd w:val="clear" w:color="auto" w:fill="auto"/>
            <w:noWrap/>
            <w:vAlign w:val="center"/>
            <w:hideMark/>
          </w:tcPr>
          <w:p w14:paraId="76F7D756" w14:textId="681AAC40" w:rsidR="00CD6D1C" w:rsidRPr="00193C4C" w:rsidRDefault="00CD6D1C" w:rsidP="00193C4C">
            <w:pPr>
              <w:spacing w:before="100" w:beforeAutospacing="1" w:after="100" w:afterAutospacing="1" w:line="240" w:lineRule="auto"/>
            </w:pPr>
            <w:r w:rsidRPr="00193C4C">
              <w:t>Australian and New Zealand Banking Group Limited</w:t>
            </w:r>
          </w:p>
        </w:tc>
      </w:tr>
      <w:tr w:rsidR="00DE7FD0" w:rsidRPr="00193C4C" w14:paraId="75345299" w14:textId="77777777" w:rsidTr="00504091">
        <w:trPr>
          <w:trHeight w:val="340"/>
        </w:trPr>
        <w:tc>
          <w:tcPr>
            <w:tcW w:w="9087" w:type="dxa"/>
            <w:shd w:val="clear" w:color="auto" w:fill="F8F8F8"/>
            <w:noWrap/>
            <w:vAlign w:val="center"/>
            <w:hideMark/>
          </w:tcPr>
          <w:p w14:paraId="1753641C" w14:textId="77777777" w:rsidR="00DE7FD0" w:rsidRPr="00193C4C" w:rsidRDefault="00DE7FD0" w:rsidP="00193C4C">
            <w:pPr>
              <w:spacing w:before="100" w:beforeAutospacing="1" w:after="100" w:afterAutospacing="1" w:line="240" w:lineRule="auto"/>
            </w:pPr>
            <w:r w:rsidRPr="00193C4C">
              <w:t>Aurizon Holdings Limited</w:t>
            </w:r>
          </w:p>
        </w:tc>
      </w:tr>
      <w:tr w:rsidR="00DE7FD0" w:rsidRPr="00193C4C" w14:paraId="1CD71BE1" w14:textId="77777777" w:rsidTr="00504091">
        <w:trPr>
          <w:trHeight w:val="340"/>
        </w:trPr>
        <w:tc>
          <w:tcPr>
            <w:tcW w:w="9087" w:type="dxa"/>
            <w:shd w:val="clear" w:color="auto" w:fill="auto"/>
            <w:noWrap/>
            <w:vAlign w:val="center"/>
            <w:hideMark/>
          </w:tcPr>
          <w:p w14:paraId="73519BE9" w14:textId="77777777" w:rsidR="00DE7FD0" w:rsidRPr="00193C4C" w:rsidRDefault="00DE7FD0" w:rsidP="00193C4C">
            <w:pPr>
              <w:spacing w:before="100" w:beforeAutospacing="1" w:after="100" w:afterAutospacing="1" w:line="240" w:lineRule="auto"/>
            </w:pPr>
            <w:r w:rsidRPr="00193C4C">
              <w:t>Australian Advanced Manufacturing Council</w:t>
            </w:r>
          </w:p>
        </w:tc>
      </w:tr>
      <w:tr w:rsidR="00DE7FD0" w:rsidRPr="00193C4C" w14:paraId="786A98DB" w14:textId="77777777" w:rsidTr="00504091">
        <w:trPr>
          <w:trHeight w:val="340"/>
        </w:trPr>
        <w:tc>
          <w:tcPr>
            <w:tcW w:w="9087" w:type="dxa"/>
            <w:shd w:val="clear" w:color="auto" w:fill="F8F8F8"/>
            <w:noWrap/>
            <w:vAlign w:val="center"/>
            <w:hideMark/>
          </w:tcPr>
          <w:p w14:paraId="03553F50" w14:textId="77777777" w:rsidR="00DE7FD0" w:rsidRPr="00193C4C" w:rsidRDefault="00DE7FD0" w:rsidP="00193C4C">
            <w:pPr>
              <w:spacing w:before="100" w:beforeAutospacing="1" w:after="100" w:afterAutospacing="1" w:line="240" w:lineRule="auto"/>
            </w:pPr>
            <w:r w:rsidRPr="00193C4C">
              <w:t>Australian Chamber of Commerce and Industry</w:t>
            </w:r>
          </w:p>
        </w:tc>
      </w:tr>
      <w:tr w:rsidR="00DE7FD0" w:rsidRPr="00193C4C" w14:paraId="6BECBB77" w14:textId="77777777" w:rsidTr="00504091">
        <w:trPr>
          <w:trHeight w:val="340"/>
        </w:trPr>
        <w:tc>
          <w:tcPr>
            <w:tcW w:w="9087" w:type="dxa"/>
            <w:shd w:val="clear" w:color="auto" w:fill="auto"/>
            <w:noWrap/>
            <w:vAlign w:val="center"/>
            <w:hideMark/>
          </w:tcPr>
          <w:p w14:paraId="2C76FDA0" w14:textId="77777777" w:rsidR="00DE7FD0" w:rsidRPr="00193C4C" w:rsidRDefault="00DE7FD0" w:rsidP="00193C4C">
            <w:pPr>
              <w:spacing w:before="100" w:beforeAutospacing="1" w:after="100" w:afterAutospacing="1" w:line="240" w:lineRule="auto"/>
            </w:pPr>
            <w:r w:rsidRPr="00193C4C">
              <w:t>Australian Council of Trade Unions</w:t>
            </w:r>
          </w:p>
        </w:tc>
      </w:tr>
      <w:tr w:rsidR="00DE7FD0" w:rsidRPr="00193C4C" w14:paraId="0BFFFFFF" w14:textId="77777777" w:rsidTr="00504091">
        <w:trPr>
          <w:trHeight w:val="340"/>
        </w:trPr>
        <w:tc>
          <w:tcPr>
            <w:tcW w:w="9087" w:type="dxa"/>
            <w:shd w:val="clear" w:color="auto" w:fill="F8F8F8"/>
            <w:noWrap/>
            <w:vAlign w:val="center"/>
            <w:hideMark/>
          </w:tcPr>
          <w:p w14:paraId="73E0A3FC" w14:textId="77777777" w:rsidR="00DE7FD0" w:rsidRPr="00193C4C" w:rsidRDefault="00DE7FD0" w:rsidP="00193C4C">
            <w:pPr>
              <w:spacing w:before="100" w:beforeAutospacing="1" w:after="100" w:afterAutospacing="1" w:line="240" w:lineRule="auto"/>
            </w:pPr>
            <w:r w:rsidRPr="00193C4C">
              <w:t>Australian Energy Council</w:t>
            </w:r>
          </w:p>
        </w:tc>
      </w:tr>
      <w:tr w:rsidR="00DE7FD0" w:rsidRPr="00193C4C" w14:paraId="3A7401D7" w14:textId="77777777" w:rsidTr="00504091">
        <w:trPr>
          <w:trHeight w:val="340"/>
        </w:trPr>
        <w:tc>
          <w:tcPr>
            <w:tcW w:w="9087" w:type="dxa"/>
            <w:shd w:val="clear" w:color="auto" w:fill="auto"/>
            <w:noWrap/>
            <w:vAlign w:val="center"/>
            <w:hideMark/>
          </w:tcPr>
          <w:p w14:paraId="770CA071" w14:textId="77777777" w:rsidR="00DE7FD0" w:rsidRPr="00193C4C" w:rsidRDefault="00DE7FD0" w:rsidP="00193C4C">
            <w:pPr>
              <w:spacing w:before="100" w:beforeAutospacing="1" w:after="100" w:afterAutospacing="1" w:line="240" w:lineRule="auto"/>
            </w:pPr>
            <w:r w:rsidRPr="00193C4C">
              <w:t>Australian Industry Group</w:t>
            </w:r>
          </w:p>
        </w:tc>
      </w:tr>
      <w:tr w:rsidR="00DE7FD0" w:rsidRPr="00193C4C" w14:paraId="757A797A" w14:textId="77777777" w:rsidTr="00504091">
        <w:trPr>
          <w:trHeight w:val="340"/>
        </w:trPr>
        <w:tc>
          <w:tcPr>
            <w:tcW w:w="9087" w:type="dxa"/>
            <w:shd w:val="clear" w:color="auto" w:fill="F8F8F8"/>
            <w:noWrap/>
            <w:vAlign w:val="center"/>
            <w:hideMark/>
          </w:tcPr>
          <w:p w14:paraId="0F777970" w14:textId="6BB77FB4" w:rsidR="00DE7FD0" w:rsidRPr="00193C4C" w:rsidRDefault="00DE7FD0" w:rsidP="00193C4C">
            <w:pPr>
              <w:spacing w:before="100" w:beforeAutospacing="1" w:after="100" w:afterAutospacing="1" w:line="240" w:lineRule="auto"/>
            </w:pPr>
            <w:r w:rsidRPr="00193C4C">
              <w:t>AustralianSuper</w:t>
            </w:r>
            <w:r w:rsidR="00B25731" w:rsidRPr="00193C4C">
              <w:t xml:space="preserve"> Pty Ltd</w:t>
            </w:r>
          </w:p>
        </w:tc>
      </w:tr>
      <w:tr w:rsidR="00CD6D1C" w:rsidRPr="00193C4C" w14:paraId="75B1E7DF" w14:textId="77777777" w:rsidTr="00504091">
        <w:trPr>
          <w:trHeight w:val="340"/>
        </w:trPr>
        <w:tc>
          <w:tcPr>
            <w:tcW w:w="9087" w:type="dxa"/>
            <w:shd w:val="clear" w:color="auto" w:fill="auto"/>
            <w:noWrap/>
            <w:vAlign w:val="center"/>
            <w:hideMark/>
          </w:tcPr>
          <w:p w14:paraId="096152CB" w14:textId="747FA33C" w:rsidR="00CD6D1C" w:rsidRPr="00193C4C" w:rsidRDefault="00CD6D1C" w:rsidP="00193C4C">
            <w:pPr>
              <w:spacing w:before="100" w:beforeAutospacing="1" w:after="100" w:afterAutospacing="1" w:line="240" w:lineRule="auto"/>
            </w:pPr>
            <w:r w:rsidRPr="00193C4C">
              <w:t>AUSVEG Limited</w:t>
            </w:r>
          </w:p>
        </w:tc>
      </w:tr>
      <w:tr w:rsidR="00504091" w:rsidRPr="00193C4C" w14:paraId="2AE46EFE" w14:textId="77777777" w:rsidTr="00504091">
        <w:trPr>
          <w:trHeight w:val="340"/>
        </w:trPr>
        <w:tc>
          <w:tcPr>
            <w:tcW w:w="9087" w:type="dxa"/>
            <w:shd w:val="clear" w:color="auto" w:fill="F8F8F8"/>
            <w:noWrap/>
            <w:vAlign w:val="center"/>
          </w:tcPr>
          <w:p w14:paraId="3B1EE282" w14:textId="53256FAB" w:rsidR="00504091" w:rsidRPr="00193C4C" w:rsidRDefault="008271A0" w:rsidP="00193C4C">
            <w:pPr>
              <w:spacing w:before="100" w:beforeAutospacing="1" w:after="100" w:afterAutospacing="1" w:line="240" w:lineRule="auto"/>
            </w:pPr>
            <w:r>
              <w:t xml:space="preserve">Bentleys </w:t>
            </w:r>
            <w:r w:rsidR="007B5524">
              <w:t>Finance SA</w:t>
            </w:r>
          </w:p>
        </w:tc>
      </w:tr>
      <w:tr w:rsidR="00DE7FD0" w:rsidRPr="00193C4C" w14:paraId="75474D98" w14:textId="77777777" w:rsidTr="00504091">
        <w:trPr>
          <w:trHeight w:val="340"/>
        </w:trPr>
        <w:tc>
          <w:tcPr>
            <w:tcW w:w="9087" w:type="dxa"/>
            <w:shd w:val="clear" w:color="auto" w:fill="auto"/>
            <w:noWrap/>
            <w:vAlign w:val="center"/>
            <w:hideMark/>
          </w:tcPr>
          <w:p w14:paraId="451943B5" w14:textId="50421956" w:rsidR="00DE7FD0" w:rsidRPr="00193C4C" w:rsidRDefault="00DE7FD0" w:rsidP="00193C4C">
            <w:pPr>
              <w:spacing w:before="100" w:beforeAutospacing="1" w:after="100" w:afterAutospacing="1" w:line="240" w:lineRule="auto"/>
            </w:pPr>
            <w:r w:rsidRPr="00193C4C">
              <w:t>BHP Billiton</w:t>
            </w:r>
            <w:r w:rsidR="00A45BD9" w:rsidRPr="00193C4C">
              <w:t xml:space="preserve"> Limited</w:t>
            </w:r>
          </w:p>
        </w:tc>
      </w:tr>
      <w:tr w:rsidR="00DE7FD0" w:rsidRPr="00193C4C" w14:paraId="6FBA8097" w14:textId="77777777" w:rsidTr="00504091">
        <w:trPr>
          <w:trHeight w:val="340"/>
        </w:trPr>
        <w:tc>
          <w:tcPr>
            <w:tcW w:w="9087" w:type="dxa"/>
            <w:shd w:val="clear" w:color="auto" w:fill="F8F8F8"/>
            <w:noWrap/>
            <w:vAlign w:val="center"/>
            <w:hideMark/>
          </w:tcPr>
          <w:p w14:paraId="4B78AE10" w14:textId="1ED99D3E" w:rsidR="00DE7FD0" w:rsidRPr="00193C4C" w:rsidRDefault="00DE7FD0" w:rsidP="00193C4C">
            <w:pPr>
              <w:spacing w:before="100" w:beforeAutospacing="1" w:after="100" w:afterAutospacing="1" w:line="240" w:lineRule="auto"/>
            </w:pPr>
            <w:r w:rsidRPr="00193C4C">
              <w:t>Bickfords Australia</w:t>
            </w:r>
            <w:r w:rsidR="00B25731" w:rsidRPr="00193C4C">
              <w:t xml:space="preserve"> Pty Ltd</w:t>
            </w:r>
          </w:p>
        </w:tc>
      </w:tr>
      <w:tr w:rsidR="00DE7FD0" w:rsidRPr="00193C4C" w14:paraId="26D89C09" w14:textId="77777777" w:rsidTr="00504091">
        <w:trPr>
          <w:trHeight w:val="340"/>
        </w:trPr>
        <w:tc>
          <w:tcPr>
            <w:tcW w:w="9087" w:type="dxa"/>
            <w:shd w:val="clear" w:color="auto" w:fill="auto"/>
            <w:noWrap/>
            <w:vAlign w:val="center"/>
            <w:hideMark/>
          </w:tcPr>
          <w:p w14:paraId="60E40675" w14:textId="02D3190A" w:rsidR="00DE7FD0" w:rsidRPr="00193C4C" w:rsidRDefault="00DE7FD0" w:rsidP="00193C4C">
            <w:pPr>
              <w:spacing w:before="100" w:beforeAutospacing="1" w:after="100" w:afterAutospacing="1" w:line="240" w:lineRule="auto"/>
            </w:pPr>
            <w:r w:rsidRPr="00193C4C">
              <w:t>Brisbane Airport Corporation</w:t>
            </w:r>
            <w:r w:rsidR="00B25731" w:rsidRPr="00193C4C">
              <w:t xml:space="preserve"> Pty Ltd</w:t>
            </w:r>
          </w:p>
        </w:tc>
      </w:tr>
      <w:tr w:rsidR="00DE7FD0" w:rsidRPr="00193C4C" w14:paraId="54FF60E9" w14:textId="77777777" w:rsidTr="00504091">
        <w:trPr>
          <w:trHeight w:val="340"/>
        </w:trPr>
        <w:tc>
          <w:tcPr>
            <w:tcW w:w="9087" w:type="dxa"/>
            <w:shd w:val="clear" w:color="auto" w:fill="F8F8F8"/>
            <w:noWrap/>
            <w:vAlign w:val="center"/>
            <w:hideMark/>
          </w:tcPr>
          <w:p w14:paraId="5EE6BD77" w14:textId="77777777" w:rsidR="00DE7FD0" w:rsidRPr="00193C4C" w:rsidRDefault="00DE7FD0" w:rsidP="00193C4C">
            <w:pPr>
              <w:spacing w:before="100" w:beforeAutospacing="1" w:after="100" w:afterAutospacing="1" w:line="240" w:lineRule="auto"/>
            </w:pPr>
            <w:r w:rsidRPr="00193C4C">
              <w:t>Broadspectrum Limited</w:t>
            </w:r>
          </w:p>
        </w:tc>
      </w:tr>
      <w:tr w:rsidR="00DE7FD0" w:rsidRPr="00193C4C" w14:paraId="7A38CC1A" w14:textId="77777777" w:rsidTr="00504091">
        <w:trPr>
          <w:trHeight w:val="340"/>
        </w:trPr>
        <w:tc>
          <w:tcPr>
            <w:tcW w:w="9087" w:type="dxa"/>
            <w:shd w:val="clear" w:color="auto" w:fill="auto"/>
            <w:noWrap/>
            <w:vAlign w:val="center"/>
            <w:hideMark/>
          </w:tcPr>
          <w:p w14:paraId="6435ACF3" w14:textId="77777777" w:rsidR="00DE7FD0" w:rsidRPr="00193C4C" w:rsidRDefault="00DE7FD0" w:rsidP="00193C4C">
            <w:pPr>
              <w:spacing w:before="100" w:beforeAutospacing="1" w:after="100" w:afterAutospacing="1" w:line="240" w:lineRule="auto"/>
            </w:pPr>
            <w:r w:rsidRPr="00193C4C">
              <w:t>Business Council of Australia</w:t>
            </w:r>
          </w:p>
        </w:tc>
      </w:tr>
      <w:tr w:rsidR="00DE7FD0" w:rsidRPr="00193C4C" w14:paraId="0A9DB8F0" w14:textId="77777777" w:rsidTr="00504091">
        <w:trPr>
          <w:trHeight w:val="340"/>
        </w:trPr>
        <w:tc>
          <w:tcPr>
            <w:tcW w:w="9087" w:type="dxa"/>
            <w:shd w:val="clear" w:color="auto" w:fill="F8F8F8"/>
            <w:noWrap/>
            <w:vAlign w:val="center"/>
            <w:hideMark/>
          </w:tcPr>
          <w:p w14:paraId="6FFAFBE0" w14:textId="77777777" w:rsidR="00DE7FD0" w:rsidRPr="00193C4C" w:rsidRDefault="00DE7FD0" w:rsidP="00193C4C">
            <w:pPr>
              <w:spacing w:before="100" w:beforeAutospacing="1" w:after="100" w:afterAutospacing="1" w:line="240" w:lineRule="auto"/>
            </w:pPr>
            <w:r w:rsidRPr="00193C4C">
              <w:t>Canberra Business Chamber</w:t>
            </w:r>
          </w:p>
        </w:tc>
      </w:tr>
      <w:tr w:rsidR="00DE7FD0" w:rsidRPr="00193C4C" w14:paraId="453EB41A" w14:textId="77777777" w:rsidTr="00504091">
        <w:trPr>
          <w:trHeight w:val="340"/>
        </w:trPr>
        <w:tc>
          <w:tcPr>
            <w:tcW w:w="9087" w:type="dxa"/>
            <w:shd w:val="clear" w:color="auto" w:fill="auto"/>
            <w:noWrap/>
            <w:vAlign w:val="center"/>
            <w:hideMark/>
          </w:tcPr>
          <w:p w14:paraId="5FCC8CB4" w14:textId="3A19D9C2" w:rsidR="00DE7FD0" w:rsidRPr="00193C4C" w:rsidRDefault="00DE7FD0" w:rsidP="00193C4C">
            <w:pPr>
              <w:spacing w:before="100" w:beforeAutospacing="1" w:after="100" w:afterAutospacing="1" w:line="240" w:lineRule="auto"/>
            </w:pPr>
            <w:r w:rsidRPr="00193C4C">
              <w:t>CBH Group</w:t>
            </w:r>
            <w:r w:rsidR="00B25731" w:rsidRPr="00193C4C">
              <w:t xml:space="preserve"> Pty Ltd</w:t>
            </w:r>
          </w:p>
        </w:tc>
      </w:tr>
      <w:tr w:rsidR="00DE7FD0" w:rsidRPr="00193C4C" w14:paraId="5F509417" w14:textId="77777777" w:rsidTr="00504091">
        <w:trPr>
          <w:trHeight w:val="340"/>
        </w:trPr>
        <w:tc>
          <w:tcPr>
            <w:tcW w:w="9087" w:type="dxa"/>
            <w:shd w:val="clear" w:color="auto" w:fill="F8F8F8"/>
            <w:noWrap/>
            <w:vAlign w:val="center"/>
            <w:hideMark/>
          </w:tcPr>
          <w:p w14:paraId="119013B4" w14:textId="77777777" w:rsidR="00DE7FD0" w:rsidRPr="00193C4C" w:rsidRDefault="00DE7FD0" w:rsidP="00193C4C">
            <w:pPr>
              <w:spacing w:before="100" w:beforeAutospacing="1" w:after="100" w:afterAutospacing="1" w:line="240" w:lineRule="auto"/>
            </w:pPr>
            <w:r w:rsidRPr="00193C4C">
              <w:t>Chamber of Commerce and Industry of Western Australia</w:t>
            </w:r>
          </w:p>
        </w:tc>
      </w:tr>
      <w:tr w:rsidR="00CD6D1C" w:rsidRPr="00193C4C" w14:paraId="78247F8B" w14:textId="77777777" w:rsidTr="00504091">
        <w:trPr>
          <w:trHeight w:val="340"/>
        </w:trPr>
        <w:tc>
          <w:tcPr>
            <w:tcW w:w="9087" w:type="dxa"/>
            <w:shd w:val="clear" w:color="auto" w:fill="auto"/>
            <w:noWrap/>
            <w:vAlign w:val="center"/>
            <w:hideMark/>
          </w:tcPr>
          <w:p w14:paraId="1CB8C9DA" w14:textId="77476319" w:rsidR="00CD6D1C" w:rsidRPr="00193C4C" w:rsidRDefault="00CD6D1C" w:rsidP="00193C4C">
            <w:pPr>
              <w:spacing w:before="100" w:beforeAutospacing="1" w:after="100" w:afterAutospacing="1" w:line="240" w:lineRule="auto"/>
            </w:pPr>
            <w:r w:rsidRPr="00193C4C">
              <w:t>Citigroup Pty Ltd</w:t>
            </w:r>
          </w:p>
        </w:tc>
      </w:tr>
      <w:tr w:rsidR="00DE7FD0" w:rsidRPr="00193C4C" w14:paraId="7FA2AA3E" w14:textId="77777777" w:rsidTr="00504091">
        <w:trPr>
          <w:trHeight w:val="340"/>
        </w:trPr>
        <w:tc>
          <w:tcPr>
            <w:tcW w:w="9087" w:type="dxa"/>
            <w:shd w:val="clear" w:color="auto" w:fill="F8F8F8"/>
            <w:noWrap/>
            <w:vAlign w:val="center"/>
            <w:hideMark/>
          </w:tcPr>
          <w:p w14:paraId="2B3DDF0C" w14:textId="77777777" w:rsidR="00DE7FD0" w:rsidRPr="00193C4C" w:rsidRDefault="00DE7FD0" w:rsidP="00193C4C">
            <w:pPr>
              <w:spacing w:before="100" w:beforeAutospacing="1" w:after="100" w:afterAutospacing="1" w:line="240" w:lineRule="auto"/>
            </w:pPr>
            <w:r w:rsidRPr="00193C4C">
              <w:t>Commonwealth Bank of Australia</w:t>
            </w:r>
          </w:p>
        </w:tc>
      </w:tr>
      <w:tr w:rsidR="00DE7FD0" w:rsidRPr="00193C4C" w14:paraId="675CD762" w14:textId="77777777" w:rsidTr="00504091">
        <w:trPr>
          <w:trHeight w:val="340"/>
        </w:trPr>
        <w:tc>
          <w:tcPr>
            <w:tcW w:w="9087" w:type="dxa"/>
            <w:shd w:val="clear" w:color="auto" w:fill="auto"/>
            <w:noWrap/>
            <w:vAlign w:val="center"/>
            <w:hideMark/>
          </w:tcPr>
          <w:p w14:paraId="1E6A1964" w14:textId="0CC3A97E" w:rsidR="00DE7FD0" w:rsidRPr="00193C4C" w:rsidRDefault="00D26445" w:rsidP="00193C4C">
            <w:pPr>
              <w:spacing w:before="100" w:beforeAutospacing="1" w:after="100" w:afterAutospacing="1" w:line="240" w:lineRule="auto"/>
            </w:pPr>
            <w:r w:rsidRPr="00193C4C">
              <w:t>Conoco</w:t>
            </w:r>
            <w:r w:rsidR="00DE7FD0" w:rsidRPr="00193C4C">
              <w:t>Phillips</w:t>
            </w:r>
            <w:r w:rsidRPr="00193C4C">
              <w:t xml:space="preserve"> Australia</w:t>
            </w:r>
            <w:r w:rsidR="00B25731" w:rsidRPr="00193C4C">
              <w:t xml:space="preserve"> Pty Ltd</w:t>
            </w:r>
          </w:p>
        </w:tc>
      </w:tr>
      <w:tr w:rsidR="00DE7FD0" w:rsidRPr="00193C4C" w14:paraId="2ADFBD81" w14:textId="77777777" w:rsidTr="00504091">
        <w:trPr>
          <w:trHeight w:val="340"/>
        </w:trPr>
        <w:tc>
          <w:tcPr>
            <w:tcW w:w="9087" w:type="dxa"/>
            <w:shd w:val="clear" w:color="auto" w:fill="F8F8F8"/>
            <w:noWrap/>
            <w:vAlign w:val="center"/>
            <w:hideMark/>
          </w:tcPr>
          <w:p w14:paraId="6FBFC46F" w14:textId="7DC1317C" w:rsidR="00DE7FD0" w:rsidRPr="00193C4C" w:rsidRDefault="00DE7FD0" w:rsidP="00193C4C">
            <w:pPr>
              <w:spacing w:before="100" w:beforeAutospacing="1" w:after="100" w:afterAutospacing="1" w:line="240" w:lineRule="auto"/>
            </w:pPr>
            <w:r w:rsidRPr="00193C4C">
              <w:t>Cook Medical</w:t>
            </w:r>
            <w:r w:rsidR="00B25731" w:rsidRPr="00193C4C">
              <w:t xml:space="preserve"> Pty Ltd</w:t>
            </w:r>
          </w:p>
        </w:tc>
      </w:tr>
      <w:tr w:rsidR="00DE7FD0" w:rsidRPr="00193C4C" w14:paraId="12D36043" w14:textId="77777777" w:rsidTr="00504091">
        <w:trPr>
          <w:trHeight w:val="340"/>
        </w:trPr>
        <w:tc>
          <w:tcPr>
            <w:tcW w:w="9087" w:type="dxa"/>
            <w:shd w:val="clear" w:color="auto" w:fill="auto"/>
            <w:noWrap/>
            <w:vAlign w:val="center"/>
            <w:hideMark/>
          </w:tcPr>
          <w:p w14:paraId="6475B5FC" w14:textId="186FF9CA" w:rsidR="00DE7FD0" w:rsidRPr="00193C4C" w:rsidRDefault="00DE7FD0" w:rsidP="00193C4C">
            <w:pPr>
              <w:spacing w:before="100" w:beforeAutospacing="1" w:after="100" w:afterAutospacing="1" w:line="240" w:lineRule="auto"/>
            </w:pPr>
            <w:r w:rsidRPr="00193C4C">
              <w:t>Crown Resorts</w:t>
            </w:r>
            <w:r w:rsidR="00D26445" w:rsidRPr="00193C4C">
              <w:t xml:space="preserve"> Limited</w:t>
            </w:r>
          </w:p>
        </w:tc>
      </w:tr>
      <w:tr w:rsidR="00DE7FD0" w:rsidRPr="00193C4C" w14:paraId="60A19351" w14:textId="77777777" w:rsidTr="00504091">
        <w:trPr>
          <w:trHeight w:val="340"/>
        </w:trPr>
        <w:tc>
          <w:tcPr>
            <w:tcW w:w="9087" w:type="dxa"/>
            <w:shd w:val="clear" w:color="auto" w:fill="F8F8F8"/>
            <w:noWrap/>
            <w:vAlign w:val="center"/>
            <w:hideMark/>
          </w:tcPr>
          <w:p w14:paraId="75733ABE" w14:textId="5F95EEB2" w:rsidR="00DE7FD0" w:rsidRPr="00193C4C" w:rsidRDefault="00DE7FD0" w:rsidP="00193C4C">
            <w:pPr>
              <w:spacing w:before="100" w:beforeAutospacing="1" w:after="100" w:afterAutospacing="1" w:line="240" w:lineRule="auto"/>
            </w:pPr>
            <w:r w:rsidRPr="00193C4C">
              <w:t>Energy Resources of Australia</w:t>
            </w:r>
            <w:r w:rsidR="00D26445" w:rsidRPr="00193C4C">
              <w:t xml:space="preserve"> Limited</w:t>
            </w:r>
          </w:p>
        </w:tc>
      </w:tr>
      <w:tr w:rsidR="00DE7FD0" w:rsidRPr="00193C4C" w14:paraId="00723B7B" w14:textId="77777777" w:rsidTr="00504091">
        <w:trPr>
          <w:trHeight w:val="340"/>
        </w:trPr>
        <w:tc>
          <w:tcPr>
            <w:tcW w:w="9087" w:type="dxa"/>
            <w:shd w:val="clear" w:color="auto" w:fill="auto"/>
            <w:noWrap/>
            <w:vAlign w:val="center"/>
            <w:hideMark/>
          </w:tcPr>
          <w:p w14:paraId="319D73DA" w14:textId="7F81CDAC" w:rsidR="00DE7FD0" w:rsidRPr="00193C4C" w:rsidRDefault="00DE7FD0" w:rsidP="00193C4C">
            <w:pPr>
              <w:spacing w:before="100" w:beforeAutospacing="1" w:after="100" w:afterAutospacing="1" w:line="240" w:lineRule="auto"/>
            </w:pPr>
            <w:r w:rsidRPr="00193C4C">
              <w:t>ERM Power</w:t>
            </w:r>
            <w:r w:rsidR="00D26445" w:rsidRPr="00193C4C">
              <w:t xml:space="preserve"> Limited</w:t>
            </w:r>
          </w:p>
        </w:tc>
      </w:tr>
      <w:tr w:rsidR="00CD6D1C" w:rsidRPr="00193C4C" w14:paraId="62598E6D" w14:textId="77777777" w:rsidTr="00504091">
        <w:trPr>
          <w:trHeight w:val="340"/>
        </w:trPr>
        <w:tc>
          <w:tcPr>
            <w:tcW w:w="9087" w:type="dxa"/>
            <w:shd w:val="clear" w:color="auto" w:fill="F8F8F8"/>
            <w:noWrap/>
            <w:vAlign w:val="center"/>
            <w:hideMark/>
          </w:tcPr>
          <w:p w14:paraId="46A27B1B" w14:textId="37F0E0F0" w:rsidR="00CD6D1C" w:rsidRPr="00193C4C" w:rsidRDefault="00CD6D1C" w:rsidP="00193C4C">
            <w:pPr>
              <w:spacing w:before="100" w:beforeAutospacing="1" w:after="100" w:afterAutospacing="1" w:line="240" w:lineRule="auto"/>
            </w:pPr>
            <w:r w:rsidRPr="00193C4C">
              <w:t>Forico Pty Ltd</w:t>
            </w:r>
          </w:p>
        </w:tc>
      </w:tr>
      <w:tr w:rsidR="00DE7FD0" w:rsidRPr="00193C4C" w14:paraId="15EE7C4A" w14:textId="77777777" w:rsidTr="00504091">
        <w:trPr>
          <w:trHeight w:val="340"/>
        </w:trPr>
        <w:tc>
          <w:tcPr>
            <w:tcW w:w="9087" w:type="dxa"/>
            <w:shd w:val="clear" w:color="auto" w:fill="auto"/>
            <w:noWrap/>
            <w:vAlign w:val="center"/>
            <w:hideMark/>
          </w:tcPr>
          <w:p w14:paraId="20B9E0B6" w14:textId="77777777" w:rsidR="00DE7FD0" w:rsidRPr="00193C4C" w:rsidRDefault="00DE7FD0" w:rsidP="00193C4C">
            <w:pPr>
              <w:spacing w:before="100" w:beforeAutospacing="1" w:after="100" w:afterAutospacing="1" w:line="240" w:lineRule="auto"/>
            </w:pPr>
            <w:r w:rsidRPr="00193C4C">
              <w:t>Hazell Bros Group Pty Ltd</w:t>
            </w:r>
          </w:p>
        </w:tc>
      </w:tr>
      <w:tr w:rsidR="00EA0CF8" w:rsidRPr="00193C4C" w14:paraId="6BA4ED5A" w14:textId="77777777" w:rsidTr="00504091">
        <w:trPr>
          <w:trHeight w:val="340"/>
        </w:trPr>
        <w:tc>
          <w:tcPr>
            <w:tcW w:w="9087" w:type="dxa"/>
            <w:shd w:val="clear" w:color="auto" w:fill="F8F8F8"/>
            <w:noWrap/>
            <w:vAlign w:val="center"/>
          </w:tcPr>
          <w:p w14:paraId="065AFCE7" w14:textId="321D11A2" w:rsidR="00EA0CF8" w:rsidRPr="00193C4C" w:rsidRDefault="00EA0CF8" w:rsidP="00193C4C">
            <w:pPr>
              <w:spacing w:before="100" w:beforeAutospacing="1" w:after="100" w:afterAutospacing="1" w:line="240" w:lineRule="auto"/>
            </w:pPr>
            <w:r>
              <w:t>Incat Tasmania Pty Ltd</w:t>
            </w:r>
          </w:p>
        </w:tc>
      </w:tr>
      <w:tr w:rsidR="00504091" w:rsidRPr="00193C4C" w14:paraId="2B23E4EF" w14:textId="77777777" w:rsidTr="00504091">
        <w:trPr>
          <w:trHeight w:val="340"/>
        </w:trPr>
        <w:tc>
          <w:tcPr>
            <w:tcW w:w="9087" w:type="dxa"/>
            <w:shd w:val="clear" w:color="auto" w:fill="auto"/>
            <w:noWrap/>
            <w:vAlign w:val="center"/>
          </w:tcPr>
          <w:p w14:paraId="09C6CFF0" w14:textId="43FD4748" w:rsidR="00504091" w:rsidRDefault="00504091" w:rsidP="00193C4C">
            <w:pPr>
              <w:spacing w:before="100" w:beforeAutospacing="1" w:after="100" w:afterAutospacing="1" w:line="240" w:lineRule="auto"/>
            </w:pPr>
            <w:r>
              <w:t>Intelledox Pty Ltd</w:t>
            </w:r>
          </w:p>
        </w:tc>
      </w:tr>
      <w:tr w:rsidR="00DE7FD0" w:rsidRPr="00193C4C" w14:paraId="47DFA098" w14:textId="77777777" w:rsidTr="00504091">
        <w:trPr>
          <w:trHeight w:val="340"/>
        </w:trPr>
        <w:tc>
          <w:tcPr>
            <w:tcW w:w="9087" w:type="dxa"/>
            <w:shd w:val="clear" w:color="auto" w:fill="F8F8F8"/>
            <w:noWrap/>
            <w:vAlign w:val="center"/>
            <w:hideMark/>
          </w:tcPr>
          <w:p w14:paraId="7922D202" w14:textId="546719CA" w:rsidR="00DE7FD0" w:rsidRPr="00193C4C" w:rsidRDefault="00DE7FD0" w:rsidP="00193C4C">
            <w:pPr>
              <w:spacing w:before="100" w:beforeAutospacing="1" w:after="100" w:afterAutospacing="1" w:line="240" w:lineRule="auto"/>
            </w:pPr>
            <w:r w:rsidRPr="00193C4C">
              <w:t>Landbridge</w:t>
            </w:r>
            <w:r w:rsidR="002037CD" w:rsidRPr="00193C4C">
              <w:t xml:space="preserve"> Pty Ltd</w:t>
            </w:r>
          </w:p>
        </w:tc>
      </w:tr>
      <w:tr w:rsidR="00DE7FD0" w:rsidRPr="00193C4C" w14:paraId="29DD1FA3" w14:textId="77777777" w:rsidTr="00504091">
        <w:trPr>
          <w:trHeight w:val="340"/>
        </w:trPr>
        <w:tc>
          <w:tcPr>
            <w:tcW w:w="9087" w:type="dxa"/>
            <w:shd w:val="clear" w:color="auto" w:fill="auto"/>
            <w:noWrap/>
            <w:vAlign w:val="center"/>
            <w:hideMark/>
          </w:tcPr>
          <w:p w14:paraId="6920C973" w14:textId="1040C4CE" w:rsidR="00DE7FD0" w:rsidRPr="00193C4C" w:rsidRDefault="00DE7FD0" w:rsidP="00193C4C">
            <w:pPr>
              <w:spacing w:before="100" w:beforeAutospacing="1" w:after="100" w:afterAutospacing="1" w:line="240" w:lineRule="auto"/>
            </w:pPr>
            <w:r w:rsidRPr="00193C4C">
              <w:t>Levett Engineering</w:t>
            </w:r>
            <w:r w:rsidR="002037CD" w:rsidRPr="00193C4C">
              <w:t xml:space="preserve"> Pty Ltd</w:t>
            </w:r>
          </w:p>
        </w:tc>
      </w:tr>
      <w:tr w:rsidR="00DE7FD0" w:rsidRPr="00193C4C" w14:paraId="3F64CF9A" w14:textId="77777777" w:rsidTr="00504091">
        <w:trPr>
          <w:trHeight w:val="340"/>
        </w:trPr>
        <w:tc>
          <w:tcPr>
            <w:tcW w:w="9087" w:type="dxa"/>
            <w:shd w:val="clear" w:color="auto" w:fill="F8F8F8"/>
            <w:noWrap/>
            <w:vAlign w:val="center"/>
            <w:hideMark/>
          </w:tcPr>
          <w:p w14:paraId="23138868" w14:textId="77777777" w:rsidR="00DE7FD0" w:rsidRPr="00193C4C" w:rsidRDefault="00DE7FD0" w:rsidP="00193C4C">
            <w:pPr>
              <w:spacing w:before="100" w:beforeAutospacing="1" w:after="100" w:afterAutospacing="1" w:line="240" w:lineRule="auto"/>
            </w:pPr>
            <w:r w:rsidRPr="00193C4C">
              <w:t>Macquarie Group Limited</w:t>
            </w:r>
          </w:p>
        </w:tc>
      </w:tr>
      <w:tr w:rsidR="00CD6D1C" w:rsidRPr="00193C4C" w14:paraId="26C12403" w14:textId="77777777" w:rsidTr="00504091">
        <w:trPr>
          <w:trHeight w:val="340"/>
        </w:trPr>
        <w:tc>
          <w:tcPr>
            <w:tcW w:w="9087" w:type="dxa"/>
            <w:shd w:val="clear" w:color="auto" w:fill="auto"/>
            <w:noWrap/>
            <w:vAlign w:val="center"/>
            <w:hideMark/>
          </w:tcPr>
          <w:p w14:paraId="7264F969" w14:textId="0E2749B9" w:rsidR="00CD6D1C" w:rsidRPr="00193C4C" w:rsidRDefault="00CD6D1C" w:rsidP="00193C4C">
            <w:pPr>
              <w:spacing w:before="100" w:beforeAutospacing="1" w:after="100" w:afterAutospacing="1" w:line="240" w:lineRule="auto"/>
            </w:pPr>
            <w:r w:rsidRPr="00193C4C">
              <w:t>Minerals Council of Australia Northern Territory</w:t>
            </w:r>
          </w:p>
        </w:tc>
      </w:tr>
      <w:tr w:rsidR="00CD6D1C" w:rsidRPr="00193C4C" w14:paraId="02126024" w14:textId="77777777" w:rsidTr="00504091">
        <w:trPr>
          <w:trHeight w:val="340"/>
        </w:trPr>
        <w:tc>
          <w:tcPr>
            <w:tcW w:w="9087" w:type="dxa"/>
            <w:shd w:val="clear" w:color="auto" w:fill="F8F8F8"/>
            <w:noWrap/>
            <w:vAlign w:val="center"/>
            <w:hideMark/>
          </w:tcPr>
          <w:p w14:paraId="46674016" w14:textId="0487BA6B" w:rsidR="00CD6D1C" w:rsidRPr="00193C4C" w:rsidRDefault="00CD6D1C" w:rsidP="00193C4C">
            <w:pPr>
              <w:spacing w:before="100" w:beforeAutospacing="1" w:after="100" w:afterAutospacing="1" w:line="240" w:lineRule="auto"/>
            </w:pPr>
            <w:r w:rsidRPr="00193C4C">
              <w:t>National Australia Bank Limited</w:t>
            </w:r>
          </w:p>
        </w:tc>
      </w:tr>
      <w:tr w:rsidR="00DE7FD0" w:rsidRPr="00193C4C" w14:paraId="7178526C" w14:textId="77777777" w:rsidTr="00504091">
        <w:trPr>
          <w:trHeight w:val="340"/>
        </w:trPr>
        <w:tc>
          <w:tcPr>
            <w:tcW w:w="9087" w:type="dxa"/>
            <w:shd w:val="clear" w:color="auto" w:fill="auto"/>
            <w:noWrap/>
            <w:vAlign w:val="center"/>
            <w:hideMark/>
          </w:tcPr>
          <w:p w14:paraId="15FEF7E2" w14:textId="2153ECD6" w:rsidR="00DE7FD0" w:rsidRPr="00193C4C" w:rsidRDefault="00881755" w:rsidP="00193C4C">
            <w:pPr>
              <w:spacing w:before="100" w:beforeAutospacing="1" w:after="100" w:afterAutospacing="1" w:line="240" w:lineRule="auto"/>
            </w:pPr>
            <w:r w:rsidRPr="00193C4C">
              <w:t xml:space="preserve">The </w:t>
            </w:r>
            <w:r w:rsidR="00DE7FD0" w:rsidRPr="00193C4C">
              <w:t>National Convention Centre</w:t>
            </w:r>
            <w:r w:rsidRPr="00193C4C">
              <w:t xml:space="preserve"> Canberra</w:t>
            </w:r>
          </w:p>
        </w:tc>
      </w:tr>
      <w:tr w:rsidR="00DE7FD0" w:rsidRPr="00193C4C" w14:paraId="6124ACEB" w14:textId="77777777" w:rsidTr="00504091">
        <w:trPr>
          <w:trHeight w:val="340"/>
        </w:trPr>
        <w:tc>
          <w:tcPr>
            <w:tcW w:w="9087" w:type="dxa"/>
            <w:shd w:val="clear" w:color="auto" w:fill="F8F8F8"/>
            <w:noWrap/>
            <w:vAlign w:val="center"/>
            <w:hideMark/>
          </w:tcPr>
          <w:p w14:paraId="2FFEE85B" w14:textId="77777777" w:rsidR="00DE7FD0" w:rsidRPr="00193C4C" w:rsidRDefault="00DE7FD0" w:rsidP="00193C4C">
            <w:pPr>
              <w:spacing w:before="100" w:beforeAutospacing="1" w:after="100" w:afterAutospacing="1" w:line="240" w:lineRule="auto"/>
            </w:pPr>
            <w:r w:rsidRPr="00193C4C">
              <w:t xml:space="preserve">Nekon Pty Ltd </w:t>
            </w:r>
          </w:p>
        </w:tc>
      </w:tr>
      <w:tr w:rsidR="00DE7FD0" w:rsidRPr="00193C4C" w14:paraId="4EA69672" w14:textId="77777777" w:rsidTr="00504091">
        <w:trPr>
          <w:trHeight w:val="340"/>
        </w:trPr>
        <w:tc>
          <w:tcPr>
            <w:tcW w:w="9087" w:type="dxa"/>
            <w:shd w:val="clear" w:color="auto" w:fill="auto"/>
            <w:noWrap/>
            <w:vAlign w:val="center"/>
            <w:hideMark/>
          </w:tcPr>
          <w:p w14:paraId="570AA69C" w14:textId="2F428B81" w:rsidR="00DE7FD0" w:rsidRPr="00193C4C" w:rsidRDefault="00DE7FD0" w:rsidP="00193C4C">
            <w:pPr>
              <w:spacing w:before="100" w:beforeAutospacing="1" w:after="100" w:afterAutospacing="1" w:line="240" w:lineRule="auto"/>
            </w:pPr>
            <w:r w:rsidRPr="00193C4C">
              <w:t>New Hope Group</w:t>
            </w:r>
            <w:r w:rsidR="00881755" w:rsidRPr="00193C4C">
              <w:t xml:space="preserve"> (Aust) Pty Ltd</w:t>
            </w:r>
          </w:p>
        </w:tc>
      </w:tr>
      <w:tr w:rsidR="00DE7FD0" w:rsidRPr="00193C4C" w14:paraId="11446265" w14:textId="77777777" w:rsidTr="00504091">
        <w:trPr>
          <w:trHeight w:val="340"/>
        </w:trPr>
        <w:tc>
          <w:tcPr>
            <w:tcW w:w="9087" w:type="dxa"/>
            <w:shd w:val="clear" w:color="auto" w:fill="F8F8F8"/>
            <w:noWrap/>
            <w:vAlign w:val="center"/>
            <w:hideMark/>
          </w:tcPr>
          <w:p w14:paraId="67E68334" w14:textId="0643070E" w:rsidR="00DE7FD0" w:rsidRPr="00193C4C" w:rsidRDefault="00881755" w:rsidP="00193C4C">
            <w:pPr>
              <w:spacing w:before="100" w:beforeAutospacing="1" w:after="100" w:afterAutospacing="1" w:line="240" w:lineRule="auto"/>
            </w:pPr>
            <w:r w:rsidRPr="00193C4C">
              <w:t>Northern Territory</w:t>
            </w:r>
            <w:r w:rsidR="00DE7FD0" w:rsidRPr="00193C4C">
              <w:t xml:space="preserve"> Manufacturers Council</w:t>
            </w:r>
          </w:p>
        </w:tc>
      </w:tr>
      <w:tr w:rsidR="00DE7FD0" w:rsidRPr="00193C4C" w14:paraId="41F2F148" w14:textId="77777777" w:rsidTr="00504091">
        <w:trPr>
          <w:trHeight w:val="340"/>
        </w:trPr>
        <w:tc>
          <w:tcPr>
            <w:tcW w:w="9087" w:type="dxa"/>
            <w:shd w:val="clear" w:color="auto" w:fill="auto"/>
            <w:noWrap/>
            <w:vAlign w:val="center"/>
            <w:hideMark/>
          </w:tcPr>
          <w:p w14:paraId="077F83E1" w14:textId="77777777" w:rsidR="00DE7FD0" w:rsidRPr="00193C4C" w:rsidRDefault="00DE7FD0" w:rsidP="00193C4C">
            <w:pPr>
              <w:spacing w:before="100" w:beforeAutospacing="1" w:after="100" w:afterAutospacing="1" w:line="240" w:lineRule="auto"/>
            </w:pPr>
            <w:r w:rsidRPr="00193C4C">
              <w:t>Origin Energy Limited</w:t>
            </w:r>
          </w:p>
        </w:tc>
      </w:tr>
      <w:tr w:rsidR="00DE7FD0" w:rsidRPr="00193C4C" w14:paraId="662369C4" w14:textId="77777777" w:rsidTr="00504091">
        <w:trPr>
          <w:trHeight w:val="340"/>
        </w:trPr>
        <w:tc>
          <w:tcPr>
            <w:tcW w:w="9087" w:type="dxa"/>
            <w:shd w:val="clear" w:color="auto" w:fill="F8F8F8"/>
            <w:noWrap/>
            <w:vAlign w:val="center"/>
            <w:hideMark/>
          </w:tcPr>
          <w:p w14:paraId="201F26E2" w14:textId="77777777" w:rsidR="00DE7FD0" w:rsidRPr="00193C4C" w:rsidRDefault="00DE7FD0" w:rsidP="00193C4C">
            <w:pPr>
              <w:spacing w:before="100" w:beforeAutospacing="1" w:after="100" w:afterAutospacing="1" w:line="240" w:lineRule="auto"/>
            </w:pPr>
            <w:r w:rsidRPr="00193C4C">
              <w:t>Pennicott Wilderness Journeys Pty Ltd</w:t>
            </w:r>
          </w:p>
        </w:tc>
      </w:tr>
      <w:tr w:rsidR="00CD6D1C" w:rsidRPr="00193C4C" w14:paraId="6F105524" w14:textId="77777777" w:rsidTr="00504091">
        <w:trPr>
          <w:trHeight w:val="340"/>
        </w:trPr>
        <w:tc>
          <w:tcPr>
            <w:tcW w:w="9087" w:type="dxa"/>
            <w:shd w:val="clear" w:color="auto" w:fill="auto"/>
            <w:noWrap/>
            <w:vAlign w:val="center"/>
            <w:hideMark/>
          </w:tcPr>
          <w:p w14:paraId="6DFF1D34" w14:textId="60A0CF4A" w:rsidR="00CD6D1C" w:rsidRPr="00193C4C" w:rsidRDefault="00CD6D1C" w:rsidP="00193C4C">
            <w:pPr>
              <w:spacing w:before="100" w:beforeAutospacing="1" w:after="100" w:afterAutospacing="1" w:line="240" w:lineRule="auto"/>
            </w:pPr>
            <w:r w:rsidRPr="00193C4C">
              <w:t>Philmac Pty Ltd</w:t>
            </w:r>
          </w:p>
        </w:tc>
      </w:tr>
      <w:tr w:rsidR="00DE7FD0" w:rsidRPr="00193C4C" w14:paraId="5580F622" w14:textId="77777777" w:rsidTr="00504091">
        <w:trPr>
          <w:trHeight w:val="340"/>
        </w:trPr>
        <w:tc>
          <w:tcPr>
            <w:tcW w:w="9087" w:type="dxa"/>
            <w:shd w:val="clear" w:color="auto" w:fill="F8F8F8"/>
            <w:noWrap/>
            <w:vAlign w:val="center"/>
            <w:hideMark/>
          </w:tcPr>
          <w:p w14:paraId="609F2CA7" w14:textId="5476A439" w:rsidR="00DE7FD0" w:rsidRPr="00193C4C" w:rsidRDefault="00DE7FD0" w:rsidP="00193C4C">
            <w:pPr>
              <w:spacing w:before="100" w:beforeAutospacing="1" w:after="100" w:afterAutospacing="1" w:line="240" w:lineRule="auto"/>
            </w:pPr>
            <w:r w:rsidRPr="00193C4C">
              <w:t>Port of Brisbane</w:t>
            </w:r>
            <w:r w:rsidR="00881755" w:rsidRPr="00193C4C">
              <w:t xml:space="preserve"> Pty Ltd</w:t>
            </w:r>
          </w:p>
        </w:tc>
      </w:tr>
      <w:tr w:rsidR="00DE7FD0" w:rsidRPr="00193C4C" w14:paraId="7BDD1F8C" w14:textId="77777777" w:rsidTr="00504091">
        <w:trPr>
          <w:trHeight w:val="340"/>
        </w:trPr>
        <w:tc>
          <w:tcPr>
            <w:tcW w:w="9087" w:type="dxa"/>
            <w:shd w:val="clear" w:color="auto" w:fill="auto"/>
            <w:noWrap/>
            <w:vAlign w:val="center"/>
            <w:hideMark/>
          </w:tcPr>
          <w:p w14:paraId="4F6F4CAB" w14:textId="66EF6087" w:rsidR="00DE7FD0" w:rsidRPr="00193C4C" w:rsidRDefault="00DE7FD0" w:rsidP="00193C4C">
            <w:pPr>
              <w:spacing w:before="100" w:beforeAutospacing="1" w:after="100" w:afterAutospacing="1" w:line="240" w:lineRule="auto"/>
            </w:pPr>
            <w:r w:rsidRPr="00193C4C">
              <w:t>Precision Components</w:t>
            </w:r>
            <w:r w:rsidR="00881755" w:rsidRPr="00193C4C">
              <w:t xml:space="preserve"> Australia Pty Ltd</w:t>
            </w:r>
          </w:p>
        </w:tc>
      </w:tr>
      <w:tr w:rsidR="00DE7FD0" w:rsidRPr="00193C4C" w14:paraId="23605B07" w14:textId="77777777" w:rsidTr="00504091">
        <w:trPr>
          <w:trHeight w:val="340"/>
        </w:trPr>
        <w:tc>
          <w:tcPr>
            <w:tcW w:w="9087" w:type="dxa"/>
            <w:shd w:val="clear" w:color="auto" w:fill="F8F8F8"/>
            <w:noWrap/>
            <w:vAlign w:val="center"/>
            <w:hideMark/>
          </w:tcPr>
          <w:p w14:paraId="6D103F7C" w14:textId="4248A1D2" w:rsidR="00DE7FD0" w:rsidRPr="00193C4C" w:rsidRDefault="00DE7FD0" w:rsidP="00193C4C">
            <w:pPr>
              <w:spacing w:before="100" w:beforeAutospacing="1" w:after="100" w:afterAutospacing="1" w:line="240" w:lineRule="auto"/>
            </w:pPr>
            <w:r w:rsidRPr="00193C4C">
              <w:t>Property Council of Australia</w:t>
            </w:r>
            <w:r w:rsidR="00881755" w:rsidRPr="00193C4C">
              <w:t xml:space="preserve"> Limited</w:t>
            </w:r>
          </w:p>
        </w:tc>
      </w:tr>
      <w:tr w:rsidR="00DE7FD0" w:rsidRPr="00193C4C" w14:paraId="4DD7C5A3" w14:textId="77777777" w:rsidTr="00504091">
        <w:trPr>
          <w:trHeight w:val="340"/>
        </w:trPr>
        <w:tc>
          <w:tcPr>
            <w:tcW w:w="9087" w:type="dxa"/>
            <w:shd w:val="clear" w:color="auto" w:fill="auto"/>
            <w:noWrap/>
            <w:vAlign w:val="center"/>
            <w:hideMark/>
          </w:tcPr>
          <w:p w14:paraId="4290F36F" w14:textId="77777777" w:rsidR="00DE7FD0" w:rsidRPr="00193C4C" w:rsidRDefault="00DE7FD0" w:rsidP="00193C4C">
            <w:pPr>
              <w:spacing w:before="100" w:beforeAutospacing="1" w:after="100" w:afterAutospacing="1" w:line="240" w:lineRule="auto"/>
            </w:pPr>
            <w:r w:rsidRPr="00193C4C">
              <w:t>Qantas Airways Limited</w:t>
            </w:r>
          </w:p>
        </w:tc>
      </w:tr>
      <w:tr w:rsidR="00CD6D1C" w:rsidRPr="00193C4C" w14:paraId="2C51321D" w14:textId="77777777" w:rsidTr="00504091">
        <w:trPr>
          <w:trHeight w:val="340"/>
        </w:trPr>
        <w:tc>
          <w:tcPr>
            <w:tcW w:w="9087" w:type="dxa"/>
            <w:shd w:val="clear" w:color="auto" w:fill="F8F8F8"/>
            <w:noWrap/>
            <w:vAlign w:val="center"/>
            <w:hideMark/>
          </w:tcPr>
          <w:p w14:paraId="64BC713E" w14:textId="7711D4FD" w:rsidR="00CD6D1C" w:rsidRPr="00193C4C" w:rsidRDefault="00CD6D1C" w:rsidP="00135D22">
            <w:pPr>
              <w:spacing w:before="100" w:beforeAutospacing="1" w:after="100" w:afterAutospacing="1" w:line="240" w:lineRule="auto"/>
            </w:pPr>
            <w:r w:rsidRPr="00193C4C">
              <w:t>QIC Limited</w:t>
            </w:r>
          </w:p>
        </w:tc>
      </w:tr>
      <w:tr w:rsidR="00CD6D1C" w:rsidRPr="00193C4C" w14:paraId="4EF5FC72" w14:textId="77777777" w:rsidTr="00504091">
        <w:trPr>
          <w:trHeight w:val="340"/>
        </w:trPr>
        <w:tc>
          <w:tcPr>
            <w:tcW w:w="9087" w:type="dxa"/>
            <w:shd w:val="clear" w:color="auto" w:fill="auto"/>
            <w:noWrap/>
            <w:vAlign w:val="center"/>
            <w:hideMark/>
          </w:tcPr>
          <w:p w14:paraId="07291ACE" w14:textId="48E52612" w:rsidR="00CD6D1C" w:rsidRPr="00193C4C" w:rsidRDefault="00F0247D" w:rsidP="00193C4C">
            <w:pPr>
              <w:spacing w:before="100" w:beforeAutospacing="1" w:after="100" w:afterAutospacing="1" w:line="240" w:lineRule="auto"/>
            </w:pPr>
            <w:r>
              <w:t>QS</w:t>
            </w:r>
            <w:r w:rsidR="00CD6D1C" w:rsidRPr="00193C4C">
              <w:t>uper Limited</w:t>
            </w:r>
          </w:p>
        </w:tc>
      </w:tr>
      <w:tr w:rsidR="00DE7FD0" w:rsidRPr="00193C4C" w14:paraId="2EB758E3" w14:textId="77777777" w:rsidTr="00504091">
        <w:trPr>
          <w:trHeight w:val="340"/>
        </w:trPr>
        <w:tc>
          <w:tcPr>
            <w:tcW w:w="9087" w:type="dxa"/>
            <w:shd w:val="clear" w:color="auto" w:fill="F8F8F8"/>
            <w:noWrap/>
            <w:vAlign w:val="center"/>
            <w:hideMark/>
          </w:tcPr>
          <w:p w14:paraId="0CF1AE46" w14:textId="43026ED7" w:rsidR="00DE7FD0" w:rsidRPr="00193C4C" w:rsidRDefault="00DE7FD0" w:rsidP="00193C4C">
            <w:pPr>
              <w:spacing w:before="100" w:beforeAutospacing="1" w:after="100" w:afterAutospacing="1" w:line="240" w:lineRule="auto"/>
            </w:pPr>
            <w:r w:rsidRPr="00193C4C">
              <w:t>Scentre Group</w:t>
            </w:r>
            <w:r w:rsidR="00881755" w:rsidRPr="00193C4C">
              <w:t xml:space="preserve"> Limited</w:t>
            </w:r>
          </w:p>
        </w:tc>
      </w:tr>
      <w:tr w:rsidR="00DE7FD0" w:rsidRPr="00193C4C" w14:paraId="1EAD7A40" w14:textId="77777777" w:rsidTr="00504091">
        <w:trPr>
          <w:trHeight w:val="340"/>
        </w:trPr>
        <w:tc>
          <w:tcPr>
            <w:tcW w:w="9087" w:type="dxa"/>
            <w:shd w:val="clear" w:color="auto" w:fill="auto"/>
            <w:noWrap/>
            <w:vAlign w:val="center"/>
            <w:hideMark/>
          </w:tcPr>
          <w:p w14:paraId="4AD9C027" w14:textId="762F6802" w:rsidR="00DE7FD0" w:rsidRPr="00193C4C" w:rsidRDefault="00DE7FD0" w:rsidP="00193C4C">
            <w:pPr>
              <w:spacing w:before="100" w:beforeAutospacing="1" w:after="100" w:afterAutospacing="1" w:line="240" w:lineRule="auto"/>
            </w:pPr>
            <w:r w:rsidRPr="00193C4C">
              <w:t>Seeley International</w:t>
            </w:r>
            <w:r w:rsidR="00881755" w:rsidRPr="00193C4C">
              <w:t xml:space="preserve"> Pty Ltd</w:t>
            </w:r>
          </w:p>
        </w:tc>
      </w:tr>
      <w:tr w:rsidR="00DE7FD0" w:rsidRPr="00193C4C" w14:paraId="74EE0A6A" w14:textId="77777777" w:rsidTr="00504091">
        <w:trPr>
          <w:trHeight w:val="340"/>
        </w:trPr>
        <w:tc>
          <w:tcPr>
            <w:tcW w:w="9087" w:type="dxa"/>
            <w:shd w:val="clear" w:color="auto" w:fill="F8F8F8"/>
            <w:noWrap/>
            <w:vAlign w:val="center"/>
            <w:hideMark/>
          </w:tcPr>
          <w:p w14:paraId="0037BA2D" w14:textId="3D4B35B4" w:rsidR="00DE7FD0" w:rsidRPr="00193C4C" w:rsidRDefault="00DE7FD0" w:rsidP="00193C4C">
            <w:pPr>
              <w:spacing w:before="100" w:beforeAutospacing="1" w:after="100" w:afterAutospacing="1" w:line="240" w:lineRule="auto"/>
            </w:pPr>
            <w:r w:rsidRPr="00193C4C">
              <w:t>Stornoway</w:t>
            </w:r>
            <w:r w:rsidR="00881755" w:rsidRPr="00193C4C">
              <w:t xml:space="preserve"> Pty Ltd</w:t>
            </w:r>
          </w:p>
        </w:tc>
      </w:tr>
      <w:tr w:rsidR="00D71594" w:rsidRPr="00193C4C" w14:paraId="7B9FF6CC" w14:textId="77777777" w:rsidTr="00504091">
        <w:trPr>
          <w:trHeight w:val="340"/>
        </w:trPr>
        <w:tc>
          <w:tcPr>
            <w:tcW w:w="9087" w:type="dxa"/>
            <w:shd w:val="clear" w:color="auto" w:fill="auto"/>
            <w:noWrap/>
            <w:vAlign w:val="center"/>
          </w:tcPr>
          <w:p w14:paraId="71A5AB0D" w14:textId="737B7AB3" w:rsidR="00D71594" w:rsidRDefault="00D71594" w:rsidP="00193C4C">
            <w:pPr>
              <w:spacing w:before="100" w:beforeAutospacing="1" w:after="100" w:afterAutospacing="1" w:line="240" w:lineRule="auto"/>
            </w:pPr>
            <w:r>
              <w:t>Suncorp Group Limited</w:t>
            </w:r>
          </w:p>
        </w:tc>
      </w:tr>
      <w:tr w:rsidR="00504091" w:rsidRPr="00193C4C" w14:paraId="753957E4" w14:textId="77777777" w:rsidTr="00D71594">
        <w:trPr>
          <w:trHeight w:val="340"/>
        </w:trPr>
        <w:tc>
          <w:tcPr>
            <w:tcW w:w="9087" w:type="dxa"/>
            <w:shd w:val="clear" w:color="auto" w:fill="F8F8F8"/>
            <w:noWrap/>
            <w:vAlign w:val="center"/>
          </w:tcPr>
          <w:p w14:paraId="4A9C9CD4" w14:textId="336AEAB2" w:rsidR="00504091" w:rsidRPr="00193C4C" w:rsidRDefault="00504091" w:rsidP="00193C4C">
            <w:pPr>
              <w:spacing w:before="100" w:beforeAutospacing="1" w:after="100" w:afterAutospacing="1" w:line="240" w:lineRule="auto"/>
            </w:pPr>
            <w:r>
              <w:t>Sydney Angels Incorporated</w:t>
            </w:r>
          </w:p>
        </w:tc>
      </w:tr>
      <w:tr w:rsidR="00CD6D1C" w:rsidRPr="00193C4C" w14:paraId="411C9FCF" w14:textId="77777777" w:rsidTr="00D71594">
        <w:trPr>
          <w:trHeight w:val="340"/>
        </w:trPr>
        <w:tc>
          <w:tcPr>
            <w:tcW w:w="9087" w:type="dxa"/>
            <w:shd w:val="clear" w:color="auto" w:fill="auto"/>
            <w:noWrap/>
            <w:vAlign w:val="center"/>
            <w:hideMark/>
          </w:tcPr>
          <w:p w14:paraId="3F29C94F" w14:textId="335A61A8" w:rsidR="00CD6D1C" w:rsidRPr="00193C4C" w:rsidRDefault="00CD6D1C" w:rsidP="00193C4C">
            <w:pPr>
              <w:spacing w:before="100" w:beforeAutospacing="1" w:after="100" w:afterAutospacing="1" w:line="240" w:lineRule="auto"/>
            </w:pPr>
            <w:r w:rsidRPr="00193C4C">
              <w:t>Telstra Corporation Limited</w:t>
            </w:r>
          </w:p>
        </w:tc>
      </w:tr>
      <w:tr w:rsidR="00DE7FD0" w:rsidRPr="00193C4C" w14:paraId="39DB285B" w14:textId="77777777" w:rsidTr="00D71594">
        <w:trPr>
          <w:trHeight w:val="340"/>
        </w:trPr>
        <w:tc>
          <w:tcPr>
            <w:tcW w:w="9087" w:type="dxa"/>
            <w:shd w:val="clear" w:color="auto" w:fill="F8F8F8"/>
            <w:noWrap/>
            <w:vAlign w:val="center"/>
            <w:hideMark/>
          </w:tcPr>
          <w:p w14:paraId="65DBBC7E" w14:textId="77777777" w:rsidR="00DE7FD0" w:rsidRPr="00193C4C" w:rsidRDefault="00DE7FD0" w:rsidP="00193C4C">
            <w:pPr>
              <w:spacing w:before="100" w:beforeAutospacing="1" w:after="100" w:afterAutospacing="1" w:line="240" w:lineRule="auto"/>
            </w:pPr>
            <w:r w:rsidRPr="00193C4C">
              <w:t>Transurban Limited</w:t>
            </w:r>
          </w:p>
        </w:tc>
      </w:tr>
      <w:tr w:rsidR="00CD6D1C" w:rsidRPr="00193C4C" w14:paraId="5912F246" w14:textId="77777777" w:rsidTr="00D71594">
        <w:trPr>
          <w:trHeight w:val="340"/>
        </w:trPr>
        <w:tc>
          <w:tcPr>
            <w:tcW w:w="9087" w:type="dxa"/>
            <w:shd w:val="clear" w:color="auto" w:fill="auto"/>
            <w:noWrap/>
            <w:vAlign w:val="center"/>
            <w:hideMark/>
          </w:tcPr>
          <w:p w14:paraId="74C2325C" w14:textId="530BC135" w:rsidR="00CD6D1C" w:rsidRPr="00193C4C" w:rsidRDefault="00CD6D1C" w:rsidP="00193C4C">
            <w:pPr>
              <w:spacing w:before="100" w:beforeAutospacing="1" w:after="100" w:afterAutospacing="1" w:line="240" w:lineRule="auto"/>
            </w:pPr>
            <w:r w:rsidRPr="00193C4C">
              <w:t>UBS Pty Ltd</w:t>
            </w:r>
          </w:p>
        </w:tc>
      </w:tr>
      <w:tr w:rsidR="00DE7FD0" w:rsidRPr="00193C4C" w14:paraId="67026356" w14:textId="77777777" w:rsidTr="00D71594">
        <w:trPr>
          <w:trHeight w:val="340"/>
        </w:trPr>
        <w:tc>
          <w:tcPr>
            <w:tcW w:w="9087" w:type="dxa"/>
            <w:shd w:val="clear" w:color="auto" w:fill="F8F8F8"/>
            <w:noWrap/>
            <w:vAlign w:val="center"/>
            <w:hideMark/>
          </w:tcPr>
          <w:p w14:paraId="46E55533" w14:textId="318E6E27" w:rsidR="00DE7FD0" w:rsidRPr="00193C4C" w:rsidRDefault="00DE7FD0" w:rsidP="00193C4C">
            <w:pPr>
              <w:spacing w:before="100" w:beforeAutospacing="1" w:after="100" w:afterAutospacing="1" w:line="240" w:lineRule="auto"/>
            </w:pPr>
            <w:r w:rsidRPr="00193C4C">
              <w:t>Ultra Electronics</w:t>
            </w:r>
            <w:r w:rsidR="00881755" w:rsidRPr="00193C4C">
              <w:t xml:space="preserve"> Australia Pty Ltd</w:t>
            </w:r>
          </w:p>
        </w:tc>
      </w:tr>
      <w:tr w:rsidR="00CD6D1C" w:rsidRPr="00193C4C" w14:paraId="6501232E" w14:textId="77777777" w:rsidTr="00D71594">
        <w:trPr>
          <w:trHeight w:val="340"/>
        </w:trPr>
        <w:tc>
          <w:tcPr>
            <w:tcW w:w="9087" w:type="dxa"/>
            <w:shd w:val="clear" w:color="auto" w:fill="auto"/>
            <w:noWrap/>
            <w:vAlign w:val="center"/>
            <w:hideMark/>
          </w:tcPr>
          <w:p w14:paraId="48CFBFE2" w14:textId="55FA1E32" w:rsidR="00CD6D1C" w:rsidRPr="00193C4C" w:rsidRDefault="00CD6D1C" w:rsidP="00193C4C">
            <w:pPr>
              <w:spacing w:before="100" w:beforeAutospacing="1" w:after="100" w:afterAutospacing="1" w:line="240" w:lineRule="auto"/>
            </w:pPr>
            <w:r w:rsidRPr="00193C4C">
              <w:t>Victorian Funds Management Corporation</w:t>
            </w:r>
          </w:p>
        </w:tc>
      </w:tr>
      <w:tr w:rsidR="00DE7FD0" w:rsidRPr="00193C4C" w14:paraId="25A72112" w14:textId="77777777" w:rsidTr="00D71594">
        <w:trPr>
          <w:trHeight w:val="340"/>
        </w:trPr>
        <w:tc>
          <w:tcPr>
            <w:tcW w:w="9087" w:type="dxa"/>
            <w:shd w:val="clear" w:color="auto" w:fill="F8F8F8"/>
            <w:noWrap/>
            <w:vAlign w:val="center"/>
            <w:hideMark/>
          </w:tcPr>
          <w:p w14:paraId="77AF92FE" w14:textId="697AE526" w:rsidR="00DE7FD0" w:rsidRPr="00193C4C" w:rsidRDefault="00DE7FD0" w:rsidP="00193C4C">
            <w:pPr>
              <w:spacing w:before="100" w:beforeAutospacing="1" w:after="100" w:afterAutospacing="1" w:line="240" w:lineRule="auto"/>
            </w:pPr>
            <w:r w:rsidRPr="00193C4C">
              <w:t>Virgin Australia Holdings</w:t>
            </w:r>
            <w:r w:rsidR="00881755" w:rsidRPr="00193C4C">
              <w:t xml:space="preserve"> Limited</w:t>
            </w:r>
          </w:p>
        </w:tc>
      </w:tr>
      <w:tr w:rsidR="00CD6D1C" w:rsidRPr="00193C4C" w14:paraId="3A300BB8" w14:textId="77777777" w:rsidTr="00D71594">
        <w:trPr>
          <w:trHeight w:val="340"/>
        </w:trPr>
        <w:tc>
          <w:tcPr>
            <w:tcW w:w="9087" w:type="dxa"/>
            <w:shd w:val="clear" w:color="auto" w:fill="auto"/>
            <w:noWrap/>
            <w:vAlign w:val="center"/>
            <w:hideMark/>
          </w:tcPr>
          <w:p w14:paraId="4FD1AEE9" w14:textId="69190482" w:rsidR="00CD6D1C" w:rsidRPr="00193C4C" w:rsidRDefault="00CD6D1C" w:rsidP="00193C4C">
            <w:pPr>
              <w:spacing w:before="100" w:beforeAutospacing="1" w:after="100" w:afterAutospacing="1" w:line="240" w:lineRule="auto"/>
            </w:pPr>
            <w:r w:rsidRPr="00193C4C">
              <w:t>Watpac Limited</w:t>
            </w:r>
          </w:p>
        </w:tc>
      </w:tr>
      <w:tr w:rsidR="00DE7FD0" w:rsidRPr="00193C4C" w14:paraId="5334E716" w14:textId="77777777" w:rsidTr="00D71594">
        <w:trPr>
          <w:trHeight w:val="340"/>
        </w:trPr>
        <w:tc>
          <w:tcPr>
            <w:tcW w:w="9087" w:type="dxa"/>
            <w:shd w:val="clear" w:color="auto" w:fill="F8F8F8"/>
            <w:noWrap/>
            <w:vAlign w:val="center"/>
            <w:hideMark/>
          </w:tcPr>
          <w:p w14:paraId="603E5AF9" w14:textId="7F78BC9A" w:rsidR="00DE7FD0" w:rsidRPr="00193C4C" w:rsidRDefault="00DE7FD0" w:rsidP="00193C4C">
            <w:pPr>
              <w:spacing w:before="100" w:beforeAutospacing="1" w:after="100" w:afterAutospacing="1" w:line="240" w:lineRule="auto"/>
            </w:pPr>
            <w:r w:rsidRPr="00193C4C">
              <w:t>Wesfarmers</w:t>
            </w:r>
            <w:r w:rsidR="00881755" w:rsidRPr="00193C4C">
              <w:t xml:space="preserve"> Limited</w:t>
            </w:r>
          </w:p>
        </w:tc>
      </w:tr>
      <w:tr w:rsidR="00DE7FD0" w:rsidRPr="00193C4C" w14:paraId="114930CE" w14:textId="77777777" w:rsidTr="00D71594">
        <w:trPr>
          <w:trHeight w:val="340"/>
        </w:trPr>
        <w:tc>
          <w:tcPr>
            <w:tcW w:w="9087" w:type="dxa"/>
            <w:shd w:val="clear" w:color="auto" w:fill="auto"/>
            <w:noWrap/>
            <w:vAlign w:val="center"/>
            <w:hideMark/>
          </w:tcPr>
          <w:p w14:paraId="2F920EA9" w14:textId="77777777" w:rsidR="00DE7FD0" w:rsidRPr="00193C4C" w:rsidRDefault="00DE7FD0" w:rsidP="00193C4C">
            <w:pPr>
              <w:spacing w:before="100" w:beforeAutospacing="1" w:after="100" w:afterAutospacing="1" w:line="240" w:lineRule="auto"/>
            </w:pPr>
            <w:r w:rsidRPr="00193C4C">
              <w:t>Western Power</w:t>
            </w:r>
          </w:p>
        </w:tc>
      </w:tr>
      <w:tr w:rsidR="00CD6D1C" w:rsidRPr="00193C4C" w14:paraId="784159E3" w14:textId="77777777" w:rsidTr="00D71594">
        <w:trPr>
          <w:trHeight w:val="340"/>
        </w:trPr>
        <w:tc>
          <w:tcPr>
            <w:tcW w:w="9087" w:type="dxa"/>
            <w:shd w:val="clear" w:color="auto" w:fill="F8F8F8"/>
            <w:noWrap/>
            <w:vAlign w:val="center"/>
            <w:hideMark/>
          </w:tcPr>
          <w:p w14:paraId="5D17E1E1" w14:textId="6A923AF2" w:rsidR="00CD6D1C" w:rsidRPr="00193C4C" w:rsidRDefault="00CD6D1C" w:rsidP="00193C4C">
            <w:pPr>
              <w:spacing w:before="100" w:beforeAutospacing="1" w:after="100" w:afterAutospacing="1" w:line="240" w:lineRule="auto"/>
            </w:pPr>
            <w:r w:rsidRPr="00193C4C">
              <w:t>Westpac Banking Corporation</w:t>
            </w:r>
          </w:p>
        </w:tc>
      </w:tr>
      <w:tr w:rsidR="00DE7FD0" w:rsidRPr="00193C4C" w14:paraId="0812F8A5" w14:textId="77777777" w:rsidTr="00D71594">
        <w:trPr>
          <w:trHeight w:val="340"/>
        </w:trPr>
        <w:tc>
          <w:tcPr>
            <w:tcW w:w="9087" w:type="dxa"/>
            <w:shd w:val="clear" w:color="auto" w:fill="auto"/>
            <w:noWrap/>
            <w:vAlign w:val="center"/>
            <w:hideMark/>
          </w:tcPr>
          <w:p w14:paraId="7E2261E8" w14:textId="1EB7F692" w:rsidR="00DE7FD0" w:rsidRPr="00193C4C" w:rsidRDefault="00DE7FD0" w:rsidP="00193C4C">
            <w:pPr>
              <w:spacing w:before="100" w:beforeAutospacing="1" w:after="100" w:afterAutospacing="1" w:line="240" w:lineRule="auto"/>
            </w:pPr>
            <w:r w:rsidRPr="00193C4C">
              <w:t>Woodside</w:t>
            </w:r>
            <w:r w:rsidR="00512638" w:rsidRPr="00193C4C">
              <w:t xml:space="preserve"> Pty Ltd</w:t>
            </w:r>
          </w:p>
        </w:tc>
      </w:tr>
      <w:tr w:rsidR="00DE7FD0" w:rsidRPr="00193C4C" w14:paraId="67EB5401" w14:textId="77777777" w:rsidTr="00D71594">
        <w:trPr>
          <w:trHeight w:val="340"/>
        </w:trPr>
        <w:tc>
          <w:tcPr>
            <w:tcW w:w="9087" w:type="dxa"/>
            <w:shd w:val="clear" w:color="auto" w:fill="F8F8F8"/>
            <w:noWrap/>
            <w:vAlign w:val="center"/>
            <w:hideMark/>
          </w:tcPr>
          <w:p w14:paraId="5AD9930E" w14:textId="77777777" w:rsidR="00DE7FD0" w:rsidRPr="00193C4C" w:rsidRDefault="00DE7FD0" w:rsidP="00193C4C">
            <w:pPr>
              <w:spacing w:before="100" w:beforeAutospacing="1" w:after="100" w:afterAutospacing="1" w:line="240" w:lineRule="auto"/>
            </w:pPr>
            <w:r w:rsidRPr="00193C4C">
              <w:t>Woolworths Limited</w:t>
            </w:r>
          </w:p>
        </w:tc>
      </w:tr>
    </w:tbl>
    <w:p w14:paraId="175B6D7E" w14:textId="3C761119" w:rsidR="00CD2CE6" w:rsidRPr="0096746E" w:rsidRDefault="00CD2CE6" w:rsidP="0096746E"/>
    <w:sectPr w:rsidR="00CD2CE6" w:rsidRPr="0096746E" w:rsidSect="00FE6924">
      <w:type w:val="oddPage"/>
      <w:pgSz w:w="11906" w:h="16838"/>
      <w:pgMar w:top="1701" w:right="1440" w:bottom="1440" w:left="1440" w:header="73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8434BC" w14:textId="77777777" w:rsidR="00485AED" w:rsidRDefault="00485AED" w:rsidP="00904A15">
      <w:r>
        <w:separator/>
      </w:r>
    </w:p>
  </w:endnote>
  <w:endnote w:type="continuationSeparator" w:id="0">
    <w:p w14:paraId="5661179D" w14:textId="77777777" w:rsidR="00485AED" w:rsidRDefault="00485AED" w:rsidP="00904A15">
      <w:r>
        <w:continuationSeparator/>
      </w:r>
    </w:p>
  </w:endnote>
  <w:endnote w:type="continuationNotice" w:id="1">
    <w:p w14:paraId="0B2E0043" w14:textId="77777777" w:rsidR="00485AED" w:rsidRDefault="00485AED" w:rsidP="00904A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wiss 721 BT">
    <w:altName w:val="Swiss 721 BT"/>
    <w:panose1 w:val="00000000000000000000"/>
    <w:charset w:val="00"/>
    <w:family w:val="swiss"/>
    <w:notTrueType/>
    <w:pitch w:val="default"/>
    <w:sig w:usb0="00000003" w:usb1="00000000" w:usb2="00000000" w:usb3="00000000" w:csb0="00000001" w:csb1="00000000"/>
  </w:font>
  <w:font w:name="Microsoft New Tai Lue">
    <w:panose1 w:val="020B0502040204020203"/>
    <w:charset w:val="00"/>
    <w:family w:val="swiss"/>
    <w:pitch w:val="variable"/>
    <w:sig w:usb0="00000003" w:usb1="00000000" w:usb2="80000000" w:usb3="00000000" w:csb0="00000001"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D9712" w14:textId="26F7410B" w:rsidR="00485AED" w:rsidRPr="00A60600" w:rsidRDefault="003636A9" w:rsidP="00904A15">
    <w:pPr>
      <w:pStyle w:val="FooterEven"/>
    </w:pPr>
    <w:sdt>
      <w:sdtPr>
        <w:id w:val="-160319695"/>
        <w:docPartObj>
          <w:docPartGallery w:val="Page Numbers (Bottom of Page)"/>
          <w:docPartUnique/>
        </w:docPartObj>
      </w:sdtPr>
      <w:sdtEndPr>
        <w:rPr>
          <w:noProof/>
        </w:rPr>
      </w:sdtEndPr>
      <w:sdtContent>
        <w:r w:rsidR="00485AED">
          <w:fldChar w:fldCharType="begin"/>
        </w:r>
        <w:r w:rsidR="00485AED">
          <w:instrText xml:space="preserve"> PAGE   \* MERGEFORMAT </w:instrText>
        </w:r>
        <w:r w:rsidR="00485AED">
          <w:fldChar w:fldCharType="separate"/>
        </w:r>
        <w:r>
          <w:rPr>
            <w:noProof/>
          </w:rPr>
          <w:t>40</w:t>
        </w:r>
        <w:r w:rsidR="00485AED">
          <w:rPr>
            <w:noProof/>
          </w:rPr>
          <w:fldChar w:fldCharType="end"/>
        </w:r>
        <w:r w:rsidR="00485AED">
          <w:rPr>
            <w:noProof/>
          </w:rPr>
          <w:t xml:space="preserve"> </w:t>
        </w:r>
        <w:r w:rsidR="00485AED">
          <w:t xml:space="preserve"> </w:t>
        </w:r>
        <w:r w:rsidR="00485AED" w:rsidRPr="002D4A85">
          <w:rPr>
            <w:color w:val="4FA4DA"/>
          </w:rPr>
          <w:t>▐</w:t>
        </w:r>
        <w:r w:rsidR="00485AED">
          <w:rPr>
            <w:noProof/>
          </w:rPr>
          <w:t xml:space="preserve"> </w:t>
        </w:r>
      </w:sdtContent>
    </w:sdt>
    <w:r w:rsidR="00485AED">
      <w:fldChar w:fldCharType="begin"/>
    </w:r>
    <w:r w:rsidR="00485AED">
      <w:instrText xml:space="preserve"> TITLE   \* MERGEFORMAT </w:instrText>
    </w:r>
    <w:r w:rsidR="00485AED">
      <w:fldChar w:fldCharType="separate"/>
    </w:r>
    <w:r w:rsidR="00485AED">
      <w:t>Intergovernmental Review of Business Investment — September 2017</w:t>
    </w:r>
    <w:r w:rsidR="00485AED">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207365"/>
      <w:docPartObj>
        <w:docPartGallery w:val="Page Numbers (Bottom of Page)"/>
        <w:docPartUnique/>
      </w:docPartObj>
    </w:sdtPr>
    <w:sdtEndPr>
      <w:rPr>
        <w:noProof/>
      </w:rPr>
    </w:sdtEndPr>
    <w:sdtContent>
      <w:p w14:paraId="34C52EA2" w14:textId="167EB8D7" w:rsidR="00485AED" w:rsidRPr="00A60600" w:rsidRDefault="00D66CAC" w:rsidP="00FE6924">
        <w:pPr>
          <w:pStyle w:val="FooterOdd"/>
        </w:pPr>
        <w:fldSimple w:instr=" TITLE   \* MERGEFORMAT ">
          <w:r w:rsidR="00485AED">
            <w:t>Intergovernmental Review of Business Investment — September 2017</w:t>
          </w:r>
        </w:fldSimple>
        <w:r w:rsidR="00485AED">
          <w:t xml:space="preserve"> </w:t>
        </w:r>
        <w:r w:rsidR="00485AED" w:rsidRPr="002D4A85">
          <w:rPr>
            <w:color w:val="4FA4DA"/>
          </w:rPr>
          <w:t xml:space="preserve"> ▐</w:t>
        </w:r>
        <w:r w:rsidR="00485AED">
          <w:fldChar w:fldCharType="begin"/>
        </w:r>
        <w:r w:rsidR="00485AED">
          <w:instrText xml:space="preserve"> PAGE   \* MERGEFORMAT </w:instrText>
        </w:r>
        <w:r w:rsidR="00485AED">
          <w:fldChar w:fldCharType="separate"/>
        </w:r>
        <w:r w:rsidR="003636A9">
          <w:rPr>
            <w:noProof/>
          </w:rPr>
          <w:t>39</w:t>
        </w:r>
        <w:r w:rsidR="00485AED">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54561"/>
      <w:docPartObj>
        <w:docPartGallery w:val="Page Numbers (Bottom of Page)"/>
        <w:docPartUnique/>
      </w:docPartObj>
    </w:sdtPr>
    <w:sdtEndPr>
      <w:rPr>
        <w:noProof/>
      </w:rPr>
    </w:sdtEndPr>
    <w:sdtContent>
      <w:p w14:paraId="7CC0F0F6" w14:textId="77777777" w:rsidR="00485AED" w:rsidRDefault="00485AED" w:rsidP="00904A15">
        <w:pPr>
          <w:pStyle w:val="FooterOdd"/>
        </w:pPr>
        <w:r>
          <w:fldChar w:fldCharType="begin"/>
        </w:r>
        <w:r>
          <w:instrText xml:space="preserve"> PAGE   \* MERGEFORMAT </w:instrText>
        </w:r>
        <w:r>
          <w:fldChar w:fldCharType="separate"/>
        </w:r>
        <w:r w:rsidR="003636A9">
          <w:rPr>
            <w:noProof/>
          </w:rPr>
          <w:t>iii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169106"/>
      <w:docPartObj>
        <w:docPartGallery w:val="Page Numbers (Bottom of Page)"/>
        <w:docPartUnique/>
      </w:docPartObj>
    </w:sdtPr>
    <w:sdtEndPr>
      <w:rPr>
        <w:noProof/>
      </w:rPr>
    </w:sdtEndPr>
    <w:sdtContent>
      <w:p w14:paraId="0D64E887" w14:textId="5E97329F" w:rsidR="00485AED" w:rsidRPr="00A60600" w:rsidRDefault="00D66CAC" w:rsidP="00FE6924">
        <w:pPr>
          <w:pStyle w:val="FooterOdd"/>
        </w:pPr>
        <w:fldSimple w:instr=" TITLE   \* MERGEFORMAT ">
          <w:r w:rsidR="00485AED">
            <w:t>Intergovernmental Review of Business Investment — September 2017</w:t>
          </w:r>
        </w:fldSimple>
        <w:r w:rsidR="00485AED">
          <w:fldChar w:fldCharType="begin"/>
        </w:r>
        <w:r w:rsidR="00485AED">
          <w:instrText xml:space="preserve">  </w:instrText>
        </w:r>
        <w:r w:rsidR="00485AED">
          <w:fldChar w:fldCharType="end"/>
        </w:r>
        <w:r w:rsidR="00485AED">
          <w:t xml:space="preserve"> </w:t>
        </w:r>
        <w:r w:rsidR="00485AED" w:rsidRPr="002D4A85">
          <w:rPr>
            <w:color w:val="4FA4DA"/>
          </w:rPr>
          <w:t xml:space="preserve"> ▐</w:t>
        </w:r>
        <w:r w:rsidR="00485AED">
          <w:fldChar w:fldCharType="begin"/>
        </w:r>
        <w:r w:rsidR="00485AED">
          <w:instrText xml:space="preserve"> PAGE   \* MERGEFORMAT </w:instrText>
        </w:r>
        <w:r w:rsidR="00485AED">
          <w:fldChar w:fldCharType="separate"/>
        </w:r>
        <w:r w:rsidR="003636A9">
          <w:rPr>
            <w:noProof/>
          </w:rPr>
          <w:t>23</w:t>
        </w:r>
        <w:r w:rsidR="00485AED">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D4141E" w14:textId="77777777" w:rsidR="00485AED" w:rsidRDefault="00485AED" w:rsidP="00504091">
      <w:pPr>
        <w:spacing w:after="120"/>
      </w:pPr>
      <w:r>
        <w:separator/>
      </w:r>
    </w:p>
  </w:footnote>
  <w:footnote w:type="continuationSeparator" w:id="0">
    <w:p w14:paraId="56D56AE2" w14:textId="77777777" w:rsidR="00485AED" w:rsidRDefault="00485AED" w:rsidP="00904A15">
      <w:r>
        <w:continuationSeparator/>
      </w:r>
    </w:p>
  </w:footnote>
  <w:footnote w:type="continuationNotice" w:id="1">
    <w:p w14:paraId="3EE3302D" w14:textId="77777777" w:rsidR="00485AED" w:rsidRDefault="00485AED" w:rsidP="00904A15"/>
  </w:footnote>
  <w:footnote w:id="2">
    <w:p w14:paraId="5D4E2B01" w14:textId="47289841" w:rsidR="00485AED" w:rsidRPr="00077A59" w:rsidRDefault="00485AED" w:rsidP="00077A59">
      <w:pPr>
        <w:pStyle w:val="FootnoteText"/>
      </w:pPr>
      <w:r w:rsidRPr="00077A59">
        <w:rPr>
          <w:rStyle w:val="FootnoteReference"/>
          <w:vertAlign w:val="baseline"/>
        </w:rPr>
        <w:footnoteRef/>
      </w:r>
      <w:r w:rsidRPr="00077A59">
        <w:t xml:space="preserve"> </w:t>
      </w:r>
      <w:r w:rsidRPr="00077A59">
        <w:tab/>
        <w:t xml:space="preserve">Businesses </w:t>
      </w:r>
      <w:r>
        <w:t xml:space="preserve">generally </w:t>
      </w:r>
      <w:r w:rsidRPr="00077A59">
        <w:t xml:space="preserve">referred to </w:t>
      </w:r>
      <w:r>
        <w:t xml:space="preserve">business </w:t>
      </w:r>
      <w:r w:rsidRPr="00077A59">
        <w:t xml:space="preserve">investment in </w:t>
      </w:r>
      <w:r>
        <w:t xml:space="preserve">broad </w:t>
      </w:r>
      <w:r w:rsidRPr="00077A59">
        <w:t>terms that included spending beyond what is captured in the official Australian Bureau of Statistics (ABS) data. For example, the ABS definition of private business investment does not include spending on human capital items such as education and training. It was clear from discussions with many small businesses that investment in their people was their primary investment – particularly for sole traders.</w:t>
      </w:r>
    </w:p>
  </w:footnote>
  <w:footnote w:id="3">
    <w:p w14:paraId="66C82D0C" w14:textId="1221ED9A" w:rsidR="00485AED" w:rsidRPr="00077A59" w:rsidRDefault="00485AED" w:rsidP="00077A59">
      <w:pPr>
        <w:pStyle w:val="FootnoteText"/>
      </w:pPr>
      <w:r w:rsidRPr="00077A59">
        <w:rPr>
          <w:rStyle w:val="FootnoteReference"/>
          <w:vertAlign w:val="baseline"/>
        </w:rPr>
        <w:footnoteRef/>
      </w:r>
      <w:r w:rsidRPr="00077A59">
        <w:t xml:space="preserve"> </w:t>
      </w:r>
      <w:r w:rsidRPr="00077A59">
        <w:tab/>
        <w:t>(See Campbell and Withers (2017) for a detailed discussion of the recent</w:t>
      </w:r>
      <w:r>
        <w:t xml:space="preserve"> drivers of productivity growth,</w:t>
      </w:r>
      <w:r>
        <w:br/>
      </w:r>
      <w:hyperlink r:id="rId1" w:history="1">
        <w:r w:rsidRPr="004416F1">
          <w:rPr>
            <w:rStyle w:val="Hyperlink"/>
          </w:rPr>
          <w:t>https://static.treasury.gov.au/uploads/sites/1/2017/08/p2017-t213722-Roundup_Productivity_trends_and_</w:t>
        </w:r>
        <w:r w:rsidRPr="004416F1">
          <w:rPr>
            <w:rStyle w:val="Hyperlink"/>
          </w:rPr>
          <w:br/>
          <w:t>structural_change.pdf</w:t>
        </w:r>
      </w:hyperlink>
      <w:r w:rsidRPr="00077A59">
        <w:t>)</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D61AB" w14:textId="77777777" w:rsidR="00485AED" w:rsidRDefault="003636A9" w:rsidP="00904A15">
    <w:pPr>
      <w:pStyle w:val="Header"/>
    </w:pPr>
    <w:r>
      <w:rPr>
        <w:noProof/>
      </w:rPr>
      <w:pict w14:anchorId="47120F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591142" o:spid="_x0000_s2050" type="#_x0000_t136" style="position:absolute;left:0;text-align:left;margin-left:0;margin-top:0;width:397.65pt;height:238.6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4BE12" w14:textId="0CA1C41B" w:rsidR="00485AED" w:rsidRDefault="00485AED" w:rsidP="00904A15">
    <w:pPr>
      <w:pStyle w:val="Header"/>
    </w:pPr>
    <w:r>
      <w:rPr>
        <w:noProof/>
        <w:lang w:eastAsia="en-AU"/>
      </w:rPr>
      <mc:AlternateContent>
        <mc:Choice Requires="wps">
          <w:drawing>
            <wp:anchor distT="0" distB="0" distL="114300" distR="114300" simplePos="0" relativeHeight="251658247" behindDoc="1" locked="0" layoutInCell="1" allowOverlap="1" wp14:anchorId="34ECE8F2" wp14:editId="49713157">
              <wp:simplePos x="0" y="0"/>
              <wp:positionH relativeFrom="column">
                <wp:posOffset>-711835</wp:posOffset>
              </wp:positionH>
              <wp:positionV relativeFrom="paragraph">
                <wp:posOffset>-340360</wp:posOffset>
              </wp:positionV>
              <wp:extent cx="7200000" cy="10472400"/>
              <wp:effectExtent l="0" t="0" r="1270" b="5715"/>
              <wp:wrapNone/>
              <wp:docPr id="11" name="Rectangle 11"/>
              <wp:cNvGraphicFramePr/>
              <a:graphic xmlns:a="http://schemas.openxmlformats.org/drawingml/2006/main">
                <a:graphicData uri="http://schemas.microsoft.com/office/word/2010/wordprocessingShape">
                  <wps:wsp>
                    <wps:cNvSpPr/>
                    <wps:spPr>
                      <a:xfrm>
                        <a:off x="0" y="0"/>
                        <a:ext cx="7200000" cy="10472400"/>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56.05pt;margin-top:-26.8pt;width:566.95pt;height:824.6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" fillcolor="#f8f8f8" stroked="f" strokeweight="2p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79F29" w14:textId="330A6680" w:rsidR="00485AED" w:rsidRDefault="00485AED" w:rsidP="00904A1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02F7F" w14:textId="32DAB602" w:rsidR="00485AED" w:rsidRDefault="00485AED" w:rsidP="00904A1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05153" w14:textId="59A8C31F" w:rsidR="00485AED" w:rsidRPr="00624CEB" w:rsidRDefault="00485AED" w:rsidP="00904A15">
    <w:pPr>
      <w:pStyle w:val="HeaderEven"/>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4AE7" w14:textId="77777777" w:rsidR="00485AED" w:rsidRDefault="003636A9" w:rsidP="00904A15">
    <w:pPr>
      <w:pStyle w:val="Header"/>
    </w:pPr>
    <w:r>
      <w:rPr>
        <w:noProof/>
      </w:rPr>
      <w:pict w14:anchorId="1AF156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591140" o:spid="_x0000_s2051" type="#_x0000_t136" style="position:absolute;left:0;text-align:left;margin-left:0;margin-top:0;width:397.65pt;height:238.6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2C691" w14:textId="77777777" w:rsidR="00485AED" w:rsidRPr="00705925" w:rsidRDefault="003636A9" w:rsidP="00904A15">
    <w:pPr>
      <w:pStyle w:val="HeaderEven"/>
    </w:pPr>
    <w:r>
      <w:rPr>
        <w:noProof/>
      </w:rPr>
      <w:pict w14:anchorId="378A1B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591144" o:spid="_x0000_s2052" type="#_x0000_t136" style="position:absolute;margin-left:0;margin-top:0;width:397.65pt;height:238.6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6075B" w14:textId="77777777" w:rsidR="00485AED" w:rsidRPr="00705925" w:rsidRDefault="003636A9" w:rsidP="00904A15">
    <w:pPr>
      <w:pStyle w:val="Header"/>
    </w:pPr>
    <w:r>
      <w:rPr>
        <w:noProof/>
      </w:rPr>
      <w:pict w14:anchorId="48462E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591145" o:spid="_x0000_s2053" type="#_x0000_t136" style="position:absolute;left:0;text-align:left;margin-left:0;margin-top:0;width:397.65pt;height:238.6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B6CFE" w14:textId="5B4AA4FF" w:rsidR="00485AED" w:rsidRPr="00705925" w:rsidRDefault="00485AED" w:rsidP="00904A15">
    <w:pPr>
      <w:pStyle w:val="HeaderOd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65C1C" w14:textId="36835C0A" w:rsidR="00485AED" w:rsidRDefault="00485AED" w:rsidP="00904A1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BE604" w14:textId="14D55749" w:rsidR="00485AED" w:rsidRDefault="00485AED" w:rsidP="00904A1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DDADA" w14:textId="6DACCEC9" w:rsidR="00485AED" w:rsidRPr="00624CEB" w:rsidRDefault="00485AED" w:rsidP="00904A15">
    <w:pPr>
      <w:pStyle w:val="HeaderEven"/>
    </w:pPr>
    <w:r w:rsidRPr="00345734">
      <w:rPr>
        <w:noProof/>
        <w:lang w:eastAsia="en-AU"/>
      </w:rPr>
      <mc:AlternateContent>
        <mc:Choice Requires="wps">
          <w:drawing>
            <wp:anchor distT="0" distB="0" distL="114300" distR="114300" simplePos="0" relativeHeight="251658246" behindDoc="1" locked="0" layoutInCell="1" allowOverlap="1" wp14:anchorId="1985EA0F" wp14:editId="4571DA63">
              <wp:simplePos x="0" y="0"/>
              <wp:positionH relativeFrom="page">
                <wp:align>center</wp:align>
              </wp:positionH>
              <wp:positionV relativeFrom="page">
                <wp:align>center</wp:align>
              </wp:positionV>
              <wp:extent cx="7199640" cy="10472400"/>
              <wp:effectExtent l="0" t="0" r="1270" b="5715"/>
              <wp:wrapNone/>
              <wp:docPr id="2" name="Rectangle 2"/>
              <wp:cNvGraphicFramePr/>
              <a:graphic xmlns:a="http://schemas.openxmlformats.org/drawingml/2006/main">
                <a:graphicData uri="http://schemas.microsoft.com/office/word/2010/wordprocessingShape">
                  <wps:wsp>
                    <wps:cNvSpPr/>
                    <wps:spPr>
                      <a:xfrm>
                        <a:off x="0" y="0"/>
                        <a:ext cx="7199640" cy="10472400"/>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0;margin-top:0;width:566.9pt;height:824.6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" fillcolor="#f8f8f8" stroked="f" strokeweight="2pt">
              <w10:wrap anchorx="page" anchory="page"/>
            </v:rect>
          </w:pict>
        </mc:Fallback>
      </mc:AlternateContent>
    </w:r>
    <w:r w:rsidR="003636A9">
      <w:rPr>
        <w:noProof/>
      </w:rPr>
      <w:pict w14:anchorId="32880F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591152" o:spid="_x0000_s2063" type="#_x0000_t136" style="position:absolute;margin-left:0;margin-top:0;width:397.65pt;height:238.6pt;rotation:315;z-index:-251658235;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F7797" w14:textId="7B2D8A5A" w:rsidR="00485AED" w:rsidRDefault="00485AED" w:rsidP="00904A15">
    <w:pPr>
      <w:pStyle w:val="Header"/>
    </w:pPr>
    <w:r>
      <w:rPr>
        <w:noProof/>
        <w:lang w:eastAsia="en-AU"/>
      </w:rPr>
      <mc:AlternateContent>
        <mc:Choice Requires="wps">
          <w:drawing>
            <wp:anchor distT="0" distB="0" distL="114300" distR="114300" simplePos="0" relativeHeight="251658240" behindDoc="1" locked="0" layoutInCell="1" allowOverlap="1" wp14:anchorId="1D21A8B7" wp14:editId="23A68D76">
              <wp:simplePos x="0" y="0"/>
              <wp:positionH relativeFrom="column">
                <wp:posOffset>-712381</wp:posOffset>
              </wp:positionH>
              <wp:positionV relativeFrom="paragraph">
                <wp:posOffset>-372302</wp:posOffset>
              </wp:positionV>
              <wp:extent cx="7200000" cy="10473070"/>
              <wp:effectExtent l="0" t="0" r="1270" b="4445"/>
              <wp:wrapNone/>
              <wp:docPr id="9" name="Rectangle 9"/>
              <wp:cNvGraphicFramePr/>
              <a:graphic xmlns:a="http://schemas.openxmlformats.org/drawingml/2006/main">
                <a:graphicData uri="http://schemas.microsoft.com/office/word/2010/wordprocessingShape">
                  <wps:wsp>
                    <wps:cNvSpPr/>
                    <wps:spPr>
                      <a:xfrm>
                        <a:off x="0" y="0"/>
                        <a:ext cx="7200000" cy="10473070"/>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56.1pt;margin-top:-29.3pt;width:566.95pt;height:82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" fillcolor="#f8f8f8"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8747AE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9C8B9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D0643D94"/>
    <w:lvl w:ilvl="0">
      <w:start w:val="1"/>
      <w:numFmt w:val="decimal"/>
      <w:pStyle w:val="ListNumber3"/>
      <w:lvlText w:val="%1."/>
      <w:lvlJc w:val="left"/>
      <w:pPr>
        <w:tabs>
          <w:tab w:val="num" w:pos="926"/>
        </w:tabs>
        <w:ind w:left="926" w:hanging="360"/>
      </w:pPr>
    </w:lvl>
  </w:abstractNum>
  <w:abstractNum w:abstractNumId="3">
    <w:nsid w:val="FFFFFF7F"/>
    <w:multiLevelType w:val="singleLevel"/>
    <w:tmpl w:val="1DCA14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BAA83612"/>
    <w:lvl w:ilvl="0">
      <w:start w:val="1"/>
      <w:numFmt w:val="bullet"/>
      <w:pStyle w:val="Style2"/>
      <w:lvlText w:val=""/>
      <w:lvlJc w:val="left"/>
      <w:pPr>
        <w:tabs>
          <w:tab w:val="num" w:pos="1492"/>
        </w:tabs>
        <w:ind w:left="1492" w:hanging="360"/>
      </w:pPr>
      <w:rPr>
        <w:rFonts w:ascii="Symbol" w:hAnsi="Symbol" w:hint="default"/>
      </w:rPr>
    </w:lvl>
  </w:abstractNum>
  <w:abstractNum w:abstractNumId="5">
    <w:nsid w:val="FFFFFF81"/>
    <w:multiLevelType w:val="singleLevel"/>
    <w:tmpl w:val="4D2AA07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7B820E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6D42D0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A6CCBE"/>
    <w:lvl w:ilvl="0">
      <w:start w:val="1"/>
      <w:numFmt w:val="decimal"/>
      <w:pStyle w:val="ListNumber"/>
      <w:lvlText w:val="%1."/>
      <w:lvlJc w:val="left"/>
      <w:pPr>
        <w:tabs>
          <w:tab w:val="num" w:pos="360"/>
        </w:tabs>
        <w:ind w:left="360" w:hanging="360"/>
      </w:pPr>
    </w:lvl>
  </w:abstractNum>
  <w:abstractNum w:abstractNumId="9">
    <w:nsid w:val="FFFFFF89"/>
    <w:multiLevelType w:val="singleLevel"/>
    <w:tmpl w:val="7018C98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21129"/>
    <w:multiLevelType w:val="hybridMultilevel"/>
    <w:tmpl w:val="2E3647A6"/>
    <w:lvl w:ilvl="0" w:tplc="94F4FF14">
      <w:start w:val="1"/>
      <w:numFmt w:val="lowerLetter"/>
      <w:pStyle w:val="AlphaParagraph"/>
      <w:lvlText w:val="(%1)"/>
      <w:lvlJc w:val="left"/>
      <w:pPr>
        <w:tabs>
          <w:tab w:val="num" w:pos="425"/>
        </w:tabs>
        <w:ind w:left="425" w:hanging="42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4A7181E"/>
    <w:multiLevelType w:val="hybridMultilevel"/>
    <w:tmpl w:val="A8DEE354"/>
    <w:lvl w:ilvl="0" w:tplc="C0B20FB4">
      <w:start w:val="1"/>
      <w:numFmt w:val="lowerRoman"/>
      <w:pStyle w:val="RomanParagraph"/>
      <w:lvlText w:val="%1."/>
      <w:lvlJc w:val="left"/>
      <w:pPr>
        <w:ind w:left="1435" w:hanging="360"/>
      </w:pPr>
      <w:rPr>
        <w:rFonts w:hint="default"/>
      </w:rPr>
    </w:lvl>
    <w:lvl w:ilvl="1" w:tplc="0C090019" w:tentative="1">
      <w:start w:val="1"/>
      <w:numFmt w:val="lowerLetter"/>
      <w:lvlText w:val="%2."/>
      <w:lvlJc w:val="left"/>
      <w:pPr>
        <w:ind w:left="2155" w:hanging="360"/>
      </w:pPr>
    </w:lvl>
    <w:lvl w:ilvl="2" w:tplc="0C09001B" w:tentative="1">
      <w:start w:val="1"/>
      <w:numFmt w:val="lowerRoman"/>
      <w:lvlText w:val="%3."/>
      <w:lvlJc w:val="right"/>
      <w:pPr>
        <w:ind w:left="2875" w:hanging="180"/>
      </w:pPr>
    </w:lvl>
    <w:lvl w:ilvl="3" w:tplc="0C09000F" w:tentative="1">
      <w:start w:val="1"/>
      <w:numFmt w:val="decimal"/>
      <w:lvlText w:val="%4."/>
      <w:lvlJc w:val="left"/>
      <w:pPr>
        <w:ind w:left="3595" w:hanging="360"/>
      </w:pPr>
    </w:lvl>
    <w:lvl w:ilvl="4" w:tplc="0C090019" w:tentative="1">
      <w:start w:val="1"/>
      <w:numFmt w:val="lowerLetter"/>
      <w:lvlText w:val="%5."/>
      <w:lvlJc w:val="left"/>
      <w:pPr>
        <w:ind w:left="4315" w:hanging="360"/>
      </w:pPr>
    </w:lvl>
    <w:lvl w:ilvl="5" w:tplc="0C09001B" w:tentative="1">
      <w:start w:val="1"/>
      <w:numFmt w:val="lowerRoman"/>
      <w:lvlText w:val="%6."/>
      <w:lvlJc w:val="right"/>
      <w:pPr>
        <w:ind w:left="5035" w:hanging="180"/>
      </w:pPr>
    </w:lvl>
    <w:lvl w:ilvl="6" w:tplc="0C09000F" w:tentative="1">
      <w:start w:val="1"/>
      <w:numFmt w:val="decimal"/>
      <w:lvlText w:val="%7."/>
      <w:lvlJc w:val="left"/>
      <w:pPr>
        <w:ind w:left="5755" w:hanging="360"/>
      </w:pPr>
    </w:lvl>
    <w:lvl w:ilvl="7" w:tplc="0C090019" w:tentative="1">
      <w:start w:val="1"/>
      <w:numFmt w:val="lowerLetter"/>
      <w:lvlText w:val="%8."/>
      <w:lvlJc w:val="left"/>
      <w:pPr>
        <w:ind w:left="6475" w:hanging="360"/>
      </w:pPr>
    </w:lvl>
    <w:lvl w:ilvl="8" w:tplc="0C09001B" w:tentative="1">
      <w:start w:val="1"/>
      <w:numFmt w:val="lowerRoman"/>
      <w:lvlText w:val="%9."/>
      <w:lvlJc w:val="right"/>
      <w:pPr>
        <w:ind w:left="7195" w:hanging="180"/>
      </w:pPr>
    </w:lvl>
  </w:abstractNum>
  <w:abstractNum w:abstractNumId="12">
    <w:nsid w:val="13E57068"/>
    <w:multiLevelType w:val="hybridMultilevel"/>
    <w:tmpl w:val="4FA6ECD6"/>
    <w:lvl w:ilvl="0" w:tplc="7F7C49A6">
      <w:start w:val="1"/>
      <w:numFmt w:val="bullet"/>
      <w:pStyle w:val="Style9"/>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16CC4E5D"/>
    <w:multiLevelType w:val="multilevel"/>
    <w:tmpl w:val="8BC2042C"/>
    <w:numStyleLink w:val="OneLevelList"/>
  </w:abstractNum>
  <w:abstractNum w:abstractNumId="14">
    <w:nsid w:val="1795559D"/>
    <w:multiLevelType w:val="multilevel"/>
    <w:tmpl w:val="49B642D4"/>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b/>
        <w:i w:val="0"/>
        <w:color w:val="002060"/>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9922889"/>
    <w:multiLevelType w:val="multilevel"/>
    <w:tmpl w:val="7736F6B4"/>
    <w:lvl w:ilvl="0">
      <w:start w:val="1"/>
      <w:numFmt w:val="bullet"/>
      <w:lvlText w:val=""/>
      <w:lvlJc w:val="left"/>
      <w:pPr>
        <w:tabs>
          <w:tab w:val="num" w:pos="520"/>
        </w:tabs>
        <w:ind w:left="520" w:hanging="520"/>
      </w:pPr>
      <w:rPr>
        <w:rFonts w:ascii="Symbol" w:hAnsi="Symbol" w:hint="default"/>
        <w:b/>
        <w:i w:val="0"/>
        <w:color w:val="D6E1E1" w:themeColor="background1"/>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D0A4DA5"/>
    <w:multiLevelType w:val="hybridMultilevel"/>
    <w:tmpl w:val="F1C0124E"/>
    <w:lvl w:ilvl="0" w:tplc="5F70D516">
      <w:start w:val="1"/>
      <w:numFmt w:val="decimal"/>
      <w:pStyle w:val="RecomendationsNumbered1"/>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D6B3C7B"/>
    <w:multiLevelType w:val="multilevel"/>
    <w:tmpl w:val="03AE820A"/>
    <w:lvl w:ilvl="0">
      <w:start w:val="1"/>
      <w:numFmt w:val="decimal"/>
      <w:pStyle w:val="OutlineNumbered1-Bold"/>
      <w:lvlText w:val="%1."/>
      <w:lvlJc w:val="left"/>
      <w:pPr>
        <w:tabs>
          <w:tab w:val="num" w:pos="425"/>
        </w:tabs>
        <w:ind w:left="425" w:hanging="425"/>
      </w:pPr>
      <w:rPr>
        <w:rFonts w:hint="default"/>
        <w:b/>
        <w:i w:val="0"/>
        <w:color w:val="auto"/>
      </w:rPr>
    </w:lvl>
    <w:lvl w:ilvl="1">
      <w:start w:val="1"/>
      <w:numFmt w:val="decimal"/>
      <w:pStyle w:val="OutlineNumbered2"/>
      <w:lvlText w:val="%1.%2."/>
      <w:lvlJc w:val="left"/>
      <w:pPr>
        <w:tabs>
          <w:tab w:val="num" w:pos="1560"/>
        </w:tabs>
        <w:ind w:left="1560" w:hanging="520"/>
      </w:pPr>
      <w:rPr>
        <w:rFonts w:hint="default"/>
      </w:rPr>
    </w:lvl>
    <w:lvl w:ilvl="2">
      <w:start w:val="1"/>
      <w:numFmt w:val="decimal"/>
      <w:pStyle w:val="OutlineNumbered3"/>
      <w:lvlText w:val="%1.%2.%3."/>
      <w:lvlJc w:val="left"/>
      <w:pPr>
        <w:tabs>
          <w:tab w:val="num" w:pos="2080"/>
        </w:tabs>
        <w:ind w:left="2080" w:hanging="520"/>
      </w:pPr>
      <w:rPr>
        <w:rFonts w:hint="default"/>
      </w:rPr>
    </w:lvl>
    <w:lvl w:ilvl="3">
      <w:start w:val="1"/>
      <w:numFmt w:val="decimal"/>
      <w:lvlText w:val="(%4)"/>
      <w:lvlJc w:val="left"/>
      <w:pPr>
        <w:ind w:left="2480" w:hanging="360"/>
      </w:pPr>
      <w:rPr>
        <w:rFonts w:hint="default"/>
      </w:rPr>
    </w:lvl>
    <w:lvl w:ilvl="4">
      <w:start w:val="1"/>
      <w:numFmt w:val="lowerLetter"/>
      <w:lvlText w:val="(%5)"/>
      <w:lvlJc w:val="left"/>
      <w:pPr>
        <w:ind w:left="2840" w:hanging="360"/>
      </w:pPr>
      <w:rPr>
        <w:rFonts w:hint="default"/>
      </w:rPr>
    </w:lvl>
    <w:lvl w:ilvl="5">
      <w:start w:val="1"/>
      <w:numFmt w:val="lowerRoman"/>
      <w:lvlText w:val="(%6)"/>
      <w:lvlJc w:val="left"/>
      <w:pPr>
        <w:ind w:left="3200" w:hanging="360"/>
      </w:pPr>
      <w:rPr>
        <w:rFonts w:hint="default"/>
      </w:rPr>
    </w:lvl>
    <w:lvl w:ilvl="6">
      <w:start w:val="1"/>
      <w:numFmt w:val="decimal"/>
      <w:lvlText w:val="%7."/>
      <w:lvlJc w:val="left"/>
      <w:pPr>
        <w:ind w:left="3560" w:hanging="360"/>
      </w:pPr>
      <w:rPr>
        <w:rFonts w:hint="default"/>
      </w:rPr>
    </w:lvl>
    <w:lvl w:ilvl="7">
      <w:start w:val="1"/>
      <w:numFmt w:val="lowerLetter"/>
      <w:lvlText w:val="%8."/>
      <w:lvlJc w:val="left"/>
      <w:pPr>
        <w:ind w:left="3920" w:hanging="360"/>
      </w:pPr>
      <w:rPr>
        <w:rFonts w:hint="default"/>
      </w:rPr>
    </w:lvl>
    <w:lvl w:ilvl="8">
      <w:start w:val="1"/>
      <w:numFmt w:val="lowerRoman"/>
      <w:lvlText w:val="%9."/>
      <w:lvlJc w:val="left"/>
      <w:pPr>
        <w:ind w:left="4280" w:hanging="360"/>
      </w:pPr>
      <w:rPr>
        <w:rFonts w:hint="default"/>
      </w:rPr>
    </w:lvl>
  </w:abstractNum>
  <w:abstractNum w:abstractNumId="18">
    <w:nsid w:val="25167C5F"/>
    <w:multiLevelType w:val="hybridMultilevel"/>
    <w:tmpl w:val="2FB836B2"/>
    <w:lvl w:ilvl="0" w:tplc="CDEC4D52">
      <w:start w:val="1"/>
      <w:numFmt w:val="bullet"/>
      <w:pStyle w:val="BoxBullet"/>
      <w:lvlText w:val="•"/>
      <w:lvlJc w:val="left"/>
      <w:pPr>
        <w:ind w:left="36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D5D7F68"/>
    <w:multiLevelType w:val="hybridMultilevel"/>
    <w:tmpl w:val="81B69756"/>
    <w:lvl w:ilvl="0" w:tplc="2370E8C6">
      <w:start w:val="1"/>
      <w:numFmt w:val="bullet"/>
      <w:pStyle w:val="TableTextLeft-Bullet"/>
      <w:lvlText w:val=""/>
      <w:lvlJc w:val="left"/>
      <w:pPr>
        <w:tabs>
          <w:tab w:val="num" w:pos="425"/>
        </w:tabs>
        <w:ind w:left="425" w:hanging="42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30C16AD"/>
    <w:multiLevelType w:val="multilevel"/>
    <w:tmpl w:val="D10E9CF6"/>
    <w:styleLink w:val="Bulleted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F0B5B5F"/>
    <w:multiLevelType w:val="hybridMultilevel"/>
    <w:tmpl w:val="D0A02748"/>
    <w:lvl w:ilvl="0" w:tplc="67626FDA">
      <w:start w:val="1"/>
      <w:numFmt w:val="decimal"/>
      <w:pStyle w:val="OutlineNumbered1"/>
      <w:lvlText w:val="%1."/>
      <w:lvlJc w:val="left"/>
      <w:pPr>
        <w:tabs>
          <w:tab w:val="num" w:pos="425"/>
        </w:tabs>
        <w:ind w:left="425" w:hanging="425"/>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23">
    <w:nsid w:val="5639173B"/>
    <w:multiLevelType w:val="hybridMultilevel"/>
    <w:tmpl w:val="A5D6AF8A"/>
    <w:lvl w:ilvl="0" w:tplc="D5C8F490">
      <w:start w:val="1"/>
      <w:numFmt w:val="bullet"/>
      <w:pStyle w:val="Normal-SummaryFeatureNormal-Bullet"/>
      <w:lvlText w:val="•"/>
      <w:lvlJc w:val="left"/>
      <w:pPr>
        <w:ind w:left="720" w:hanging="360"/>
      </w:pPr>
      <w:rPr>
        <w:rFonts w:ascii="Calibri Light" w:hAnsi="Calibri Light"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C3A5681"/>
    <w:multiLevelType w:val="hybridMultilevel"/>
    <w:tmpl w:val="0E427044"/>
    <w:name w:val="StandardNumberedList2"/>
    <w:lvl w:ilvl="0" w:tplc="357C1DD0">
      <w:start w:val="1"/>
      <w:numFmt w:val="decimal"/>
      <w:pStyle w:val="BoxNumbering"/>
      <w:lvlText w:val="%1."/>
      <w:lvlJc w:val="left"/>
      <w:pPr>
        <w:ind w:left="360" w:hanging="360"/>
      </w:pPr>
      <w:rPr>
        <w:rFonts w:ascii="Arial Narrow" w:hAnsi="Arial Narrow" w:hint="default"/>
        <w:b w:val="0"/>
        <w:i w:val="0"/>
        <w:color w:val="40404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35147CE"/>
    <w:multiLevelType w:val="multilevel"/>
    <w:tmpl w:val="8BC2042C"/>
    <w:styleLink w:val="OneLevel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17"/>
  </w:num>
  <w:num w:numId="3">
    <w:abstractNumId w:val="22"/>
  </w:num>
  <w:num w:numId="4">
    <w:abstractNumId w:val="18"/>
  </w:num>
  <w:num w:numId="5">
    <w:abstractNumId w:val="10"/>
  </w:num>
  <w:num w:numId="6">
    <w:abstractNumId w:val="11"/>
  </w:num>
  <w:num w:numId="7">
    <w:abstractNumId w:val="19"/>
  </w:num>
  <w:num w:numId="8">
    <w:abstractNumId w:val="24"/>
  </w:num>
  <w:num w:numId="9">
    <w:abstractNumId w:val="17"/>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6"/>
  </w:num>
  <w:num w:numId="21">
    <w:abstractNumId w:val="21"/>
  </w:num>
  <w:num w:numId="22">
    <w:abstractNumId w:val="20"/>
  </w:num>
  <w:num w:numId="23">
    <w:abstractNumId w:val="13"/>
  </w:num>
  <w:num w:numId="24">
    <w:abstractNumId w:val="25"/>
  </w:num>
  <w:num w:numId="25">
    <w:abstractNumId w:val="12"/>
  </w:num>
  <w:num w:numId="26">
    <w:abstractNumId w:val="15"/>
  </w:num>
  <w:num w:numId="27">
    <w:abstractNumId w:val="14"/>
  </w:num>
  <w:num w:numId="28">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evenAndOddHeaders/>
  <w:characterSpacingControl w:val="doNotCompress"/>
  <w:hdrShapeDefaults>
    <o:shapedefaults v:ext="edit" spidmax="2064">
      <o:colormru v:ext="edit" colors="#f9c"/>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ecurityClassificationInHeader" w:val="False"/>
  </w:docVars>
  <w:rsids>
    <w:rsidRoot w:val="005125B4"/>
    <w:rsid w:val="00000194"/>
    <w:rsid w:val="00000A57"/>
    <w:rsid w:val="00000D75"/>
    <w:rsid w:val="000019DE"/>
    <w:rsid w:val="00001B48"/>
    <w:rsid w:val="000023A1"/>
    <w:rsid w:val="00002C2C"/>
    <w:rsid w:val="0000399C"/>
    <w:rsid w:val="00004825"/>
    <w:rsid w:val="00004D1A"/>
    <w:rsid w:val="00004E95"/>
    <w:rsid w:val="0000503B"/>
    <w:rsid w:val="00005083"/>
    <w:rsid w:val="00005DF0"/>
    <w:rsid w:val="00006E26"/>
    <w:rsid w:val="0000736C"/>
    <w:rsid w:val="0000778A"/>
    <w:rsid w:val="00007CC3"/>
    <w:rsid w:val="00007D13"/>
    <w:rsid w:val="00010034"/>
    <w:rsid w:val="00011239"/>
    <w:rsid w:val="0001135F"/>
    <w:rsid w:val="00011506"/>
    <w:rsid w:val="0001321E"/>
    <w:rsid w:val="000133A2"/>
    <w:rsid w:val="00013779"/>
    <w:rsid w:val="000140A0"/>
    <w:rsid w:val="0001418C"/>
    <w:rsid w:val="00014AFC"/>
    <w:rsid w:val="000156C6"/>
    <w:rsid w:val="0001589A"/>
    <w:rsid w:val="0001757E"/>
    <w:rsid w:val="00017F23"/>
    <w:rsid w:val="00017FEA"/>
    <w:rsid w:val="00020193"/>
    <w:rsid w:val="0002059B"/>
    <w:rsid w:val="00020757"/>
    <w:rsid w:val="00020879"/>
    <w:rsid w:val="0002139D"/>
    <w:rsid w:val="00021918"/>
    <w:rsid w:val="00022329"/>
    <w:rsid w:val="00022A3E"/>
    <w:rsid w:val="000235F8"/>
    <w:rsid w:val="000237CB"/>
    <w:rsid w:val="000244D6"/>
    <w:rsid w:val="000249E5"/>
    <w:rsid w:val="00024A82"/>
    <w:rsid w:val="00024D30"/>
    <w:rsid w:val="00024E7D"/>
    <w:rsid w:val="000250F3"/>
    <w:rsid w:val="00025C7E"/>
    <w:rsid w:val="000262D8"/>
    <w:rsid w:val="000264B6"/>
    <w:rsid w:val="00026589"/>
    <w:rsid w:val="000267BC"/>
    <w:rsid w:val="00026C40"/>
    <w:rsid w:val="00026D76"/>
    <w:rsid w:val="000272DB"/>
    <w:rsid w:val="00027783"/>
    <w:rsid w:val="00027917"/>
    <w:rsid w:val="000301E7"/>
    <w:rsid w:val="000302CE"/>
    <w:rsid w:val="000302FF"/>
    <w:rsid w:val="000303F7"/>
    <w:rsid w:val="00030935"/>
    <w:rsid w:val="00030D03"/>
    <w:rsid w:val="0003220A"/>
    <w:rsid w:val="000335BD"/>
    <w:rsid w:val="00033CEE"/>
    <w:rsid w:val="0003514A"/>
    <w:rsid w:val="000358CB"/>
    <w:rsid w:val="00035A69"/>
    <w:rsid w:val="00035B52"/>
    <w:rsid w:val="000363D8"/>
    <w:rsid w:val="00037369"/>
    <w:rsid w:val="00037582"/>
    <w:rsid w:val="0003778F"/>
    <w:rsid w:val="000378C4"/>
    <w:rsid w:val="00040325"/>
    <w:rsid w:val="000403F5"/>
    <w:rsid w:val="00040C10"/>
    <w:rsid w:val="00040DF0"/>
    <w:rsid w:val="000412EE"/>
    <w:rsid w:val="00041A92"/>
    <w:rsid w:val="00041D2D"/>
    <w:rsid w:val="00043971"/>
    <w:rsid w:val="0004447E"/>
    <w:rsid w:val="00044889"/>
    <w:rsid w:val="00044C9D"/>
    <w:rsid w:val="00044E3F"/>
    <w:rsid w:val="00045074"/>
    <w:rsid w:val="0004530F"/>
    <w:rsid w:val="00045E5E"/>
    <w:rsid w:val="00046893"/>
    <w:rsid w:val="00046A56"/>
    <w:rsid w:val="00046CE4"/>
    <w:rsid w:val="000473D8"/>
    <w:rsid w:val="0004774C"/>
    <w:rsid w:val="0005006D"/>
    <w:rsid w:val="000505E4"/>
    <w:rsid w:val="00050754"/>
    <w:rsid w:val="00050BC3"/>
    <w:rsid w:val="00050F83"/>
    <w:rsid w:val="00050F84"/>
    <w:rsid w:val="000513BB"/>
    <w:rsid w:val="0005185A"/>
    <w:rsid w:val="00051B71"/>
    <w:rsid w:val="00051E36"/>
    <w:rsid w:val="00052091"/>
    <w:rsid w:val="000523D7"/>
    <w:rsid w:val="00052FA1"/>
    <w:rsid w:val="00053449"/>
    <w:rsid w:val="00053B83"/>
    <w:rsid w:val="00054769"/>
    <w:rsid w:val="000555B4"/>
    <w:rsid w:val="00055DB7"/>
    <w:rsid w:val="0005675C"/>
    <w:rsid w:val="00056903"/>
    <w:rsid w:val="00057CCA"/>
    <w:rsid w:val="00057E46"/>
    <w:rsid w:val="00060197"/>
    <w:rsid w:val="00061EF8"/>
    <w:rsid w:val="000626FB"/>
    <w:rsid w:val="00062A46"/>
    <w:rsid w:val="0006395C"/>
    <w:rsid w:val="00063BD4"/>
    <w:rsid w:val="00063EF5"/>
    <w:rsid w:val="00064C48"/>
    <w:rsid w:val="00064D72"/>
    <w:rsid w:val="00064EE1"/>
    <w:rsid w:val="00065D8F"/>
    <w:rsid w:val="00065FB1"/>
    <w:rsid w:val="00066ACC"/>
    <w:rsid w:val="00066C0E"/>
    <w:rsid w:val="00066FEA"/>
    <w:rsid w:val="000673F1"/>
    <w:rsid w:val="000675F0"/>
    <w:rsid w:val="00067750"/>
    <w:rsid w:val="0006791F"/>
    <w:rsid w:val="00070045"/>
    <w:rsid w:val="000707D5"/>
    <w:rsid w:val="0007096C"/>
    <w:rsid w:val="00070A38"/>
    <w:rsid w:val="00070E08"/>
    <w:rsid w:val="0007100E"/>
    <w:rsid w:val="000710A1"/>
    <w:rsid w:val="000712C8"/>
    <w:rsid w:val="000712D2"/>
    <w:rsid w:val="00071C64"/>
    <w:rsid w:val="000728C4"/>
    <w:rsid w:val="000736BC"/>
    <w:rsid w:val="0007419A"/>
    <w:rsid w:val="000763B4"/>
    <w:rsid w:val="000775F5"/>
    <w:rsid w:val="00077A35"/>
    <w:rsid w:val="00077A59"/>
    <w:rsid w:val="000801C5"/>
    <w:rsid w:val="00080402"/>
    <w:rsid w:val="000809B5"/>
    <w:rsid w:val="0008184D"/>
    <w:rsid w:val="00081BD2"/>
    <w:rsid w:val="00082417"/>
    <w:rsid w:val="0008270A"/>
    <w:rsid w:val="00083238"/>
    <w:rsid w:val="000844F0"/>
    <w:rsid w:val="000857C2"/>
    <w:rsid w:val="00086147"/>
    <w:rsid w:val="00086AEC"/>
    <w:rsid w:val="000879DF"/>
    <w:rsid w:val="00087D15"/>
    <w:rsid w:val="00087D92"/>
    <w:rsid w:val="00087DF2"/>
    <w:rsid w:val="00090194"/>
    <w:rsid w:val="0009037D"/>
    <w:rsid w:val="000903E2"/>
    <w:rsid w:val="000904D4"/>
    <w:rsid w:val="00090DA0"/>
    <w:rsid w:val="000916D1"/>
    <w:rsid w:val="00091A79"/>
    <w:rsid w:val="00091CF6"/>
    <w:rsid w:val="00091FB9"/>
    <w:rsid w:val="00092BEE"/>
    <w:rsid w:val="00092E8B"/>
    <w:rsid w:val="000930CE"/>
    <w:rsid w:val="0009361D"/>
    <w:rsid w:val="0009383B"/>
    <w:rsid w:val="000939BC"/>
    <w:rsid w:val="000939ED"/>
    <w:rsid w:val="00094472"/>
    <w:rsid w:val="000952E8"/>
    <w:rsid w:val="00095AA5"/>
    <w:rsid w:val="00096836"/>
    <w:rsid w:val="00096D07"/>
    <w:rsid w:val="000979AF"/>
    <w:rsid w:val="00097BEC"/>
    <w:rsid w:val="000A062E"/>
    <w:rsid w:val="000A0885"/>
    <w:rsid w:val="000A148C"/>
    <w:rsid w:val="000A1D80"/>
    <w:rsid w:val="000A313F"/>
    <w:rsid w:val="000A31EE"/>
    <w:rsid w:val="000A3236"/>
    <w:rsid w:val="000A3452"/>
    <w:rsid w:val="000A392D"/>
    <w:rsid w:val="000A3B74"/>
    <w:rsid w:val="000A5138"/>
    <w:rsid w:val="000A561C"/>
    <w:rsid w:val="000A57E6"/>
    <w:rsid w:val="000A63E0"/>
    <w:rsid w:val="000A6CD8"/>
    <w:rsid w:val="000A6FB0"/>
    <w:rsid w:val="000A73C0"/>
    <w:rsid w:val="000A760D"/>
    <w:rsid w:val="000A7D0D"/>
    <w:rsid w:val="000A7D2A"/>
    <w:rsid w:val="000A7D61"/>
    <w:rsid w:val="000B0859"/>
    <w:rsid w:val="000B1222"/>
    <w:rsid w:val="000B15E1"/>
    <w:rsid w:val="000B1D67"/>
    <w:rsid w:val="000B3777"/>
    <w:rsid w:val="000B3F0F"/>
    <w:rsid w:val="000B40FF"/>
    <w:rsid w:val="000B4C16"/>
    <w:rsid w:val="000B4DB1"/>
    <w:rsid w:val="000B63F1"/>
    <w:rsid w:val="000B7585"/>
    <w:rsid w:val="000B7901"/>
    <w:rsid w:val="000B7F6B"/>
    <w:rsid w:val="000B7FBE"/>
    <w:rsid w:val="000C03AA"/>
    <w:rsid w:val="000C074E"/>
    <w:rsid w:val="000C1D09"/>
    <w:rsid w:val="000C2DB1"/>
    <w:rsid w:val="000C2FBA"/>
    <w:rsid w:val="000C2FE4"/>
    <w:rsid w:val="000C3B7C"/>
    <w:rsid w:val="000C3FFD"/>
    <w:rsid w:val="000C4257"/>
    <w:rsid w:val="000C42CB"/>
    <w:rsid w:val="000C5565"/>
    <w:rsid w:val="000C58C5"/>
    <w:rsid w:val="000C5CF6"/>
    <w:rsid w:val="000C6701"/>
    <w:rsid w:val="000C71C1"/>
    <w:rsid w:val="000C71D5"/>
    <w:rsid w:val="000C798A"/>
    <w:rsid w:val="000C79BD"/>
    <w:rsid w:val="000D014E"/>
    <w:rsid w:val="000D02EB"/>
    <w:rsid w:val="000D04C8"/>
    <w:rsid w:val="000D0698"/>
    <w:rsid w:val="000D0FDB"/>
    <w:rsid w:val="000D1022"/>
    <w:rsid w:val="000D1421"/>
    <w:rsid w:val="000D16DE"/>
    <w:rsid w:val="000D1F8A"/>
    <w:rsid w:val="000D2148"/>
    <w:rsid w:val="000D24CC"/>
    <w:rsid w:val="000D2601"/>
    <w:rsid w:val="000D2806"/>
    <w:rsid w:val="000D2C15"/>
    <w:rsid w:val="000D2CA1"/>
    <w:rsid w:val="000D55A9"/>
    <w:rsid w:val="000D5890"/>
    <w:rsid w:val="000D58F7"/>
    <w:rsid w:val="000D5962"/>
    <w:rsid w:val="000D5D7E"/>
    <w:rsid w:val="000D6A7E"/>
    <w:rsid w:val="000D79CD"/>
    <w:rsid w:val="000D7CA1"/>
    <w:rsid w:val="000E0E9E"/>
    <w:rsid w:val="000E1745"/>
    <w:rsid w:val="000E1921"/>
    <w:rsid w:val="000E2C23"/>
    <w:rsid w:val="000E2C9C"/>
    <w:rsid w:val="000E2DEC"/>
    <w:rsid w:val="000E3699"/>
    <w:rsid w:val="000E36AC"/>
    <w:rsid w:val="000E45BA"/>
    <w:rsid w:val="000E4B80"/>
    <w:rsid w:val="000E5030"/>
    <w:rsid w:val="000E56F1"/>
    <w:rsid w:val="000E5E0B"/>
    <w:rsid w:val="000E5ED1"/>
    <w:rsid w:val="000E7362"/>
    <w:rsid w:val="000E7512"/>
    <w:rsid w:val="000E7638"/>
    <w:rsid w:val="000E7C4F"/>
    <w:rsid w:val="000E7E58"/>
    <w:rsid w:val="000F0119"/>
    <w:rsid w:val="000F0CB1"/>
    <w:rsid w:val="000F1738"/>
    <w:rsid w:val="000F1952"/>
    <w:rsid w:val="000F19E3"/>
    <w:rsid w:val="000F1B37"/>
    <w:rsid w:val="000F1EDF"/>
    <w:rsid w:val="000F2625"/>
    <w:rsid w:val="000F346E"/>
    <w:rsid w:val="000F3C7C"/>
    <w:rsid w:val="000F3DDA"/>
    <w:rsid w:val="000F411C"/>
    <w:rsid w:val="000F431B"/>
    <w:rsid w:val="000F482F"/>
    <w:rsid w:val="000F4A77"/>
    <w:rsid w:val="000F59F4"/>
    <w:rsid w:val="000F5ACB"/>
    <w:rsid w:val="000F5B72"/>
    <w:rsid w:val="000F5DA6"/>
    <w:rsid w:val="000F5DC3"/>
    <w:rsid w:val="000F6D14"/>
    <w:rsid w:val="000F7CE9"/>
    <w:rsid w:val="000F7DF8"/>
    <w:rsid w:val="000F7E2D"/>
    <w:rsid w:val="001001FC"/>
    <w:rsid w:val="001002DB"/>
    <w:rsid w:val="00100448"/>
    <w:rsid w:val="001017D9"/>
    <w:rsid w:val="0010198C"/>
    <w:rsid w:val="001026D3"/>
    <w:rsid w:val="00102AEF"/>
    <w:rsid w:val="00102B73"/>
    <w:rsid w:val="00102E23"/>
    <w:rsid w:val="0010304A"/>
    <w:rsid w:val="00103A66"/>
    <w:rsid w:val="00104ED5"/>
    <w:rsid w:val="00105B1B"/>
    <w:rsid w:val="00106352"/>
    <w:rsid w:val="0010653B"/>
    <w:rsid w:val="00106545"/>
    <w:rsid w:val="00107292"/>
    <w:rsid w:val="00107AC7"/>
    <w:rsid w:val="00110253"/>
    <w:rsid w:val="001119B4"/>
    <w:rsid w:val="00112B11"/>
    <w:rsid w:val="00112B49"/>
    <w:rsid w:val="00112C20"/>
    <w:rsid w:val="00112CDF"/>
    <w:rsid w:val="00113D8F"/>
    <w:rsid w:val="001143D7"/>
    <w:rsid w:val="00114E21"/>
    <w:rsid w:val="00114F3B"/>
    <w:rsid w:val="00115785"/>
    <w:rsid w:val="00115FBD"/>
    <w:rsid w:val="001163EA"/>
    <w:rsid w:val="00116B79"/>
    <w:rsid w:val="00116C5E"/>
    <w:rsid w:val="00116F9A"/>
    <w:rsid w:val="0011712B"/>
    <w:rsid w:val="00117601"/>
    <w:rsid w:val="00117614"/>
    <w:rsid w:val="00117AA4"/>
    <w:rsid w:val="0012031C"/>
    <w:rsid w:val="00120398"/>
    <w:rsid w:val="001204BE"/>
    <w:rsid w:val="00120BF8"/>
    <w:rsid w:val="001211E6"/>
    <w:rsid w:val="00121303"/>
    <w:rsid w:val="00122978"/>
    <w:rsid w:val="00123525"/>
    <w:rsid w:val="00123824"/>
    <w:rsid w:val="00123BD5"/>
    <w:rsid w:val="001243B2"/>
    <w:rsid w:val="001247CE"/>
    <w:rsid w:val="001248EA"/>
    <w:rsid w:val="001249F4"/>
    <w:rsid w:val="00124A64"/>
    <w:rsid w:val="00124C6D"/>
    <w:rsid w:val="00124F4D"/>
    <w:rsid w:val="00125065"/>
    <w:rsid w:val="001253BE"/>
    <w:rsid w:val="00126307"/>
    <w:rsid w:val="00126552"/>
    <w:rsid w:val="001267A2"/>
    <w:rsid w:val="00127521"/>
    <w:rsid w:val="001308B1"/>
    <w:rsid w:val="00130B82"/>
    <w:rsid w:val="00130C19"/>
    <w:rsid w:val="00130E32"/>
    <w:rsid w:val="00130FCE"/>
    <w:rsid w:val="001310FB"/>
    <w:rsid w:val="00131A74"/>
    <w:rsid w:val="00131CC0"/>
    <w:rsid w:val="00132116"/>
    <w:rsid w:val="001328AC"/>
    <w:rsid w:val="00132CEF"/>
    <w:rsid w:val="00133207"/>
    <w:rsid w:val="00133802"/>
    <w:rsid w:val="00133FAE"/>
    <w:rsid w:val="00134193"/>
    <w:rsid w:val="00134AFD"/>
    <w:rsid w:val="00134E52"/>
    <w:rsid w:val="00135139"/>
    <w:rsid w:val="0013520A"/>
    <w:rsid w:val="00135607"/>
    <w:rsid w:val="001356CF"/>
    <w:rsid w:val="001357B9"/>
    <w:rsid w:val="00135D22"/>
    <w:rsid w:val="00135EFD"/>
    <w:rsid w:val="001360A5"/>
    <w:rsid w:val="00136559"/>
    <w:rsid w:val="00137586"/>
    <w:rsid w:val="00137D59"/>
    <w:rsid w:val="00137EE9"/>
    <w:rsid w:val="00140B6E"/>
    <w:rsid w:val="00140ED5"/>
    <w:rsid w:val="00141525"/>
    <w:rsid w:val="00141CE8"/>
    <w:rsid w:val="0014210B"/>
    <w:rsid w:val="00142588"/>
    <w:rsid w:val="001426A4"/>
    <w:rsid w:val="00142A06"/>
    <w:rsid w:val="00142CDE"/>
    <w:rsid w:val="00142DCD"/>
    <w:rsid w:val="00144555"/>
    <w:rsid w:val="001445B3"/>
    <w:rsid w:val="00144FB0"/>
    <w:rsid w:val="001452D6"/>
    <w:rsid w:val="00145718"/>
    <w:rsid w:val="00145B7B"/>
    <w:rsid w:val="00146B9C"/>
    <w:rsid w:val="00146C82"/>
    <w:rsid w:val="0014721E"/>
    <w:rsid w:val="00147455"/>
    <w:rsid w:val="00147A92"/>
    <w:rsid w:val="00147B5B"/>
    <w:rsid w:val="001506FD"/>
    <w:rsid w:val="00150895"/>
    <w:rsid w:val="00150B9F"/>
    <w:rsid w:val="00150E2E"/>
    <w:rsid w:val="001514F5"/>
    <w:rsid w:val="00151884"/>
    <w:rsid w:val="00151FF0"/>
    <w:rsid w:val="001529BE"/>
    <w:rsid w:val="001533EF"/>
    <w:rsid w:val="001548AD"/>
    <w:rsid w:val="00155264"/>
    <w:rsid w:val="001557D3"/>
    <w:rsid w:val="00155DB1"/>
    <w:rsid w:val="001565C5"/>
    <w:rsid w:val="0015709C"/>
    <w:rsid w:val="00157323"/>
    <w:rsid w:val="0015740B"/>
    <w:rsid w:val="001575E8"/>
    <w:rsid w:val="0015770C"/>
    <w:rsid w:val="00157CAB"/>
    <w:rsid w:val="001600C3"/>
    <w:rsid w:val="00160178"/>
    <w:rsid w:val="00160D34"/>
    <w:rsid w:val="00160D41"/>
    <w:rsid w:val="001626F0"/>
    <w:rsid w:val="001631DC"/>
    <w:rsid w:val="001636AA"/>
    <w:rsid w:val="00163EF2"/>
    <w:rsid w:val="001641D3"/>
    <w:rsid w:val="00165550"/>
    <w:rsid w:val="00165781"/>
    <w:rsid w:val="00165890"/>
    <w:rsid w:val="00166FE6"/>
    <w:rsid w:val="0016759E"/>
    <w:rsid w:val="00167C37"/>
    <w:rsid w:val="001701FF"/>
    <w:rsid w:val="00170239"/>
    <w:rsid w:val="00170B56"/>
    <w:rsid w:val="00170D9A"/>
    <w:rsid w:val="00170DDB"/>
    <w:rsid w:val="0017102F"/>
    <w:rsid w:val="00171E2E"/>
    <w:rsid w:val="00171FCC"/>
    <w:rsid w:val="00172314"/>
    <w:rsid w:val="001725E1"/>
    <w:rsid w:val="00172B5F"/>
    <w:rsid w:val="00172CED"/>
    <w:rsid w:val="0017341B"/>
    <w:rsid w:val="00173E43"/>
    <w:rsid w:val="00174F29"/>
    <w:rsid w:val="00175A2E"/>
    <w:rsid w:val="001763A4"/>
    <w:rsid w:val="00176541"/>
    <w:rsid w:val="001768B8"/>
    <w:rsid w:val="001774FC"/>
    <w:rsid w:val="00181F92"/>
    <w:rsid w:val="00182890"/>
    <w:rsid w:val="00182F00"/>
    <w:rsid w:val="001840E7"/>
    <w:rsid w:val="001841C6"/>
    <w:rsid w:val="0018533E"/>
    <w:rsid w:val="00185365"/>
    <w:rsid w:val="001854E9"/>
    <w:rsid w:val="001865C4"/>
    <w:rsid w:val="0018717A"/>
    <w:rsid w:val="00187C49"/>
    <w:rsid w:val="00187DCF"/>
    <w:rsid w:val="0019158E"/>
    <w:rsid w:val="00191A91"/>
    <w:rsid w:val="0019200E"/>
    <w:rsid w:val="00192B85"/>
    <w:rsid w:val="00192D28"/>
    <w:rsid w:val="00193132"/>
    <w:rsid w:val="001937FE"/>
    <w:rsid w:val="00193C4C"/>
    <w:rsid w:val="0019416E"/>
    <w:rsid w:val="00194631"/>
    <w:rsid w:val="00194705"/>
    <w:rsid w:val="00194727"/>
    <w:rsid w:val="00195BA3"/>
    <w:rsid w:val="00195E5A"/>
    <w:rsid w:val="00197AEB"/>
    <w:rsid w:val="00197C2D"/>
    <w:rsid w:val="00197C42"/>
    <w:rsid w:val="00197D2F"/>
    <w:rsid w:val="001A055D"/>
    <w:rsid w:val="001A1251"/>
    <w:rsid w:val="001A1623"/>
    <w:rsid w:val="001A25A3"/>
    <w:rsid w:val="001A2911"/>
    <w:rsid w:val="001A2ADC"/>
    <w:rsid w:val="001A2EE3"/>
    <w:rsid w:val="001A37C6"/>
    <w:rsid w:val="001A3829"/>
    <w:rsid w:val="001A3B76"/>
    <w:rsid w:val="001A49D6"/>
    <w:rsid w:val="001A542F"/>
    <w:rsid w:val="001A55D6"/>
    <w:rsid w:val="001A5956"/>
    <w:rsid w:val="001A6020"/>
    <w:rsid w:val="001A6297"/>
    <w:rsid w:val="001A6C57"/>
    <w:rsid w:val="001A6D54"/>
    <w:rsid w:val="001A74ED"/>
    <w:rsid w:val="001A7AA4"/>
    <w:rsid w:val="001A7F24"/>
    <w:rsid w:val="001B0935"/>
    <w:rsid w:val="001B0ABD"/>
    <w:rsid w:val="001B1016"/>
    <w:rsid w:val="001B1C94"/>
    <w:rsid w:val="001B1D18"/>
    <w:rsid w:val="001B1D69"/>
    <w:rsid w:val="001B215F"/>
    <w:rsid w:val="001B21E9"/>
    <w:rsid w:val="001B25F8"/>
    <w:rsid w:val="001B286A"/>
    <w:rsid w:val="001B3352"/>
    <w:rsid w:val="001B3391"/>
    <w:rsid w:val="001B3F85"/>
    <w:rsid w:val="001B3F94"/>
    <w:rsid w:val="001B42C9"/>
    <w:rsid w:val="001B4384"/>
    <w:rsid w:val="001B4C11"/>
    <w:rsid w:val="001B4DE9"/>
    <w:rsid w:val="001B4F27"/>
    <w:rsid w:val="001B4F9A"/>
    <w:rsid w:val="001B5510"/>
    <w:rsid w:val="001B565F"/>
    <w:rsid w:val="001B5737"/>
    <w:rsid w:val="001B626C"/>
    <w:rsid w:val="001B628B"/>
    <w:rsid w:val="001B676B"/>
    <w:rsid w:val="001B6C5B"/>
    <w:rsid w:val="001B7741"/>
    <w:rsid w:val="001B7B8C"/>
    <w:rsid w:val="001B7CFB"/>
    <w:rsid w:val="001C00AA"/>
    <w:rsid w:val="001C0905"/>
    <w:rsid w:val="001C0D4D"/>
    <w:rsid w:val="001C0DE7"/>
    <w:rsid w:val="001C0ED0"/>
    <w:rsid w:val="001C0F2F"/>
    <w:rsid w:val="001C0F6B"/>
    <w:rsid w:val="001C18D5"/>
    <w:rsid w:val="001C218A"/>
    <w:rsid w:val="001C24CC"/>
    <w:rsid w:val="001C28AA"/>
    <w:rsid w:val="001C28AD"/>
    <w:rsid w:val="001C2F7C"/>
    <w:rsid w:val="001C3655"/>
    <w:rsid w:val="001C3B07"/>
    <w:rsid w:val="001C3B1A"/>
    <w:rsid w:val="001C4152"/>
    <w:rsid w:val="001C537B"/>
    <w:rsid w:val="001C63A3"/>
    <w:rsid w:val="001C7AA3"/>
    <w:rsid w:val="001C7F0B"/>
    <w:rsid w:val="001D0183"/>
    <w:rsid w:val="001D0205"/>
    <w:rsid w:val="001D0496"/>
    <w:rsid w:val="001D0CE1"/>
    <w:rsid w:val="001D1037"/>
    <w:rsid w:val="001D108E"/>
    <w:rsid w:val="001D230B"/>
    <w:rsid w:val="001D2EA0"/>
    <w:rsid w:val="001D2F0C"/>
    <w:rsid w:val="001D36E5"/>
    <w:rsid w:val="001D397B"/>
    <w:rsid w:val="001D3EDF"/>
    <w:rsid w:val="001D5057"/>
    <w:rsid w:val="001D58E6"/>
    <w:rsid w:val="001D5B52"/>
    <w:rsid w:val="001D6B12"/>
    <w:rsid w:val="001D7ACE"/>
    <w:rsid w:val="001D7C5F"/>
    <w:rsid w:val="001D7D51"/>
    <w:rsid w:val="001E0C91"/>
    <w:rsid w:val="001E1453"/>
    <w:rsid w:val="001E1FF7"/>
    <w:rsid w:val="001E276A"/>
    <w:rsid w:val="001E2DF6"/>
    <w:rsid w:val="001E3388"/>
    <w:rsid w:val="001E33B1"/>
    <w:rsid w:val="001E35B0"/>
    <w:rsid w:val="001E3DD1"/>
    <w:rsid w:val="001E40AC"/>
    <w:rsid w:val="001E4670"/>
    <w:rsid w:val="001E4C3B"/>
    <w:rsid w:val="001E541F"/>
    <w:rsid w:val="001E548B"/>
    <w:rsid w:val="001E5B86"/>
    <w:rsid w:val="001E5D49"/>
    <w:rsid w:val="001E5F5C"/>
    <w:rsid w:val="001E6D49"/>
    <w:rsid w:val="001E7308"/>
    <w:rsid w:val="001E7B88"/>
    <w:rsid w:val="001F0B52"/>
    <w:rsid w:val="001F10A8"/>
    <w:rsid w:val="001F1498"/>
    <w:rsid w:val="001F19F3"/>
    <w:rsid w:val="001F3C2C"/>
    <w:rsid w:val="001F497C"/>
    <w:rsid w:val="001F4AE2"/>
    <w:rsid w:val="001F4EB6"/>
    <w:rsid w:val="001F5B1F"/>
    <w:rsid w:val="001F5EE3"/>
    <w:rsid w:val="001F62D5"/>
    <w:rsid w:val="001F6D5B"/>
    <w:rsid w:val="001F6F6E"/>
    <w:rsid w:val="001F7871"/>
    <w:rsid w:val="001F7FDC"/>
    <w:rsid w:val="002001AE"/>
    <w:rsid w:val="002004CF"/>
    <w:rsid w:val="002008BE"/>
    <w:rsid w:val="00200D0F"/>
    <w:rsid w:val="00201145"/>
    <w:rsid w:val="00201202"/>
    <w:rsid w:val="00201307"/>
    <w:rsid w:val="002020D4"/>
    <w:rsid w:val="002024C5"/>
    <w:rsid w:val="002028D2"/>
    <w:rsid w:val="0020294C"/>
    <w:rsid w:val="002037CD"/>
    <w:rsid w:val="00203889"/>
    <w:rsid w:val="002038CB"/>
    <w:rsid w:val="00203EE2"/>
    <w:rsid w:val="00203F20"/>
    <w:rsid w:val="00203F8E"/>
    <w:rsid w:val="00203FF1"/>
    <w:rsid w:val="0020425E"/>
    <w:rsid w:val="00204439"/>
    <w:rsid w:val="002047B7"/>
    <w:rsid w:val="00204CC4"/>
    <w:rsid w:val="00204F30"/>
    <w:rsid w:val="002056E5"/>
    <w:rsid w:val="002057A8"/>
    <w:rsid w:val="00205B24"/>
    <w:rsid w:val="00205C1A"/>
    <w:rsid w:val="00205C5D"/>
    <w:rsid w:val="00206AFB"/>
    <w:rsid w:val="00206B30"/>
    <w:rsid w:val="00206D2C"/>
    <w:rsid w:val="002071E7"/>
    <w:rsid w:val="00207282"/>
    <w:rsid w:val="00207298"/>
    <w:rsid w:val="002075A6"/>
    <w:rsid w:val="00210C93"/>
    <w:rsid w:val="00210FAF"/>
    <w:rsid w:val="00210FBA"/>
    <w:rsid w:val="002123B7"/>
    <w:rsid w:val="00212613"/>
    <w:rsid w:val="00212C07"/>
    <w:rsid w:val="002133F6"/>
    <w:rsid w:val="002134B3"/>
    <w:rsid w:val="002136BB"/>
    <w:rsid w:val="00213B7A"/>
    <w:rsid w:val="00214544"/>
    <w:rsid w:val="0021522E"/>
    <w:rsid w:val="002152FB"/>
    <w:rsid w:val="0021721C"/>
    <w:rsid w:val="00217EC7"/>
    <w:rsid w:val="00220002"/>
    <w:rsid w:val="0022080A"/>
    <w:rsid w:val="00220DC3"/>
    <w:rsid w:val="00221702"/>
    <w:rsid w:val="00221706"/>
    <w:rsid w:val="00221946"/>
    <w:rsid w:val="00221C84"/>
    <w:rsid w:val="00221D5D"/>
    <w:rsid w:val="00221DCC"/>
    <w:rsid w:val="00221FF9"/>
    <w:rsid w:val="00222CB2"/>
    <w:rsid w:val="00222D39"/>
    <w:rsid w:val="002231AC"/>
    <w:rsid w:val="00223251"/>
    <w:rsid w:val="002235E6"/>
    <w:rsid w:val="002235E9"/>
    <w:rsid w:val="00223D03"/>
    <w:rsid w:val="00223F81"/>
    <w:rsid w:val="0022400F"/>
    <w:rsid w:val="00224086"/>
    <w:rsid w:val="00224D46"/>
    <w:rsid w:val="00225000"/>
    <w:rsid w:val="002254E7"/>
    <w:rsid w:val="002257E0"/>
    <w:rsid w:val="00225BD7"/>
    <w:rsid w:val="002274B9"/>
    <w:rsid w:val="002276FA"/>
    <w:rsid w:val="00227893"/>
    <w:rsid w:val="002303BC"/>
    <w:rsid w:val="002309AC"/>
    <w:rsid w:val="00230AA4"/>
    <w:rsid w:val="00230AC0"/>
    <w:rsid w:val="00230C77"/>
    <w:rsid w:val="002312F8"/>
    <w:rsid w:val="00231605"/>
    <w:rsid w:val="00231D98"/>
    <w:rsid w:val="002325D4"/>
    <w:rsid w:val="00232A39"/>
    <w:rsid w:val="0023391D"/>
    <w:rsid w:val="002346B1"/>
    <w:rsid w:val="00234BFD"/>
    <w:rsid w:val="00235E98"/>
    <w:rsid w:val="002360A1"/>
    <w:rsid w:val="002360C9"/>
    <w:rsid w:val="0023717E"/>
    <w:rsid w:val="00237318"/>
    <w:rsid w:val="00237A70"/>
    <w:rsid w:val="002401B2"/>
    <w:rsid w:val="00240237"/>
    <w:rsid w:val="0024076F"/>
    <w:rsid w:val="0024137D"/>
    <w:rsid w:val="00241A91"/>
    <w:rsid w:val="002420E7"/>
    <w:rsid w:val="002429CB"/>
    <w:rsid w:val="0024369A"/>
    <w:rsid w:val="00243C54"/>
    <w:rsid w:val="00244ED1"/>
    <w:rsid w:val="00244EFF"/>
    <w:rsid w:val="002450D2"/>
    <w:rsid w:val="0024514D"/>
    <w:rsid w:val="0024539D"/>
    <w:rsid w:val="00245400"/>
    <w:rsid w:val="00245A9C"/>
    <w:rsid w:val="00245CC3"/>
    <w:rsid w:val="002467F8"/>
    <w:rsid w:val="00247A68"/>
    <w:rsid w:val="002500CC"/>
    <w:rsid w:val="002506CA"/>
    <w:rsid w:val="00250C9D"/>
    <w:rsid w:val="00251326"/>
    <w:rsid w:val="002522A5"/>
    <w:rsid w:val="0025291D"/>
    <w:rsid w:val="00252CAF"/>
    <w:rsid w:val="00252EA4"/>
    <w:rsid w:val="00253528"/>
    <w:rsid w:val="00253D72"/>
    <w:rsid w:val="00254C03"/>
    <w:rsid w:val="00255DED"/>
    <w:rsid w:val="00255E66"/>
    <w:rsid w:val="002565EA"/>
    <w:rsid w:val="00256898"/>
    <w:rsid w:val="00257AC3"/>
    <w:rsid w:val="00257C86"/>
    <w:rsid w:val="002605A0"/>
    <w:rsid w:val="00260B2F"/>
    <w:rsid w:val="00260CC5"/>
    <w:rsid w:val="00260E4D"/>
    <w:rsid w:val="00261312"/>
    <w:rsid w:val="0026163E"/>
    <w:rsid w:val="0026171B"/>
    <w:rsid w:val="00261F8A"/>
    <w:rsid w:val="00261FBA"/>
    <w:rsid w:val="002623A0"/>
    <w:rsid w:val="002637C3"/>
    <w:rsid w:val="00263EBA"/>
    <w:rsid w:val="00263EF9"/>
    <w:rsid w:val="0026423E"/>
    <w:rsid w:val="00265E17"/>
    <w:rsid w:val="00266115"/>
    <w:rsid w:val="0026611E"/>
    <w:rsid w:val="002662D9"/>
    <w:rsid w:val="00266626"/>
    <w:rsid w:val="0026664F"/>
    <w:rsid w:val="0026690B"/>
    <w:rsid w:val="00266F68"/>
    <w:rsid w:val="00267BC0"/>
    <w:rsid w:val="00270488"/>
    <w:rsid w:val="00271612"/>
    <w:rsid w:val="00271B7B"/>
    <w:rsid w:val="00271CE2"/>
    <w:rsid w:val="00271E40"/>
    <w:rsid w:val="00271EA8"/>
    <w:rsid w:val="002720EE"/>
    <w:rsid w:val="002724D5"/>
    <w:rsid w:val="0027295C"/>
    <w:rsid w:val="00272DE9"/>
    <w:rsid w:val="00273194"/>
    <w:rsid w:val="00273547"/>
    <w:rsid w:val="00273EDF"/>
    <w:rsid w:val="002743C6"/>
    <w:rsid w:val="00274644"/>
    <w:rsid w:val="0027501B"/>
    <w:rsid w:val="002750C6"/>
    <w:rsid w:val="0027601D"/>
    <w:rsid w:val="002762D1"/>
    <w:rsid w:val="002768EF"/>
    <w:rsid w:val="00277968"/>
    <w:rsid w:val="00277A31"/>
    <w:rsid w:val="00277B27"/>
    <w:rsid w:val="00277B95"/>
    <w:rsid w:val="002801CD"/>
    <w:rsid w:val="00280B8A"/>
    <w:rsid w:val="00280BC8"/>
    <w:rsid w:val="00280CF6"/>
    <w:rsid w:val="00280E51"/>
    <w:rsid w:val="00281380"/>
    <w:rsid w:val="002817EA"/>
    <w:rsid w:val="00281A1B"/>
    <w:rsid w:val="00281DC8"/>
    <w:rsid w:val="002823A1"/>
    <w:rsid w:val="002826B0"/>
    <w:rsid w:val="00283231"/>
    <w:rsid w:val="00283233"/>
    <w:rsid w:val="0028360A"/>
    <w:rsid w:val="00283EA2"/>
    <w:rsid w:val="0028509E"/>
    <w:rsid w:val="002858A6"/>
    <w:rsid w:val="00285A16"/>
    <w:rsid w:val="002860AF"/>
    <w:rsid w:val="00286213"/>
    <w:rsid w:val="002863F3"/>
    <w:rsid w:val="002865EF"/>
    <w:rsid w:val="002866EE"/>
    <w:rsid w:val="002869E9"/>
    <w:rsid w:val="00286B33"/>
    <w:rsid w:val="002871B4"/>
    <w:rsid w:val="00287E77"/>
    <w:rsid w:val="00290D84"/>
    <w:rsid w:val="002910CF"/>
    <w:rsid w:val="0029145A"/>
    <w:rsid w:val="002915A2"/>
    <w:rsid w:val="00291F0D"/>
    <w:rsid w:val="00293172"/>
    <w:rsid w:val="0029353F"/>
    <w:rsid w:val="002936B6"/>
    <w:rsid w:val="0029375B"/>
    <w:rsid w:val="00294EFD"/>
    <w:rsid w:val="00295128"/>
    <w:rsid w:val="002951B4"/>
    <w:rsid w:val="0029543F"/>
    <w:rsid w:val="002959F4"/>
    <w:rsid w:val="002960F2"/>
    <w:rsid w:val="00296BE3"/>
    <w:rsid w:val="00297515"/>
    <w:rsid w:val="002A010E"/>
    <w:rsid w:val="002A048D"/>
    <w:rsid w:val="002A0808"/>
    <w:rsid w:val="002A0F5A"/>
    <w:rsid w:val="002A162E"/>
    <w:rsid w:val="002A1777"/>
    <w:rsid w:val="002A1786"/>
    <w:rsid w:val="002A18B8"/>
    <w:rsid w:val="002A1B6B"/>
    <w:rsid w:val="002A1D99"/>
    <w:rsid w:val="002A2102"/>
    <w:rsid w:val="002A2231"/>
    <w:rsid w:val="002A24E1"/>
    <w:rsid w:val="002A2973"/>
    <w:rsid w:val="002A3416"/>
    <w:rsid w:val="002A3457"/>
    <w:rsid w:val="002A35F6"/>
    <w:rsid w:val="002A3BDF"/>
    <w:rsid w:val="002A439A"/>
    <w:rsid w:val="002A4441"/>
    <w:rsid w:val="002A4F9C"/>
    <w:rsid w:val="002A56A8"/>
    <w:rsid w:val="002A5D4E"/>
    <w:rsid w:val="002A6CD2"/>
    <w:rsid w:val="002A6D7F"/>
    <w:rsid w:val="002A6F21"/>
    <w:rsid w:val="002A72FA"/>
    <w:rsid w:val="002A7526"/>
    <w:rsid w:val="002A75D9"/>
    <w:rsid w:val="002A7915"/>
    <w:rsid w:val="002A7E61"/>
    <w:rsid w:val="002B1B59"/>
    <w:rsid w:val="002B1FE9"/>
    <w:rsid w:val="002B2026"/>
    <w:rsid w:val="002B221B"/>
    <w:rsid w:val="002B24D3"/>
    <w:rsid w:val="002B2827"/>
    <w:rsid w:val="002B2C02"/>
    <w:rsid w:val="002B30A0"/>
    <w:rsid w:val="002B30F3"/>
    <w:rsid w:val="002B33C7"/>
    <w:rsid w:val="002B37C4"/>
    <w:rsid w:val="002B3BC8"/>
    <w:rsid w:val="002B46D7"/>
    <w:rsid w:val="002B4EA8"/>
    <w:rsid w:val="002B51FD"/>
    <w:rsid w:val="002B559A"/>
    <w:rsid w:val="002B574D"/>
    <w:rsid w:val="002B5C83"/>
    <w:rsid w:val="002B5E75"/>
    <w:rsid w:val="002B6EAC"/>
    <w:rsid w:val="002B6EE0"/>
    <w:rsid w:val="002B6FDA"/>
    <w:rsid w:val="002B77FF"/>
    <w:rsid w:val="002B7AAA"/>
    <w:rsid w:val="002B7F4C"/>
    <w:rsid w:val="002C0C0D"/>
    <w:rsid w:val="002C0E41"/>
    <w:rsid w:val="002C1289"/>
    <w:rsid w:val="002C1556"/>
    <w:rsid w:val="002C1A9F"/>
    <w:rsid w:val="002C24E2"/>
    <w:rsid w:val="002C24E9"/>
    <w:rsid w:val="002C2B23"/>
    <w:rsid w:val="002C30CE"/>
    <w:rsid w:val="002C30D8"/>
    <w:rsid w:val="002C331D"/>
    <w:rsid w:val="002C37B4"/>
    <w:rsid w:val="002C3A82"/>
    <w:rsid w:val="002C3DE8"/>
    <w:rsid w:val="002C4998"/>
    <w:rsid w:val="002C4C74"/>
    <w:rsid w:val="002C5452"/>
    <w:rsid w:val="002C5BF0"/>
    <w:rsid w:val="002C5C9A"/>
    <w:rsid w:val="002C5D10"/>
    <w:rsid w:val="002C61F6"/>
    <w:rsid w:val="002C63F3"/>
    <w:rsid w:val="002C7202"/>
    <w:rsid w:val="002C74EF"/>
    <w:rsid w:val="002C7504"/>
    <w:rsid w:val="002C760D"/>
    <w:rsid w:val="002C7D82"/>
    <w:rsid w:val="002D0CD2"/>
    <w:rsid w:val="002D0D73"/>
    <w:rsid w:val="002D16E8"/>
    <w:rsid w:val="002D1C4D"/>
    <w:rsid w:val="002D1D8C"/>
    <w:rsid w:val="002D1DEA"/>
    <w:rsid w:val="002D20E3"/>
    <w:rsid w:val="002D28CD"/>
    <w:rsid w:val="002D2D77"/>
    <w:rsid w:val="002D350A"/>
    <w:rsid w:val="002D3748"/>
    <w:rsid w:val="002D39F2"/>
    <w:rsid w:val="002D42BD"/>
    <w:rsid w:val="002D434A"/>
    <w:rsid w:val="002D43CB"/>
    <w:rsid w:val="002D4749"/>
    <w:rsid w:val="002D4A85"/>
    <w:rsid w:val="002D4FB3"/>
    <w:rsid w:val="002D5072"/>
    <w:rsid w:val="002D5420"/>
    <w:rsid w:val="002D6A88"/>
    <w:rsid w:val="002D6B55"/>
    <w:rsid w:val="002D6C8E"/>
    <w:rsid w:val="002D6D12"/>
    <w:rsid w:val="002D709E"/>
    <w:rsid w:val="002D795F"/>
    <w:rsid w:val="002D7A6A"/>
    <w:rsid w:val="002D7F37"/>
    <w:rsid w:val="002E01A5"/>
    <w:rsid w:val="002E119B"/>
    <w:rsid w:val="002E14E0"/>
    <w:rsid w:val="002E1A8D"/>
    <w:rsid w:val="002E1BC4"/>
    <w:rsid w:val="002E1CBD"/>
    <w:rsid w:val="002E1E1B"/>
    <w:rsid w:val="002E1E84"/>
    <w:rsid w:val="002E2133"/>
    <w:rsid w:val="002E214F"/>
    <w:rsid w:val="002E2293"/>
    <w:rsid w:val="002E2B26"/>
    <w:rsid w:val="002E2D9F"/>
    <w:rsid w:val="002E3193"/>
    <w:rsid w:val="002E32A6"/>
    <w:rsid w:val="002E373E"/>
    <w:rsid w:val="002E3767"/>
    <w:rsid w:val="002E3848"/>
    <w:rsid w:val="002E3F6D"/>
    <w:rsid w:val="002E5186"/>
    <w:rsid w:val="002E51D5"/>
    <w:rsid w:val="002E52B4"/>
    <w:rsid w:val="002E52DE"/>
    <w:rsid w:val="002E5634"/>
    <w:rsid w:val="002E56E8"/>
    <w:rsid w:val="002E5B00"/>
    <w:rsid w:val="002E5B45"/>
    <w:rsid w:val="002E5CC8"/>
    <w:rsid w:val="002E5E00"/>
    <w:rsid w:val="002E6167"/>
    <w:rsid w:val="002E7EA9"/>
    <w:rsid w:val="002F00ED"/>
    <w:rsid w:val="002F0119"/>
    <w:rsid w:val="002F0B1A"/>
    <w:rsid w:val="002F1073"/>
    <w:rsid w:val="002F18A5"/>
    <w:rsid w:val="002F1B84"/>
    <w:rsid w:val="002F1F70"/>
    <w:rsid w:val="002F2B2E"/>
    <w:rsid w:val="002F2F95"/>
    <w:rsid w:val="002F3447"/>
    <w:rsid w:val="002F3620"/>
    <w:rsid w:val="002F36AE"/>
    <w:rsid w:val="002F402E"/>
    <w:rsid w:val="002F48EB"/>
    <w:rsid w:val="002F4BFB"/>
    <w:rsid w:val="002F532F"/>
    <w:rsid w:val="002F58D5"/>
    <w:rsid w:val="002F61ED"/>
    <w:rsid w:val="002F68A1"/>
    <w:rsid w:val="002F7F55"/>
    <w:rsid w:val="003014F1"/>
    <w:rsid w:val="00301C09"/>
    <w:rsid w:val="00301EFF"/>
    <w:rsid w:val="00302930"/>
    <w:rsid w:val="0030379E"/>
    <w:rsid w:val="003039FC"/>
    <w:rsid w:val="00303E8E"/>
    <w:rsid w:val="00303F2C"/>
    <w:rsid w:val="00303FB3"/>
    <w:rsid w:val="00304975"/>
    <w:rsid w:val="00305002"/>
    <w:rsid w:val="003052A0"/>
    <w:rsid w:val="00305385"/>
    <w:rsid w:val="00306785"/>
    <w:rsid w:val="00306BFF"/>
    <w:rsid w:val="00306C35"/>
    <w:rsid w:val="003070C3"/>
    <w:rsid w:val="0030778F"/>
    <w:rsid w:val="003078FA"/>
    <w:rsid w:val="00307905"/>
    <w:rsid w:val="00307D8E"/>
    <w:rsid w:val="00310401"/>
    <w:rsid w:val="00310DAF"/>
    <w:rsid w:val="00310FB9"/>
    <w:rsid w:val="003115B8"/>
    <w:rsid w:val="0031177E"/>
    <w:rsid w:val="00312480"/>
    <w:rsid w:val="00312C8A"/>
    <w:rsid w:val="00312E64"/>
    <w:rsid w:val="00312FD3"/>
    <w:rsid w:val="0031343A"/>
    <w:rsid w:val="003137FD"/>
    <w:rsid w:val="003139C2"/>
    <w:rsid w:val="00314B0D"/>
    <w:rsid w:val="0031536C"/>
    <w:rsid w:val="00315F80"/>
    <w:rsid w:val="0031642A"/>
    <w:rsid w:val="003165DF"/>
    <w:rsid w:val="00316809"/>
    <w:rsid w:val="00316BAE"/>
    <w:rsid w:val="00316CE5"/>
    <w:rsid w:val="0031710C"/>
    <w:rsid w:val="0031750E"/>
    <w:rsid w:val="0032068E"/>
    <w:rsid w:val="00320C8C"/>
    <w:rsid w:val="00320F55"/>
    <w:rsid w:val="003211CD"/>
    <w:rsid w:val="0032163B"/>
    <w:rsid w:val="00321857"/>
    <w:rsid w:val="003218A9"/>
    <w:rsid w:val="00322AF4"/>
    <w:rsid w:val="00322C6F"/>
    <w:rsid w:val="00322D8B"/>
    <w:rsid w:val="003230A6"/>
    <w:rsid w:val="00323489"/>
    <w:rsid w:val="003234A5"/>
    <w:rsid w:val="00323A1B"/>
    <w:rsid w:val="00323CAD"/>
    <w:rsid w:val="0032442A"/>
    <w:rsid w:val="0032465B"/>
    <w:rsid w:val="003248CB"/>
    <w:rsid w:val="00325B9C"/>
    <w:rsid w:val="00326860"/>
    <w:rsid w:val="00326B84"/>
    <w:rsid w:val="00327196"/>
    <w:rsid w:val="003273C0"/>
    <w:rsid w:val="00327663"/>
    <w:rsid w:val="00330D10"/>
    <w:rsid w:val="00330F4E"/>
    <w:rsid w:val="003312E7"/>
    <w:rsid w:val="0033133C"/>
    <w:rsid w:val="00331489"/>
    <w:rsid w:val="00331821"/>
    <w:rsid w:val="00331978"/>
    <w:rsid w:val="00331CCD"/>
    <w:rsid w:val="0033421A"/>
    <w:rsid w:val="0033515B"/>
    <w:rsid w:val="00335EA7"/>
    <w:rsid w:val="003363CE"/>
    <w:rsid w:val="00337798"/>
    <w:rsid w:val="00337F3A"/>
    <w:rsid w:val="00340159"/>
    <w:rsid w:val="003403E0"/>
    <w:rsid w:val="00340482"/>
    <w:rsid w:val="003409F9"/>
    <w:rsid w:val="00341197"/>
    <w:rsid w:val="003411C1"/>
    <w:rsid w:val="00341262"/>
    <w:rsid w:val="003415CF"/>
    <w:rsid w:val="0034230E"/>
    <w:rsid w:val="00342601"/>
    <w:rsid w:val="00342FE0"/>
    <w:rsid w:val="00343B12"/>
    <w:rsid w:val="00344CBD"/>
    <w:rsid w:val="00344D84"/>
    <w:rsid w:val="00345734"/>
    <w:rsid w:val="00345A6C"/>
    <w:rsid w:val="00345B11"/>
    <w:rsid w:val="003478FB"/>
    <w:rsid w:val="0035042B"/>
    <w:rsid w:val="00351059"/>
    <w:rsid w:val="0035117A"/>
    <w:rsid w:val="00351372"/>
    <w:rsid w:val="003518D2"/>
    <w:rsid w:val="00351CCF"/>
    <w:rsid w:val="00352010"/>
    <w:rsid w:val="00352150"/>
    <w:rsid w:val="003524C2"/>
    <w:rsid w:val="00352572"/>
    <w:rsid w:val="003528A5"/>
    <w:rsid w:val="0035377E"/>
    <w:rsid w:val="0035388D"/>
    <w:rsid w:val="00353A06"/>
    <w:rsid w:val="003540F0"/>
    <w:rsid w:val="00354D12"/>
    <w:rsid w:val="003553B1"/>
    <w:rsid w:val="00355422"/>
    <w:rsid w:val="00355834"/>
    <w:rsid w:val="00355AEF"/>
    <w:rsid w:val="00355AF4"/>
    <w:rsid w:val="003569DD"/>
    <w:rsid w:val="003571A0"/>
    <w:rsid w:val="003571CA"/>
    <w:rsid w:val="00357B9F"/>
    <w:rsid w:val="00357D3D"/>
    <w:rsid w:val="00360F12"/>
    <w:rsid w:val="00360F18"/>
    <w:rsid w:val="00361279"/>
    <w:rsid w:val="00361651"/>
    <w:rsid w:val="00361B9C"/>
    <w:rsid w:val="00361EC3"/>
    <w:rsid w:val="003620D0"/>
    <w:rsid w:val="003622A4"/>
    <w:rsid w:val="003622B4"/>
    <w:rsid w:val="003622ED"/>
    <w:rsid w:val="00362879"/>
    <w:rsid w:val="00362B05"/>
    <w:rsid w:val="003630EA"/>
    <w:rsid w:val="003631EE"/>
    <w:rsid w:val="003636A9"/>
    <w:rsid w:val="0036379A"/>
    <w:rsid w:val="00363B27"/>
    <w:rsid w:val="00364713"/>
    <w:rsid w:val="003654B6"/>
    <w:rsid w:val="00365C46"/>
    <w:rsid w:val="00365D33"/>
    <w:rsid w:val="00366A40"/>
    <w:rsid w:val="003720E4"/>
    <w:rsid w:val="00372261"/>
    <w:rsid w:val="003727D0"/>
    <w:rsid w:val="003727FF"/>
    <w:rsid w:val="0037295A"/>
    <w:rsid w:val="003738E0"/>
    <w:rsid w:val="00375C2D"/>
    <w:rsid w:val="00376A8E"/>
    <w:rsid w:val="00377076"/>
    <w:rsid w:val="00377AFF"/>
    <w:rsid w:val="00380C54"/>
    <w:rsid w:val="00380D59"/>
    <w:rsid w:val="00380EDC"/>
    <w:rsid w:val="0038124D"/>
    <w:rsid w:val="00381A8E"/>
    <w:rsid w:val="00381B1A"/>
    <w:rsid w:val="0038251D"/>
    <w:rsid w:val="00383247"/>
    <w:rsid w:val="00383ACF"/>
    <w:rsid w:val="00383DE0"/>
    <w:rsid w:val="003842E5"/>
    <w:rsid w:val="0038454A"/>
    <w:rsid w:val="0038472F"/>
    <w:rsid w:val="00384895"/>
    <w:rsid w:val="00384B4C"/>
    <w:rsid w:val="00384CB5"/>
    <w:rsid w:val="00386814"/>
    <w:rsid w:val="00387712"/>
    <w:rsid w:val="0038783B"/>
    <w:rsid w:val="00387ECC"/>
    <w:rsid w:val="00390B82"/>
    <w:rsid w:val="00390E2C"/>
    <w:rsid w:val="0039198C"/>
    <w:rsid w:val="00391A43"/>
    <w:rsid w:val="0039258B"/>
    <w:rsid w:val="00392E07"/>
    <w:rsid w:val="00394652"/>
    <w:rsid w:val="00395340"/>
    <w:rsid w:val="0039558E"/>
    <w:rsid w:val="00395823"/>
    <w:rsid w:val="00395E27"/>
    <w:rsid w:val="00395F86"/>
    <w:rsid w:val="0039638B"/>
    <w:rsid w:val="00396D12"/>
    <w:rsid w:val="003973C4"/>
    <w:rsid w:val="003A019B"/>
    <w:rsid w:val="003A0651"/>
    <w:rsid w:val="003A09C2"/>
    <w:rsid w:val="003A0A91"/>
    <w:rsid w:val="003A0B89"/>
    <w:rsid w:val="003A0D9D"/>
    <w:rsid w:val="003A0F89"/>
    <w:rsid w:val="003A1FB7"/>
    <w:rsid w:val="003A2CDA"/>
    <w:rsid w:val="003A31B5"/>
    <w:rsid w:val="003A356B"/>
    <w:rsid w:val="003A39E9"/>
    <w:rsid w:val="003A3B74"/>
    <w:rsid w:val="003A5B4D"/>
    <w:rsid w:val="003A5C88"/>
    <w:rsid w:val="003A5D87"/>
    <w:rsid w:val="003A6360"/>
    <w:rsid w:val="003A657C"/>
    <w:rsid w:val="003A6BA2"/>
    <w:rsid w:val="003A6C62"/>
    <w:rsid w:val="003A7847"/>
    <w:rsid w:val="003B1542"/>
    <w:rsid w:val="003B1B91"/>
    <w:rsid w:val="003B1C54"/>
    <w:rsid w:val="003B1CEF"/>
    <w:rsid w:val="003B1E74"/>
    <w:rsid w:val="003B24F6"/>
    <w:rsid w:val="003B2567"/>
    <w:rsid w:val="003B2B7F"/>
    <w:rsid w:val="003B2C30"/>
    <w:rsid w:val="003B2FBC"/>
    <w:rsid w:val="003B37C3"/>
    <w:rsid w:val="003B3807"/>
    <w:rsid w:val="003B39D5"/>
    <w:rsid w:val="003B44D8"/>
    <w:rsid w:val="003B4564"/>
    <w:rsid w:val="003B4662"/>
    <w:rsid w:val="003B4F70"/>
    <w:rsid w:val="003B5DC6"/>
    <w:rsid w:val="003B6531"/>
    <w:rsid w:val="003B6831"/>
    <w:rsid w:val="003C0C64"/>
    <w:rsid w:val="003C1F00"/>
    <w:rsid w:val="003C2501"/>
    <w:rsid w:val="003C2715"/>
    <w:rsid w:val="003C28C9"/>
    <w:rsid w:val="003C326A"/>
    <w:rsid w:val="003C36B7"/>
    <w:rsid w:val="003C3835"/>
    <w:rsid w:val="003C3F2A"/>
    <w:rsid w:val="003C477A"/>
    <w:rsid w:val="003C5ACD"/>
    <w:rsid w:val="003C5BF9"/>
    <w:rsid w:val="003C6446"/>
    <w:rsid w:val="003C681A"/>
    <w:rsid w:val="003C6A00"/>
    <w:rsid w:val="003C6BE5"/>
    <w:rsid w:val="003C6FBD"/>
    <w:rsid w:val="003C75A8"/>
    <w:rsid w:val="003C77F5"/>
    <w:rsid w:val="003D028C"/>
    <w:rsid w:val="003D057C"/>
    <w:rsid w:val="003D0BB8"/>
    <w:rsid w:val="003D0D74"/>
    <w:rsid w:val="003D1168"/>
    <w:rsid w:val="003D1948"/>
    <w:rsid w:val="003D1952"/>
    <w:rsid w:val="003D1AF8"/>
    <w:rsid w:val="003D1D1A"/>
    <w:rsid w:val="003D27E2"/>
    <w:rsid w:val="003D30A2"/>
    <w:rsid w:val="003D3438"/>
    <w:rsid w:val="003D3E80"/>
    <w:rsid w:val="003D3FC4"/>
    <w:rsid w:val="003D470A"/>
    <w:rsid w:val="003D52A8"/>
    <w:rsid w:val="003D54F0"/>
    <w:rsid w:val="003D55DB"/>
    <w:rsid w:val="003D6DEA"/>
    <w:rsid w:val="003D70A7"/>
    <w:rsid w:val="003D73A5"/>
    <w:rsid w:val="003D7E15"/>
    <w:rsid w:val="003E0104"/>
    <w:rsid w:val="003E0A6E"/>
    <w:rsid w:val="003E0B76"/>
    <w:rsid w:val="003E1049"/>
    <w:rsid w:val="003E157E"/>
    <w:rsid w:val="003E1BC2"/>
    <w:rsid w:val="003E2716"/>
    <w:rsid w:val="003E2B9D"/>
    <w:rsid w:val="003E2CA8"/>
    <w:rsid w:val="003E2DCF"/>
    <w:rsid w:val="003E3657"/>
    <w:rsid w:val="003E3ADD"/>
    <w:rsid w:val="003E411B"/>
    <w:rsid w:val="003E43EB"/>
    <w:rsid w:val="003E50DD"/>
    <w:rsid w:val="003E53CA"/>
    <w:rsid w:val="003E58DA"/>
    <w:rsid w:val="003E67EA"/>
    <w:rsid w:val="003E73E7"/>
    <w:rsid w:val="003F06E1"/>
    <w:rsid w:val="003F06FC"/>
    <w:rsid w:val="003F0CA1"/>
    <w:rsid w:val="003F0EE4"/>
    <w:rsid w:val="003F1AD6"/>
    <w:rsid w:val="003F1C52"/>
    <w:rsid w:val="003F1D83"/>
    <w:rsid w:val="003F2267"/>
    <w:rsid w:val="003F38C4"/>
    <w:rsid w:val="003F46A6"/>
    <w:rsid w:val="003F48BB"/>
    <w:rsid w:val="003F5071"/>
    <w:rsid w:val="003F5632"/>
    <w:rsid w:val="003F59BF"/>
    <w:rsid w:val="003F5AC3"/>
    <w:rsid w:val="003F5B86"/>
    <w:rsid w:val="003F5DCC"/>
    <w:rsid w:val="003F63F4"/>
    <w:rsid w:val="003F64B5"/>
    <w:rsid w:val="003F7226"/>
    <w:rsid w:val="003F798F"/>
    <w:rsid w:val="003F7A06"/>
    <w:rsid w:val="00401797"/>
    <w:rsid w:val="00401BCE"/>
    <w:rsid w:val="00401E28"/>
    <w:rsid w:val="004023C6"/>
    <w:rsid w:val="004028A7"/>
    <w:rsid w:val="00402A0E"/>
    <w:rsid w:val="00402DE2"/>
    <w:rsid w:val="0040316C"/>
    <w:rsid w:val="00403361"/>
    <w:rsid w:val="00403B3D"/>
    <w:rsid w:val="0040426A"/>
    <w:rsid w:val="00404626"/>
    <w:rsid w:val="00404EE5"/>
    <w:rsid w:val="00404FC8"/>
    <w:rsid w:val="0040513B"/>
    <w:rsid w:val="00405882"/>
    <w:rsid w:val="004069D5"/>
    <w:rsid w:val="00406D3A"/>
    <w:rsid w:val="00406E03"/>
    <w:rsid w:val="00406FC6"/>
    <w:rsid w:val="0040779D"/>
    <w:rsid w:val="004077BF"/>
    <w:rsid w:val="00407CF5"/>
    <w:rsid w:val="0041046D"/>
    <w:rsid w:val="0041070A"/>
    <w:rsid w:val="004108CA"/>
    <w:rsid w:val="00410ACB"/>
    <w:rsid w:val="00410BD2"/>
    <w:rsid w:val="00411AAE"/>
    <w:rsid w:val="0041234B"/>
    <w:rsid w:val="00413215"/>
    <w:rsid w:val="0041366B"/>
    <w:rsid w:val="00413B4F"/>
    <w:rsid w:val="00413DAE"/>
    <w:rsid w:val="00414564"/>
    <w:rsid w:val="004147B6"/>
    <w:rsid w:val="00415141"/>
    <w:rsid w:val="00415ADE"/>
    <w:rsid w:val="0041618B"/>
    <w:rsid w:val="00416482"/>
    <w:rsid w:val="004168A6"/>
    <w:rsid w:val="004168E7"/>
    <w:rsid w:val="00416970"/>
    <w:rsid w:val="00416CCE"/>
    <w:rsid w:val="0041787A"/>
    <w:rsid w:val="00417EE4"/>
    <w:rsid w:val="004206EA"/>
    <w:rsid w:val="00420BB8"/>
    <w:rsid w:val="004211DD"/>
    <w:rsid w:val="00421BB3"/>
    <w:rsid w:val="00421BBE"/>
    <w:rsid w:val="00421D65"/>
    <w:rsid w:val="00422268"/>
    <w:rsid w:val="00422BD5"/>
    <w:rsid w:val="00423A2C"/>
    <w:rsid w:val="00423B57"/>
    <w:rsid w:val="00423E84"/>
    <w:rsid w:val="004250A1"/>
    <w:rsid w:val="004255C9"/>
    <w:rsid w:val="00425AD9"/>
    <w:rsid w:val="00425E82"/>
    <w:rsid w:val="00426D8D"/>
    <w:rsid w:val="00426DC4"/>
    <w:rsid w:val="00426F0A"/>
    <w:rsid w:val="00427182"/>
    <w:rsid w:val="00427AFC"/>
    <w:rsid w:val="00427BF2"/>
    <w:rsid w:val="00427DE9"/>
    <w:rsid w:val="00427F10"/>
    <w:rsid w:val="00430051"/>
    <w:rsid w:val="004306F1"/>
    <w:rsid w:val="00430FA7"/>
    <w:rsid w:val="0043127C"/>
    <w:rsid w:val="004314EE"/>
    <w:rsid w:val="004319FE"/>
    <w:rsid w:val="00432F0F"/>
    <w:rsid w:val="00432F6F"/>
    <w:rsid w:val="004333BB"/>
    <w:rsid w:val="00433DA1"/>
    <w:rsid w:val="004347A9"/>
    <w:rsid w:val="00434839"/>
    <w:rsid w:val="00434EF8"/>
    <w:rsid w:val="004354C2"/>
    <w:rsid w:val="00435725"/>
    <w:rsid w:val="00436022"/>
    <w:rsid w:val="0043694F"/>
    <w:rsid w:val="00436A6C"/>
    <w:rsid w:val="00440F01"/>
    <w:rsid w:val="00441AF3"/>
    <w:rsid w:val="004423C4"/>
    <w:rsid w:val="00442C9B"/>
    <w:rsid w:val="0044334B"/>
    <w:rsid w:val="00443D83"/>
    <w:rsid w:val="00444D2B"/>
    <w:rsid w:val="00445282"/>
    <w:rsid w:val="00445645"/>
    <w:rsid w:val="0044577E"/>
    <w:rsid w:val="004457E2"/>
    <w:rsid w:val="004458A7"/>
    <w:rsid w:val="00445D3B"/>
    <w:rsid w:val="00445D56"/>
    <w:rsid w:val="0044600C"/>
    <w:rsid w:val="00446296"/>
    <w:rsid w:val="00446CCF"/>
    <w:rsid w:val="00447058"/>
    <w:rsid w:val="004471FE"/>
    <w:rsid w:val="00447371"/>
    <w:rsid w:val="004474FE"/>
    <w:rsid w:val="00447A0C"/>
    <w:rsid w:val="004505DA"/>
    <w:rsid w:val="0045062A"/>
    <w:rsid w:val="0045062E"/>
    <w:rsid w:val="0045092B"/>
    <w:rsid w:val="00450C41"/>
    <w:rsid w:val="00451554"/>
    <w:rsid w:val="004529F4"/>
    <w:rsid w:val="00452F73"/>
    <w:rsid w:val="004530B5"/>
    <w:rsid w:val="0045349A"/>
    <w:rsid w:val="00453781"/>
    <w:rsid w:val="004539B7"/>
    <w:rsid w:val="00453EF9"/>
    <w:rsid w:val="004546BE"/>
    <w:rsid w:val="00454921"/>
    <w:rsid w:val="00454F07"/>
    <w:rsid w:val="00455597"/>
    <w:rsid w:val="00455C3C"/>
    <w:rsid w:val="0045631B"/>
    <w:rsid w:val="00456625"/>
    <w:rsid w:val="0046066E"/>
    <w:rsid w:val="00460ABD"/>
    <w:rsid w:val="00461522"/>
    <w:rsid w:val="00461FFC"/>
    <w:rsid w:val="00462431"/>
    <w:rsid w:val="004632FC"/>
    <w:rsid w:val="004635C6"/>
    <w:rsid w:val="0046381F"/>
    <w:rsid w:val="00463BD6"/>
    <w:rsid w:val="0046443E"/>
    <w:rsid w:val="004644E4"/>
    <w:rsid w:val="004655E1"/>
    <w:rsid w:val="00465BF8"/>
    <w:rsid w:val="0046619D"/>
    <w:rsid w:val="004667C3"/>
    <w:rsid w:val="004673B3"/>
    <w:rsid w:val="004677F4"/>
    <w:rsid w:val="00467A64"/>
    <w:rsid w:val="00467C0C"/>
    <w:rsid w:val="00467C8E"/>
    <w:rsid w:val="00467D0E"/>
    <w:rsid w:val="00470E15"/>
    <w:rsid w:val="00471142"/>
    <w:rsid w:val="004717B8"/>
    <w:rsid w:val="004739DF"/>
    <w:rsid w:val="00473AA9"/>
    <w:rsid w:val="00474793"/>
    <w:rsid w:val="00474CB7"/>
    <w:rsid w:val="00474EB0"/>
    <w:rsid w:val="00475440"/>
    <w:rsid w:val="0047680B"/>
    <w:rsid w:val="00477165"/>
    <w:rsid w:val="0047720B"/>
    <w:rsid w:val="004775C8"/>
    <w:rsid w:val="00477BB9"/>
    <w:rsid w:val="0048057A"/>
    <w:rsid w:val="00480F05"/>
    <w:rsid w:val="00481CE2"/>
    <w:rsid w:val="00482EA2"/>
    <w:rsid w:val="00483410"/>
    <w:rsid w:val="004838D0"/>
    <w:rsid w:val="00484A72"/>
    <w:rsid w:val="00484CC8"/>
    <w:rsid w:val="004850DF"/>
    <w:rsid w:val="00485AED"/>
    <w:rsid w:val="00485D98"/>
    <w:rsid w:val="00485F8E"/>
    <w:rsid w:val="00486C20"/>
    <w:rsid w:val="00487022"/>
    <w:rsid w:val="004877C9"/>
    <w:rsid w:val="004908D2"/>
    <w:rsid w:val="00490E44"/>
    <w:rsid w:val="004914AF"/>
    <w:rsid w:val="004917D3"/>
    <w:rsid w:val="00492605"/>
    <w:rsid w:val="00493263"/>
    <w:rsid w:val="004938B7"/>
    <w:rsid w:val="00493FF4"/>
    <w:rsid w:val="0049469F"/>
    <w:rsid w:val="004948E4"/>
    <w:rsid w:val="00494E2B"/>
    <w:rsid w:val="004952D0"/>
    <w:rsid w:val="00495FE5"/>
    <w:rsid w:val="00496159"/>
    <w:rsid w:val="004962D3"/>
    <w:rsid w:val="00496A7B"/>
    <w:rsid w:val="004977BF"/>
    <w:rsid w:val="004A01AE"/>
    <w:rsid w:val="004A04E8"/>
    <w:rsid w:val="004A0CBE"/>
    <w:rsid w:val="004A184D"/>
    <w:rsid w:val="004A186A"/>
    <w:rsid w:val="004A1B84"/>
    <w:rsid w:val="004A28FA"/>
    <w:rsid w:val="004A2C36"/>
    <w:rsid w:val="004A3692"/>
    <w:rsid w:val="004A3CAD"/>
    <w:rsid w:val="004A3D32"/>
    <w:rsid w:val="004A3D78"/>
    <w:rsid w:val="004A5278"/>
    <w:rsid w:val="004A5E09"/>
    <w:rsid w:val="004A5FB4"/>
    <w:rsid w:val="004A664D"/>
    <w:rsid w:val="004A705D"/>
    <w:rsid w:val="004B0C72"/>
    <w:rsid w:val="004B0EAC"/>
    <w:rsid w:val="004B14DB"/>
    <w:rsid w:val="004B19D8"/>
    <w:rsid w:val="004B1B3E"/>
    <w:rsid w:val="004B280F"/>
    <w:rsid w:val="004B2D05"/>
    <w:rsid w:val="004B2E53"/>
    <w:rsid w:val="004B3571"/>
    <w:rsid w:val="004B3DB5"/>
    <w:rsid w:val="004B4116"/>
    <w:rsid w:val="004B4F4B"/>
    <w:rsid w:val="004B564B"/>
    <w:rsid w:val="004B57F7"/>
    <w:rsid w:val="004B65A0"/>
    <w:rsid w:val="004B667E"/>
    <w:rsid w:val="004B716F"/>
    <w:rsid w:val="004C01E2"/>
    <w:rsid w:val="004C0E8C"/>
    <w:rsid w:val="004C1014"/>
    <w:rsid w:val="004C10F7"/>
    <w:rsid w:val="004C1A51"/>
    <w:rsid w:val="004C1EDA"/>
    <w:rsid w:val="004C2D81"/>
    <w:rsid w:val="004C378A"/>
    <w:rsid w:val="004C388C"/>
    <w:rsid w:val="004C38C1"/>
    <w:rsid w:val="004C4876"/>
    <w:rsid w:val="004C5333"/>
    <w:rsid w:val="004C55DE"/>
    <w:rsid w:val="004C5A88"/>
    <w:rsid w:val="004C5C3B"/>
    <w:rsid w:val="004C6214"/>
    <w:rsid w:val="004C6316"/>
    <w:rsid w:val="004C6426"/>
    <w:rsid w:val="004C6791"/>
    <w:rsid w:val="004C6B4E"/>
    <w:rsid w:val="004C6DF1"/>
    <w:rsid w:val="004C6EBF"/>
    <w:rsid w:val="004C7DD1"/>
    <w:rsid w:val="004D06BE"/>
    <w:rsid w:val="004D0A35"/>
    <w:rsid w:val="004D0C86"/>
    <w:rsid w:val="004D0EF5"/>
    <w:rsid w:val="004D0FE4"/>
    <w:rsid w:val="004D179A"/>
    <w:rsid w:val="004D1A64"/>
    <w:rsid w:val="004D1C31"/>
    <w:rsid w:val="004D231E"/>
    <w:rsid w:val="004D26D7"/>
    <w:rsid w:val="004D2C69"/>
    <w:rsid w:val="004D330C"/>
    <w:rsid w:val="004D35A5"/>
    <w:rsid w:val="004D4446"/>
    <w:rsid w:val="004D4576"/>
    <w:rsid w:val="004D48F9"/>
    <w:rsid w:val="004D4B88"/>
    <w:rsid w:val="004D4C37"/>
    <w:rsid w:val="004D5650"/>
    <w:rsid w:val="004D5CAA"/>
    <w:rsid w:val="004D5CBC"/>
    <w:rsid w:val="004D60B9"/>
    <w:rsid w:val="004D6908"/>
    <w:rsid w:val="004D6C13"/>
    <w:rsid w:val="004D6F8C"/>
    <w:rsid w:val="004D702A"/>
    <w:rsid w:val="004D787E"/>
    <w:rsid w:val="004E0172"/>
    <w:rsid w:val="004E04F0"/>
    <w:rsid w:val="004E17F6"/>
    <w:rsid w:val="004E1BDC"/>
    <w:rsid w:val="004E1FA9"/>
    <w:rsid w:val="004E2605"/>
    <w:rsid w:val="004E2C56"/>
    <w:rsid w:val="004E58C0"/>
    <w:rsid w:val="004E642B"/>
    <w:rsid w:val="004E704C"/>
    <w:rsid w:val="004E76FC"/>
    <w:rsid w:val="004E7FB8"/>
    <w:rsid w:val="004F0221"/>
    <w:rsid w:val="004F0344"/>
    <w:rsid w:val="004F0CF4"/>
    <w:rsid w:val="004F0D84"/>
    <w:rsid w:val="004F0ED1"/>
    <w:rsid w:val="004F0F88"/>
    <w:rsid w:val="004F118C"/>
    <w:rsid w:val="004F156F"/>
    <w:rsid w:val="004F1806"/>
    <w:rsid w:val="004F33E4"/>
    <w:rsid w:val="004F3A1E"/>
    <w:rsid w:val="004F3A59"/>
    <w:rsid w:val="004F3C93"/>
    <w:rsid w:val="004F3D80"/>
    <w:rsid w:val="004F47A0"/>
    <w:rsid w:val="004F48EB"/>
    <w:rsid w:val="004F4A35"/>
    <w:rsid w:val="004F6186"/>
    <w:rsid w:val="004F6879"/>
    <w:rsid w:val="004F688D"/>
    <w:rsid w:val="004F7149"/>
    <w:rsid w:val="004F7547"/>
    <w:rsid w:val="00500118"/>
    <w:rsid w:val="00500F83"/>
    <w:rsid w:val="00501120"/>
    <w:rsid w:val="00502079"/>
    <w:rsid w:val="0050269A"/>
    <w:rsid w:val="00502839"/>
    <w:rsid w:val="00503192"/>
    <w:rsid w:val="00504091"/>
    <w:rsid w:val="00505077"/>
    <w:rsid w:val="00505472"/>
    <w:rsid w:val="0050596B"/>
    <w:rsid w:val="00505FCE"/>
    <w:rsid w:val="00506044"/>
    <w:rsid w:val="0050677C"/>
    <w:rsid w:val="005067B4"/>
    <w:rsid w:val="00506C8A"/>
    <w:rsid w:val="00506F4F"/>
    <w:rsid w:val="00507488"/>
    <w:rsid w:val="00507B31"/>
    <w:rsid w:val="005100A5"/>
    <w:rsid w:val="005113CF"/>
    <w:rsid w:val="00511E19"/>
    <w:rsid w:val="00511E48"/>
    <w:rsid w:val="005125B4"/>
    <w:rsid w:val="00512638"/>
    <w:rsid w:val="005126BD"/>
    <w:rsid w:val="00512768"/>
    <w:rsid w:val="005129C7"/>
    <w:rsid w:val="005135B1"/>
    <w:rsid w:val="005136DC"/>
    <w:rsid w:val="00513C14"/>
    <w:rsid w:val="00514E43"/>
    <w:rsid w:val="00514F28"/>
    <w:rsid w:val="00515E43"/>
    <w:rsid w:val="00516165"/>
    <w:rsid w:val="005165E1"/>
    <w:rsid w:val="005174EA"/>
    <w:rsid w:val="00517741"/>
    <w:rsid w:val="0051788B"/>
    <w:rsid w:val="00517EF0"/>
    <w:rsid w:val="00520BDC"/>
    <w:rsid w:val="00521260"/>
    <w:rsid w:val="00521B8D"/>
    <w:rsid w:val="0052263D"/>
    <w:rsid w:val="00522C44"/>
    <w:rsid w:val="00522D49"/>
    <w:rsid w:val="005231D8"/>
    <w:rsid w:val="005232F8"/>
    <w:rsid w:val="0052342C"/>
    <w:rsid w:val="0052383F"/>
    <w:rsid w:val="00523D27"/>
    <w:rsid w:val="0052419D"/>
    <w:rsid w:val="00524438"/>
    <w:rsid w:val="00524C7D"/>
    <w:rsid w:val="0052521A"/>
    <w:rsid w:val="00525241"/>
    <w:rsid w:val="005257FE"/>
    <w:rsid w:val="00526036"/>
    <w:rsid w:val="005260D9"/>
    <w:rsid w:val="00526527"/>
    <w:rsid w:val="00526CA4"/>
    <w:rsid w:val="00526D72"/>
    <w:rsid w:val="00526FC0"/>
    <w:rsid w:val="0052704C"/>
    <w:rsid w:val="0052745F"/>
    <w:rsid w:val="0052783B"/>
    <w:rsid w:val="00527F4F"/>
    <w:rsid w:val="00527F7F"/>
    <w:rsid w:val="00530762"/>
    <w:rsid w:val="00531185"/>
    <w:rsid w:val="00531F64"/>
    <w:rsid w:val="005329AC"/>
    <w:rsid w:val="00532F46"/>
    <w:rsid w:val="00533581"/>
    <w:rsid w:val="00533752"/>
    <w:rsid w:val="005343E8"/>
    <w:rsid w:val="00534565"/>
    <w:rsid w:val="005345F4"/>
    <w:rsid w:val="005349BD"/>
    <w:rsid w:val="00534DF4"/>
    <w:rsid w:val="00534E4C"/>
    <w:rsid w:val="00535DA6"/>
    <w:rsid w:val="00536F78"/>
    <w:rsid w:val="005374BC"/>
    <w:rsid w:val="00537B6D"/>
    <w:rsid w:val="00540F6A"/>
    <w:rsid w:val="00541FF7"/>
    <w:rsid w:val="0054250F"/>
    <w:rsid w:val="0054323E"/>
    <w:rsid w:val="0054342E"/>
    <w:rsid w:val="0054361C"/>
    <w:rsid w:val="00543903"/>
    <w:rsid w:val="0054417B"/>
    <w:rsid w:val="005448A0"/>
    <w:rsid w:val="005449B1"/>
    <w:rsid w:val="00544E23"/>
    <w:rsid w:val="00545003"/>
    <w:rsid w:val="00545A0E"/>
    <w:rsid w:val="00545BCB"/>
    <w:rsid w:val="00546E0F"/>
    <w:rsid w:val="00547829"/>
    <w:rsid w:val="00547965"/>
    <w:rsid w:val="00550663"/>
    <w:rsid w:val="00550D40"/>
    <w:rsid w:val="005511B9"/>
    <w:rsid w:val="00551347"/>
    <w:rsid w:val="00551B5B"/>
    <w:rsid w:val="00552693"/>
    <w:rsid w:val="00552A15"/>
    <w:rsid w:val="00553130"/>
    <w:rsid w:val="005534D7"/>
    <w:rsid w:val="005535A1"/>
    <w:rsid w:val="0055431B"/>
    <w:rsid w:val="0055476A"/>
    <w:rsid w:val="005547D0"/>
    <w:rsid w:val="0055483F"/>
    <w:rsid w:val="0055547A"/>
    <w:rsid w:val="005558D0"/>
    <w:rsid w:val="00556066"/>
    <w:rsid w:val="005572FF"/>
    <w:rsid w:val="00557362"/>
    <w:rsid w:val="00557522"/>
    <w:rsid w:val="00557F55"/>
    <w:rsid w:val="005606DD"/>
    <w:rsid w:val="00560DA5"/>
    <w:rsid w:val="005610BB"/>
    <w:rsid w:val="0056138A"/>
    <w:rsid w:val="005615D2"/>
    <w:rsid w:val="005619CD"/>
    <w:rsid w:val="00561EDE"/>
    <w:rsid w:val="0056234A"/>
    <w:rsid w:val="0056260F"/>
    <w:rsid w:val="005629B6"/>
    <w:rsid w:val="0056387A"/>
    <w:rsid w:val="00563C59"/>
    <w:rsid w:val="00564039"/>
    <w:rsid w:val="00564421"/>
    <w:rsid w:val="0056473D"/>
    <w:rsid w:val="0056487C"/>
    <w:rsid w:val="0056577F"/>
    <w:rsid w:val="00565D3E"/>
    <w:rsid w:val="005667BA"/>
    <w:rsid w:val="00567416"/>
    <w:rsid w:val="0057034C"/>
    <w:rsid w:val="005707AB"/>
    <w:rsid w:val="0057085F"/>
    <w:rsid w:val="005708D1"/>
    <w:rsid w:val="005709C4"/>
    <w:rsid w:val="00571542"/>
    <w:rsid w:val="00571CBD"/>
    <w:rsid w:val="005721EC"/>
    <w:rsid w:val="00572585"/>
    <w:rsid w:val="00572641"/>
    <w:rsid w:val="00572878"/>
    <w:rsid w:val="0057307E"/>
    <w:rsid w:val="005731D9"/>
    <w:rsid w:val="0057372C"/>
    <w:rsid w:val="00573C24"/>
    <w:rsid w:val="00573F1B"/>
    <w:rsid w:val="00573F5A"/>
    <w:rsid w:val="0057485D"/>
    <w:rsid w:val="005756B1"/>
    <w:rsid w:val="00575B0E"/>
    <w:rsid w:val="00575F68"/>
    <w:rsid w:val="00576072"/>
    <w:rsid w:val="00576194"/>
    <w:rsid w:val="0057679E"/>
    <w:rsid w:val="00576BD9"/>
    <w:rsid w:val="005800CA"/>
    <w:rsid w:val="00580835"/>
    <w:rsid w:val="00580B3C"/>
    <w:rsid w:val="005825AB"/>
    <w:rsid w:val="005833F6"/>
    <w:rsid w:val="00585C3F"/>
    <w:rsid w:val="00585EE2"/>
    <w:rsid w:val="0058764E"/>
    <w:rsid w:val="0059090C"/>
    <w:rsid w:val="00590BDC"/>
    <w:rsid w:val="0059133B"/>
    <w:rsid w:val="005915D6"/>
    <w:rsid w:val="00591B45"/>
    <w:rsid w:val="005924E6"/>
    <w:rsid w:val="005926BA"/>
    <w:rsid w:val="005927D6"/>
    <w:rsid w:val="00592A55"/>
    <w:rsid w:val="00592B75"/>
    <w:rsid w:val="00592E4D"/>
    <w:rsid w:val="005932B9"/>
    <w:rsid w:val="00594E0C"/>
    <w:rsid w:val="0059558B"/>
    <w:rsid w:val="005955C3"/>
    <w:rsid w:val="00595B69"/>
    <w:rsid w:val="00596121"/>
    <w:rsid w:val="00597515"/>
    <w:rsid w:val="00597C9E"/>
    <w:rsid w:val="005A0933"/>
    <w:rsid w:val="005A0DC9"/>
    <w:rsid w:val="005A1E0A"/>
    <w:rsid w:val="005A2AA2"/>
    <w:rsid w:val="005A40BE"/>
    <w:rsid w:val="005A46C4"/>
    <w:rsid w:val="005A4C82"/>
    <w:rsid w:val="005A5A11"/>
    <w:rsid w:val="005A5E1F"/>
    <w:rsid w:val="005A5FB4"/>
    <w:rsid w:val="005A6198"/>
    <w:rsid w:val="005A67F9"/>
    <w:rsid w:val="005A6EFF"/>
    <w:rsid w:val="005A7AC2"/>
    <w:rsid w:val="005B0501"/>
    <w:rsid w:val="005B0E14"/>
    <w:rsid w:val="005B1981"/>
    <w:rsid w:val="005B19DE"/>
    <w:rsid w:val="005B2083"/>
    <w:rsid w:val="005B3124"/>
    <w:rsid w:val="005B3328"/>
    <w:rsid w:val="005B35C8"/>
    <w:rsid w:val="005B3929"/>
    <w:rsid w:val="005B3B8D"/>
    <w:rsid w:val="005B420E"/>
    <w:rsid w:val="005B4636"/>
    <w:rsid w:val="005B4EBA"/>
    <w:rsid w:val="005B543B"/>
    <w:rsid w:val="005B5DE0"/>
    <w:rsid w:val="005B61E0"/>
    <w:rsid w:val="005B6C08"/>
    <w:rsid w:val="005B6D22"/>
    <w:rsid w:val="005B6E1C"/>
    <w:rsid w:val="005B75FD"/>
    <w:rsid w:val="005B7BD6"/>
    <w:rsid w:val="005B7FDE"/>
    <w:rsid w:val="005C03DE"/>
    <w:rsid w:val="005C0AE0"/>
    <w:rsid w:val="005C0C4B"/>
    <w:rsid w:val="005C19F7"/>
    <w:rsid w:val="005C294B"/>
    <w:rsid w:val="005C2CC1"/>
    <w:rsid w:val="005C35B3"/>
    <w:rsid w:val="005C3B5B"/>
    <w:rsid w:val="005C4001"/>
    <w:rsid w:val="005C5341"/>
    <w:rsid w:val="005C546D"/>
    <w:rsid w:val="005C571E"/>
    <w:rsid w:val="005C5B45"/>
    <w:rsid w:val="005C606C"/>
    <w:rsid w:val="005C6367"/>
    <w:rsid w:val="005C6F0D"/>
    <w:rsid w:val="005C711C"/>
    <w:rsid w:val="005C7234"/>
    <w:rsid w:val="005D0977"/>
    <w:rsid w:val="005D102C"/>
    <w:rsid w:val="005D17BB"/>
    <w:rsid w:val="005D1EE0"/>
    <w:rsid w:val="005D20F9"/>
    <w:rsid w:val="005D2A0E"/>
    <w:rsid w:val="005D33F8"/>
    <w:rsid w:val="005D4AB8"/>
    <w:rsid w:val="005D4F2D"/>
    <w:rsid w:val="005D51C4"/>
    <w:rsid w:val="005D5EC0"/>
    <w:rsid w:val="005D5F4F"/>
    <w:rsid w:val="005D6062"/>
    <w:rsid w:val="005D63EB"/>
    <w:rsid w:val="005D7D0E"/>
    <w:rsid w:val="005D7DB6"/>
    <w:rsid w:val="005E03BA"/>
    <w:rsid w:val="005E03F1"/>
    <w:rsid w:val="005E0B82"/>
    <w:rsid w:val="005E0C91"/>
    <w:rsid w:val="005E12F7"/>
    <w:rsid w:val="005E1E44"/>
    <w:rsid w:val="005E1E45"/>
    <w:rsid w:val="005E2240"/>
    <w:rsid w:val="005E2303"/>
    <w:rsid w:val="005E2650"/>
    <w:rsid w:val="005E2D59"/>
    <w:rsid w:val="005E2F88"/>
    <w:rsid w:val="005E35FB"/>
    <w:rsid w:val="005E3625"/>
    <w:rsid w:val="005E455C"/>
    <w:rsid w:val="005E5EDC"/>
    <w:rsid w:val="005E64C7"/>
    <w:rsid w:val="005E6CD5"/>
    <w:rsid w:val="005E70E5"/>
    <w:rsid w:val="005E727C"/>
    <w:rsid w:val="005E7AAE"/>
    <w:rsid w:val="005F0372"/>
    <w:rsid w:val="005F05DE"/>
    <w:rsid w:val="005F09BC"/>
    <w:rsid w:val="005F0BA1"/>
    <w:rsid w:val="005F2124"/>
    <w:rsid w:val="005F2524"/>
    <w:rsid w:val="005F2DAF"/>
    <w:rsid w:val="005F3011"/>
    <w:rsid w:val="005F3034"/>
    <w:rsid w:val="005F303A"/>
    <w:rsid w:val="005F375B"/>
    <w:rsid w:val="005F379E"/>
    <w:rsid w:val="005F38BD"/>
    <w:rsid w:val="005F65A2"/>
    <w:rsid w:val="005F7AB2"/>
    <w:rsid w:val="005F7CAB"/>
    <w:rsid w:val="005F7D87"/>
    <w:rsid w:val="0060022F"/>
    <w:rsid w:val="00601572"/>
    <w:rsid w:val="00601907"/>
    <w:rsid w:val="00601989"/>
    <w:rsid w:val="00602061"/>
    <w:rsid w:val="00602290"/>
    <w:rsid w:val="006022F9"/>
    <w:rsid w:val="006022FA"/>
    <w:rsid w:val="00602675"/>
    <w:rsid w:val="00602B15"/>
    <w:rsid w:val="00602EA9"/>
    <w:rsid w:val="006039C0"/>
    <w:rsid w:val="00603E97"/>
    <w:rsid w:val="00603F38"/>
    <w:rsid w:val="006040DF"/>
    <w:rsid w:val="0060431A"/>
    <w:rsid w:val="00604B83"/>
    <w:rsid w:val="006054EE"/>
    <w:rsid w:val="00605DE1"/>
    <w:rsid w:val="006061FB"/>
    <w:rsid w:val="0060749E"/>
    <w:rsid w:val="006076DF"/>
    <w:rsid w:val="00607D18"/>
    <w:rsid w:val="00610058"/>
    <w:rsid w:val="0061042B"/>
    <w:rsid w:val="006105C5"/>
    <w:rsid w:val="00610F45"/>
    <w:rsid w:val="006116BD"/>
    <w:rsid w:val="00611F00"/>
    <w:rsid w:val="0061306E"/>
    <w:rsid w:val="00613869"/>
    <w:rsid w:val="00613972"/>
    <w:rsid w:val="00613B51"/>
    <w:rsid w:val="0061623A"/>
    <w:rsid w:val="0061625C"/>
    <w:rsid w:val="0061682F"/>
    <w:rsid w:val="00617134"/>
    <w:rsid w:val="00617770"/>
    <w:rsid w:val="00617880"/>
    <w:rsid w:val="00620337"/>
    <w:rsid w:val="00620416"/>
    <w:rsid w:val="00621699"/>
    <w:rsid w:val="006216A4"/>
    <w:rsid w:val="00621F7D"/>
    <w:rsid w:val="00622083"/>
    <w:rsid w:val="006223A5"/>
    <w:rsid w:val="00623607"/>
    <w:rsid w:val="006239C3"/>
    <w:rsid w:val="00623F17"/>
    <w:rsid w:val="00624207"/>
    <w:rsid w:val="00624A67"/>
    <w:rsid w:val="00624CEB"/>
    <w:rsid w:val="00624D5D"/>
    <w:rsid w:val="00624E5A"/>
    <w:rsid w:val="006251C2"/>
    <w:rsid w:val="00626360"/>
    <w:rsid w:val="00626A1A"/>
    <w:rsid w:val="00626BF1"/>
    <w:rsid w:val="00626E0B"/>
    <w:rsid w:val="006271E4"/>
    <w:rsid w:val="006301C5"/>
    <w:rsid w:val="00630787"/>
    <w:rsid w:val="00630BF7"/>
    <w:rsid w:val="00631078"/>
    <w:rsid w:val="00631272"/>
    <w:rsid w:val="00631536"/>
    <w:rsid w:val="00631856"/>
    <w:rsid w:val="00631A7B"/>
    <w:rsid w:val="00631C09"/>
    <w:rsid w:val="00632446"/>
    <w:rsid w:val="006325CD"/>
    <w:rsid w:val="00632ADA"/>
    <w:rsid w:val="0063312F"/>
    <w:rsid w:val="00633184"/>
    <w:rsid w:val="00633A3E"/>
    <w:rsid w:val="00634277"/>
    <w:rsid w:val="006350C7"/>
    <w:rsid w:val="006352BE"/>
    <w:rsid w:val="0063575D"/>
    <w:rsid w:val="006358CE"/>
    <w:rsid w:val="00635AE6"/>
    <w:rsid w:val="00635E51"/>
    <w:rsid w:val="00635ED9"/>
    <w:rsid w:val="00635FBB"/>
    <w:rsid w:val="006361DC"/>
    <w:rsid w:val="00636378"/>
    <w:rsid w:val="00636F71"/>
    <w:rsid w:val="0063767F"/>
    <w:rsid w:val="006377E8"/>
    <w:rsid w:val="0063799B"/>
    <w:rsid w:val="006379FD"/>
    <w:rsid w:val="00640299"/>
    <w:rsid w:val="00640A57"/>
    <w:rsid w:val="0064138F"/>
    <w:rsid w:val="006417FC"/>
    <w:rsid w:val="00641AB7"/>
    <w:rsid w:val="00641D22"/>
    <w:rsid w:val="00641EA3"/>
    <w:rsid w:val="00641FAC"/>
    <w:rsid w:val="00643441"/>
    <w:rsid w:val="00643992"/>
    <w:rsid w:val="0064479A"/>
    <w:rsid w:val="00644DFA"/>
    <w:rsid w:val="00646226"/>
    <w:rsid w:val="00646A22"/>
    <w:rsid w:val="00646D0D"/>
    <w:rsid w:val="00647382"/>
    <w:rsid w:val="00647762"/>
    <w:rsid w:val="00647FEF"/>
    <w:rsid w:val="006509D2"/>
    <w:rsid w:val="00650D79"/>
    <w:rsid w:val="006510E7"/>
    <w:rsid w:val="00651457"/>
    <w:rsid w:val="00651A00"/>
    <w:rsid w:val="00652217"/>
    <w:rsid w:val="006527B3"/>
    <w:rsid w:val="00652B2A"/>
    <w:rsid w:val="00653B1C"/>
    <w:rsid w:val="006540F8"/>
    <w:rsid w:val="00654146"/>
    <w:rsid w:val="00654371"/>
    <w:rsid w:val="006551F5"/>
    <w:rsid w:val="00655AB4"/>
    <w:rsid w:val="00655F99"/>
    <w:rsid w:val="0065682D"/>
    <w:rsid w:val="00656BDC"/>
    <w:rsid w:val="00656CA8"/>
    <w:rsid w:val="006573BA"/>
    <w:rsid w:val="0065765C"/>
    <w:rsid w:val="006576A8"/>
    <w:rsid w:val="006578C5"/>
    <w:rsid w:val="00657E38"/>
    <w:rsid w:val="00657F56"/>
    <w:rsid w:val="00660035"/>
    <w:rsid w:val="0066084B"/>
    <w:rsid w:val="0066093F"/>
    <w:rsid w:val="00660F33"/>
    <w:rsid w:val="0066143F"/>
    <w:rsid w:val="00661986"/>
    <w:rsid w:val="00661D8D"/>
    <w:rsid w:val="006629FC"/>
    <w:rsid w:val="00662FE4"/>
    <w:rsid w:val="006631D5"/>
    <w:rsid w:val="00663505"/>
    <w:rsid w:val="006639F1"/>
    <w:rsid w:val="00663BFD"/>
    <w:rsid w:val="006644B8"/>
    <w:rsid w:val="00664DA6"/>
    <w:rsid w:val="006650B5"/>
    <w:rsid w:val="0066550F"/>
    <w:rsid w:val="0066583F"/>
    <w:rsid w:val="0066616B"/>
    <w:rsid w:val="006661A5"/>
    <w:rsid w:val="00666A28"/>
    <w:rsid w:val="006674A8"/>
    <w:rsid w:val="00667668"/>
    <w:rsid w:val="00667880"/>
    <w:rsid w:val="006705B7"/>
    <w:rsid w:val="00670B44"/>
    <w:rsid w:val="0067134C"/>
    <w:rsid w:val="00672096"/>
    <w:rsid w:val="00672230"/>
    <w:rsid w:val="00672E16"/>
    <w:rsid w:val="00674054"/>
    <w:rsid w:val="006747B4"/>
    <w:rsid w:val="0067506E"/>
    <w:rsid w:val="006762A8"/>
    <w:rsid w:val="00676673"/>
    <w:rsid w:val="00676D64"/>
    <w:rsid w:val="00676FD5"/>
    <w:rsid w:val="006801C2"/>
    <w:rsid w:val="00680587"/>
    <w:rsid w:val="006806DB"/>
    <w:rsid w:val="006807B4"/>
    <w:rsid w:val="0068104C"/>
    <w:rsid w:val="00681610"/>
    <w:rsid w:val="006821CF"/>
    <w:rsid w:val="006822EA"/>
    <w:rsid w:val="006824DD"/>
    <w:rsid w:val="00682B0E"/>
    <w:rsid w:val="00682BCB"/>
    <w:rsid w:val="00683311"/>
    <w:rsid w:val="0068486A"/>
    <w:rsid w:val="00684E9B"/>
    <w:rsid w:val="0068502C"/>
    <w:rsid w:val="0068504E"/>
    <w:rsid w:val="00685163"/>
    <w:rsid w:val="006854DD"/>
    <w:rsid w:val="00685928"/>
    <w:rsid w:val="00686091"/>
    <w:rsid w:val="00686146"/>
    <w:rsid w:val="006864BE"/>
    <w:rsid w:val="00686BC3"/>
    <w:rsid w:val="00686D54"/>
    <w:rsid w:val="0068714A"/>
    <w:rsid w:val="00690C7C"/>
    <w:rsid w:val="00691261"/>
    <w:rsid w:val="00692E31"/>
    <w:rsid w:val="00693297"/>
    <w:rsid w:val="0069374E"/>
    <w:rsid w:val="00693839"/>
    <w:rsid w:val="006941D4"/>
    <w:rsid w:val="006948B8"/>
    <w:rsid w:val="0069545E"/>
    <w:rsid w:val="00695671"/>
    <w:rsid w:val="00695D08"/>
    <w:rsid w:val="00696849"/>
    <w:rsid w:val="006A0623"/>
    <w:rsid w:val="006A10BD"/>
    <w:rsid w:val="006A1167"/>
    <w:rsid w:val="006A130B"/>
    <w:rsid w:val="006A1EAE"/>
    <w:rsid w:val="006A258B"/>
    <w:rsid w:val="006A266D"/>
    <w:rsid w:val="006A2A6C"/>
    <w:rsid w:val="006A33AD"/>
    <w:rsid w:val="006A4E42"/>
    <w:rsid w:val="006A5A35"/>
    <w:rsid w:val="006A6392"/>
    <w:rsid w:val="006A6C14"/>
    <w:rsid w:val="006A6EDB"/>
    <w:rsid w:val="006A7336"/>
    <w:rsid w:val="006A789F"/>
    <w:rsid w:val="006B01C3"/>
    <w:rsid w:val="006B0FCF"/>
    <w:rsid w:val="006B11D2"/>
    <w:rsid w:val="006B12A2"/>
    <w:rsid w:val="006B1857"/>
    <w:rsid w:val="006B1AC5"/>
    <w:rsid w:val="006B1B48"/>
    <w:rsid w:val="006B1CD0"/>
    <w:rsid w:val="006B1FF3"/>
    <w:rsid w:val="006B274B"/>
    <w:rsid w:val="006B299C"/>
    <w:rsid w:val="006B2AB3"/>
    <w:rsid w:val="006B2D1E"/>
    <w:rsid w:val="006B3792"/>
    <w:rsid w:val="006B4064"/>
    <w:rsid w:val="006B41AE"/>
    <w:rsid w:val="006B4236"/>
    <w:rsid w:val="006B6A01"/>
    <w:rsid w:val="006B6A9E"/>
    <w:rsid w:val="006B70F0"/>
    <w:rsid w:val="006B717C"/>
    <w:rsid w:val="006B729C"/>
    <w:rsid w:val="006B7423"/>
    <w:rsid w:val="006B7494"/>
    <w:rsid w:val="006C0704"/>
    <w:rsid w:val="006C0757"/>
    <w:rsid w:val="006C08E9"/>
    <w:rsid w:val="006C1C9E"/>
    <w:rsid w:val="006C2268"/>
    <w:rsid w:val="006C2992"/>
    <w:rsid w:val="006C2CAF"/>
    <w:rsid w:val="006C2F94"/>
    <w:rsid w:val="006C3063"/>
    <w:rsid w:val="006C332F"/>
    <w:rsid w:val="006C3B83"/>
    <w:rsid w:val="006C4234"/>
    <w:rsid w:val="006C44A3"/>
    <w:rsid w:val="006C451E"/>
    <w:rsid w:val="006C4CBF"/>
    <w:rsid w:val="006C5F44"/>
    <w:rsid w:val="006C768D"/>
    <w:rsid w:val="006C78F1"/>
    <w:rsid w:val="006C7B4C"/>
    <w:rsid w:val="006D08D8"/>
    <w:rsid w:val="006D0ABD"/>
    <w:rsid w:val="006D1A39"/>
    <w:rsid w:val="006D285F"/>
    <w:rsid w:val="006D28A5"/>
    <w:rsid w:val="006D2BC7"/>
    <w:rsid w:val="006D340B"/>
    <w:rsid w:val="006D3446"/>
    <w:rsid w:val="006D37F2"/>
    <w:rsid w:val="006D3CDB"/>
    <w:rsid w:val="006D49A6"/>
    <w:rsid w:val="006D4ABF"/>
    <w:rsid w:val="006D5205"/>
    <w:rsid w:val="006D5768"/>
    <w:rsid w:val="006D5A46"/>
    <w:rsid w:val="006D5B96"/>
    <w:rsid w:val="006D5E72"/>
    <w:rsid w:val="006D6A1A"/>
    <w:rsid w:val="006D7413"/>
    <w:rsid w:val="006E011B"/>
    <w:rsid w:val="006E0640"/>
    <w:rsid w:val="006E0B18"/>
    <w:rsid w:val="006E0CEE"/>
    <w:rsid w:val="006E1163"/>
    <w:rsid w:val="006E26C3"/>
    <w:rsid w:val="006E378D"/>
    <w:rsid w:val="006E3808"/>
    <w:rsid w:val="006E43D5"/>
    <w:rsid w:val="006E45D9"/>
    <w:rsid w:val="006E4683"/>
    <w:rsid w:val="006E5432"/>
    <w:rsid w:val="006E5691"/>
    <w:rsid w:val="006E579F"/>
    <w:rsid w:val="006E59D7"/>
    <w:rsid w:val="006E5FA9"/>
    <w:rsid w:val="006E75D0"/>
    <w:rsid w:val="006E7AF7"/>
    <w:rsid w:val="006F040B"/>
    <w:rsid w:val="006F0563"/>
    <w:rsid w:val="006F0AE2"/>
    <w:rsid w:val="006F0FD9"/>
    <w:rsid w:val="006F15FE"/>
    <w:rsid w:val="006F1884"/>
    <w:rsid w:val="006F389E"/>
    <w:rsid w:val="006F3D0D"/>
    <w:rsid w:val="006F42B5"/>
    <w:rsid w:val="006F4883"/>
    <w:rsid w:val="006F4ED8"/>
    <w:rsid w:val="006F5136"/>
    <w:rsid w:val="006F5444"/>
    <w:rsid w:val="006F6246"/>
    <w:rsid w:val="006F694D"/>
    <w:rsid w:val="007005BB"/>
    <w:rsid w:val="00700D91"/>
    <w:rsid w:val="00700F6D"/>
    <w:rsid w:val="00701FAA"/>
    <w:rsid w:val="00702024"/>
    <w:rsid w:val="007029FE"/>
    <w:rsid w:val="00702D4B"/>
    <w:rsid w:val="00703012"/>
    <w:rsid w:val="0070319D"/>
    <w:rsid w:val="00703ADE"/>
    <w:rsid w:val="00703E13"/>
    <w:rsid w:val="00704506"/>
    <w:rsid w:val="00705925"/>
    <w:rsid w:val="00705F24"/>
    <w:rsid w:val="00706A18"/>
    <w:rsid w:val="00706BAB"/>
    <w:rsid w:val="007073E0"/>
    <w:rsid w:val="0070748D"/>
    <w:rsid w:val="00707584"/>
    <w:rsid w:val="00707776"/>
    <w:rsid w:val="007079B7"/>
    <w:rsid w:val="00707FB0"/>
    <w:rsid w:val="00710568"/>
    <w:rsid w:val="0071169C"/>
    <w:rsid w:val="00711BD7"/>
    <w:rsid w:val="00711CAF"/>
    <w:rsid w:val="00711F53"/>
    <w:rsid w:val="00712DD7"/>
    <w:rsid w:val="00713460"/>
    <w:rsid w:val="0071383B"/>
    <w:rsid w:val="00713855"/>
    <w:rsid w:val="00713871"/>
    <w:rsid w:val="00713F6A"/>
    <w:rsid w:val="00714C4A"/>
    <w:rsid w:val="00715730"/>
    <w:rsid w:val="00716EBA"/>
    <w:rsid w:val="007175E1"/>
    <w:rsid w:val="00717C41"/>
    <w:rsid w:val="00720971"/>
    <w:rsid w:val="00720B53"/>
    <w:rsid w:val="00720C40"/>
    <w:rsid w:val="0072184F"/>
    <w:rsid w:val="0072363D"/>
    <w:rsid w:val="00723AF2"/>
    <w:rsid w:val="00723DE0"/>
    <w:rsid w:val="007247DE"/>
    <w:rsid w:val="007248A5"/>
    <w:rsid w:val="00724A1C"/>
    <w:rsid w:val="00725E2A"/>
    <w:rsid w:val="00726520"/>
    <w:rsid w:val="00726554"/>
    <w:rsid w:val="007266F2"/>
    <w:rsid w:val="00726A3F"/>
    <w:rsid w:val="00727306"/>
    <w:rsid w:val="007279EA"/>
    <w:rsid w:val="00730749"/>
    <w:rsid w:val="00730855"/>
    <w:rsid w:val="00730956"/>
    <w:rsid w:val="0073123E"/>
    <w:rsid w:val="007315F2"/>
    <w:rsid w:val="00731927"/>
    <w:rsid w:val="007319B5"/>
    <w:rsid w:val="0073226C"/>
    <w:rsid w:val="0073242C"/>
    <w:rsid w:val="00732513"/>
    <w:rsid w:val="00732FD0"/>
    <w:rsid w:val="007337EE"/>
    <w:rsid w:val="00733935"/>
    <w:rsid w:val="00733D0B"/>
    <w:rsid w:val="007340DA"/>
    <w:rsid w:val="007343F6"/>
    <w:rsid w:val="00735070"/>
    <w:rsid w:val="0073513E"/>
    <w:rsid w:val="007354FB"/>
    <w:rsid w:val="00735505"/>
    <w:rsid w:val="00735875"/>
    <w:rsid w:val="007361B5"/>
    <w:rsid w:val="0073686A"/>
    <w:rsid w:val="0073698A"/>
    <w:rsid w:val="00736DCB"/>
    <w:rsid w:val="00736F48"/>
    <w:rsid w:val="00737948"/>
    <w:rsid w:val="00737985"/>
    <w:rsid w:val="00737C5B"/>
    <w:rsid w:val="00740063"/>
    <w:rsid w:val="00740170"/>
    <w:rsid w:val="007414CD"/>
    <w:rsid w:val="0074162B"/>
    <w:rsid w:val="00741DEE"/>
    <w:rsid w:val="007423E7"/>
    <w:rsid w:val="00742A80"/>
    <w:rsid w:val="007432A2"/>
    <w:rsid w:val="0074371D"/>
    <w:rsid w:val="00743B21"/>
    <w:rsid w:val="00743C49"/>
    <w:rsid w:val="00744A1E"/>
    <w:rsid w:val="0074509A"/>
    <w:rsid w:val="0074693D"/>
    <w:rsid w:val="007471D5"/>
    <w:rsid w:val="00747307"/>
    <w:rsid w:val="00747A37"/>
    <w:rsid w:val="00750879"/>
    <w:rsid w:val="00751725"/>
    <w:rsid w:val="00751874"/>
    <w:rsid w:val="00753AEB"/>
    <w:rsid w:val="0075488F"/>
    <w:rsid w:val="00754A55"/>
    <w:rsid w:val="00754E8F"/>
    <w:rsid w:val="007552E9"/>
    <w:rsid w:val="00755B62"/>
    <w:rsid w:val="0075668E"/>
    <w:rsid w:val="00756C7F"/>
    <w:rsid w:val="007570D6"/>
    <w:rsid w:val="0076049F"/>
    <w:rsid w:val="00760F5D"/>
    <w:rsid w:val="00760FEF"/>
    <w:rsid w:val="007610A1"/>
    <w:rsid w:val="007614B8"/>
    <w:rsid w:val="00761A1D"/>
    <w:rsid w:val="00761CBC"/>
    <w:rsid w:val="00762382"/>
    <w:rsid w:val="007627A7"/>
    <w:rsid w:val="00762956"/>
    <w:rsid w:val="00762B06"/>
    <w:rsid w:val="00762F03"/>
    <w:rsid w:val="0076355F"/>
    <w:rsid w:val="007635B3"/>
    <w:rsid w:val="00763EAD"/>
    <w:rsid w:val="00764CFE"/>
    <w:rsid w:val="00765537"/>
    <w:rsid w:val="00765E63"/>
    <w:rsid w:val="007666E3"/>
    <w:rsid w:val="00766D9E"/>
    <w:rsid w:val="0076751C"/>
    <w:rsid w:val="0076763D"/>
    <w:rsid w:val="007702D8"/>
    <w:rsid w:val="00770C7A"/>
    <w:rsid w:val="0077183C"/>
    <w:rsid w:val="00771F7F"/>
    <w:rsid w:val="00772098"/>
    <w:rsid w:val="00772620"/>
    <w:rsid w:val="00772CED"/>
    <w:rsid w:val="0077496E"/>
    <w:rsid w:val="00774D95"/>
    <w:rsid w:val="00774DF7"/>
    <w:rsid w:val="0077559E"/>
    <w:rsid w:val="00775B83"/>
    <w:rsid w:val="00775DF8"/>
    <w:rsid w:val="00777168"/>
    <w:rsid w:val="0077730A"/>
    <w:rsid w:val="007779BA"/>
    <w:rsid w:val="00777A27"/>
    <w:rsid w:val="00780E5D"/>
    <w:rsid w:val="00780F53"/>
    <w:rsid w:val="0078174A"/>
    <w:rsid w:val="0078200C"/>
    <w:rsid w:val="00782330"/>
    <w:rsid w:val="00782D84"/>
    <w:rsid w:val="007834F7"/>
    <w:rsid w:val="00783AF4"/>
    <w:rsid w:val="00783DFB"/>
    <w:rsid w:val="0078403D"/>
    <w:rsid w:val="007844F0"/>
    <w:rsid w:val="0078450E"/>
    <w:rsid w:val="007846E9"/>
    <w:rsid w:val="00784BE4"/>
    <w:rsid w:val="00785234"/>
    <w:rsid w:val="00785263"/>
    <w:rsid w:val="007853BA"/>
    <w:rsid w:val="0078581C"/>
    <w:rsid w:val="00786155"/>
    <w:rsid w:val="00786BE8"/>
    <w:rsid w:val="00786E6D"/>
    <w:rsid w:val="007871BC"/>
    <w:rsid w:val="00787B04"/>
    <w:rsid w:val="00787B75"/>
    <w:rsid w:val="0079031C"/>
    <w:rsid w:val="0079045D"/>
    <w:rsid w:val="00790A9C"/>
    <w:rsid w:val="007910BA"/>
    <w:rsid w:val="00791830"/>
    <w:rsid w:val="00792E29"/>
    <w:rsid w:val="00793407"/>
    <w:rsid w:val="00793888"/>
    <w:rsid w:val="007938CE"/>
    <w:rsid w:val="00793943"/>
    <w:rsid w:val="00793A9B"/>
    <w:rsid w:val="0079452C"/>
    <w:rsid w:val="007949C1"/>
    <w:rsid w:val="007949C7"/>
    <w:rsid w:val="007953D7"/>
    <w:rsid w:val="0079575B"/>
    <w:rsid w:val="0079578B"/>
    <w:rsid w:val="00795B4B"/>
    <w:rsid w:val="007A0808"/>
    <w:rsid w:val="007A08EC"/>
    <w:rsid w:val="007A1D56"/>
    <w:rsid w:val="007A1E5D"/>
    <w:rsid w:val="007A1F40"/>
    <w:rsid w:val="007A27A2"/>
    <w:rsid w:val="007A2F0A"/>
    <w:rsid w:val="007A2FF2"/>
    <w:rsid w:val="007A331B"/>
    <w:rsid w:val="007A3612"/>
    <w:rsid w:val="007A3613"/>
    <w:rsid w:val="007A3F88"/>
    <w:rsid w:val="007A40F9"/>
    <w:rsid w:val="007A42E2"/>
    <w:rsid w:val="007A4352"/>
    <w:rsid w:val="007A4F50"/>
    <w:rsid w:val="007A5035"/>
    <w:rsid w:val="007A50FA"/>
    <w:rsid w:val="007A5D62"/>
    <w:rsid w:val="007A5FDB"/>
    <w:rsid w:val="007A5FED"/>
    <w:rsid w:val="007A6EC0"/>
    <w:rsid w:val="007A70BD"/>
    <w:rsid w:val="007A73BA"/>
    <w:rsid w:val="007B1499"/>
    <w:rsid w:val="007B149D"/>
    <w:rsid w:val="007B1EFB"/>
    <w:rsid w:val="007B1FA1"/>
    <w:rsid w:val="007B22B7"/>
    <w:rsid w:val="007B2485"/>
    <w:rsid w:val="007B27B7"/>
    <w:rsid w:val="007B2829"/>
    <w:rsid w:val="007B293A"/>
    <w:rsid w:val="007B31C2"/>
    <w:rsid w:val="007B343C"/>
    <w:rsid w:val="007B4A16"/>
    <w:rsid w:val="007B4BEF"/>
    <w:rsid w:val="007B51CD"/>
    <w:rsid w:val="007B5502"/>
    <w:rsid w:val="007B5524"/>
    <w:rsid w:val="007B5651"/>
    <w:rsid w:val="007B5D31"/>
    <w:rsid w:val="007B5F6D"/>
    <w:rsid w:val="007B6316"/>
    <w:rsid w:val="007B667F"/>
    <w:rsid w:val="007B733A"/>
    <w:rsid w:val="007B7662"/>
    <w:rsid w:val="007C04B4"/>
    <w:rsid w:val="007C06C0"/>
    <w:rsid w:val="007C09AD"/>
    <w:rsid w:val="007C12F4"/>
    <w:rsid w:val="007C189C"/>
    <w:rsid w:val="007C1A3A"/>
    <w:rsid w:val="007C1C02"/>
    <w:rsid w:val="007C26A9"/>
    <w:rsid w:val="007C27F2"/>
    <w:rsid w:val="007C2F50"/>
    <w:rsid w:val="007C2F65"/>
    <w:rsid w:val="007C35F8"/>
    <w:rsid w:val="007C3DBA"/>
    <w:rsid w:val="007C3F47"/>
    <w:rsid w:val="007C3F84"/>
    <w:rsid w:val="007C4A95"/>
    <w:rsid w:val="007C4B30"/>
    <w:rsid w:val="007C5D4E"/>
    <w:rsid w:val="007C6294"/>
    <w:rsid w:val="007C62D0"/>
    <w:rsid w:val="007C644F"/>
    <w:rsid w:val="007C7335"/>
    <w:rsid w:val="007C76FA"/>
    <w:rsid w:val="007C771F"/>
    <w:rsid w:val="007C7928"/>
    <w:rsid w:val="007D0598"/>
    <w:rsid w:val="007D091F"/>
    <w:rsid w:val="007D1FD6"/>
    <w:rsid w:val="007D2403"/>
    <w:rsid w:val="007D25C9"/>
    <w:rsid w:val="007D25DD"/>
    <w:rsid w:val="007D26F6"/>
    <w:rsid w:val="007D3927"/>
    <w:rsid w:val="007D3ABE"/>
    <w:rsid w:val="007D3B8B"/>
    <w:rsid w:val="007D3E1E"/>
    <w:rsid w:val="007D45CA"/>
    <w:rsid w:val="007D491C"/>
    <w:rsid w:val="007D4B42"/>
    <w:rsid w:val="007D4E61"/>
    <w:rsid w:val="007D4F4D"/>
    <w:rsid w:val="007D57F0"/>
    <w:rsid w:val="007D598E"/>
    <w:rsid w:val="007D60AE"/>
    <w:rsid w:val="007D6148"/>
    <w:rsid w:val="007D6393"/>
    <w:rsid w:val="007D6597"/>
    <w:rsid w:val="007D77EE"/>
    <w:rsid w:val="007D79DA"/>
    <w:rsid w:val="007D7F52"/>
    <w:rsid w:val="007E041C"/>
    <w:rsid w:val="007E0A2D"/>
    <w:rsid w:val="007E0FC3"/>
    <w:rsid w:val="007E1799"/>
    <w:rsid w:val="007E18A5"/>
    <w:rsid w:val="007E1D58"/>
    <w:rsid w:val="007E21BC"/>
    <w:rsid w:val="007E2BE2"/>
    <w:rsid w:val="007E2DE6"/>
    <w:rsid w:val="007E3100"/>
    <w:rsid w:val="007E494D"/>
    <w:rsid w:val="007E4BFC"/>
    <w:rsid w:val="007E5707"/>
    <w:rsid w:val="007E585D"/>
    <w:rsid w:val="007E5A9D"/>
    <w:rsid w:val="007E6D53"/>
    <w:rsid w:val="007E6F55"/>
    <w:rsid w:val="007F03F3"/>
    <w:rsid w:val="007F0576"/>
    <w:rsid w:val="007F07A1"/>
    <w:rsid w:val="007F1908"/>
    <w:rsid w:val="007F2142"/>
    <w:rsid w:val="007F2147"/>
    <w:rsid w:val="007F31C0"/>
    <w:rsid w:val="007F3917"/>
    <w:rsid w:val="007F3AAA"/>
    <w:rsid w:val="007F3C05"/>
    <w:rsid w:val="007F3C7B"/>
    <w:rsid w:val="007F3CF7"/>
    <w:rsid w:val="007F41B2"/>
    <w:rsid w:val="007F4D66"/>
    <w:rsid w:val="007F5426"/>
    <w:rsid w:val="007F5CEE"/>
    <w:rsid w:val="007F629E"/>
    <w:rsid w:val="007F78A6"/>
    <w:rsid w:val="007F7943"/>
    <w:rsid w:val="007F7D43"/>
    <w:rsid w:val="007F7EF2"/>
    <w:rsid w:val="008004B8"/>
    <w:rsid w:val="008004FC"/>
    <w:rsid w:val="0080075A"/>
    <w:rsid w:val="008009BC"/>
    <w:rsid w:val="00801B28"/>
    <w:rsid w:val="008026BF"/>
    <w:rsid w:val="00803033"/>
    <w:rsid w:val="00803106"/>
    <w:rsid w:val="008037F2"/>
    <w:rsid w:val="008041DE"/>
    <w:rsid w:val="00804979"/>
    <w:rsid w:val="00804986"/>
    <w:rsid w:val="0080507E"/>
    <w:rsid w:val="00805194"/>
    <w:rsid w:val="00805229"/>
    <w:rsid w:val="00805254"/>
    <w:rsid w:val="00805360"/>
    <w:rsid w:val="00805D99"/>
    <w:rsid w:val="00805E44"/>
    <w:rsid w:val="00806012"/>
    <w:rsid w:val="008062CD"/>
    <w:rsid w:val="008063AD"/>
    <w:rsid w:val="00806BAC"/>
    <w:rsid w:val="00806FCD"/>
    <w:rsid w:val="008074AF"/>
    <w:rsid w:val="0081010C"/>
    <w:rsid w:val="0081042A"/>
    <w:rsid w:val="008107DB"/>
    <w:rsid w:val="00810D65"/>
    <w:rsid w:val="00810F12"/>
    <w:rsid w:val="0081102D"/>
    <w:rsid w:val="00811C61"/>
    <w:rsid w:val="00812412"/>
    <w:rsid w:val="00812E9A"/>
    <w:rsid w:val="00812FEF"/>
    <w:rsid w:val="0081357A"/>
    <w:rsid w:val="008135D2"/>
    <w:rsid w:val="00813D2D"/>
    <w:rsid w:val="0081469B"/>
    <w:rsid w:val="00814757"/>
    <w:rsid w:val="00814C1B"/>
    <w:rsid w:val="00814E4A"/>
    <w:rsid w:val="00814FE4"/>
    <w:rsid w:val="0081530B"/>
    <w:rsid w:val="00815542"/>
    <w:rsid w:val="00815824"/>
    <w:rsid w:val="00816822"/>
    <w:rsid w:val="00816B0F"/>
    <w:rsid w:val="00816EF3"/>
    <w:rsid w:val="00817065"/>
    <w:rsid w:val="0081741D"/>
    <w:rsid w:val="008176A9"/>
    <w:rsid w:val="0082020C"/>
    <w:rsid w:val="00820887"/>
    <w:rsid w:val="00820CDF"/>
    <w:rsid w:val="00820D25"/>
    <w:rsid w:val="00820FD6"/>
    <w:rsid w:val="00821281"/>
    <w:rsid w:val="00821B91"/>
    <w:rsid w:val="008220C2"/>
    <w:rsid w:val="00822539"/>
    <w:rsid w:val="00822558"/>
    <w:rsid w:val="00822C74"/>
    <w:rsid w:val="0082307F"/>
    <w:rsid w:val="00823096"/>
    <w:rsid w:val="00823B53"/>
    <w:rsid w:val="00823B83"/>
    <w:rsid w:val="00823BA5"/>
    <w:rsid w:val="00823F8C"/>
    <w:rsid w:val="00824058"/>
    <w:rsid w:val="00824522"/>
    <w:rsid w:val="00824697"/>
    <w:rsid w:val="00824E36"/>
    <w:rsid w:val="00825B4C"/>
    <w:rsid w:val="0082618F"/>
    <w:rsid w:val="008263D2"/>
    <w:rsid w:val="00826435"/>
    <w:rsid w:val="008267F7"/>
    <w:rsid w:val="008271A0"/>
    <w:rsid w:val="008272FC"/>
    <w:rsid w:val="00827AA2"/>
    <w:rsid w:val="00830B43"/>
    <w:rsid w:val="008310BC"/>
    <w:rsid w:val="0083201A"/>
    <w:rsid w:val="0083237A"/>
    <w:rsid w:val="008328CF"/>
    <w:rsid w:val="008338EE"/>
    <w:rsid w:val="008340BE"/>
    <w:rsid w:val="00834473"/>
    <w:rsid w:val="00834617"/>
    <w:rsid w:val="00834683"/>
    <w:rsid w:val="0083470B"/>
    <w:rsid w:val="00834FA1"/>
    <w:rsid w:val="00835C82"/>
    <w:rsid w:val="0083606B"/>
    <w:rsid w:val="00836E29"/>
    <w:rsid w:val="00837067"/>
    <w:rsid w:val="0083728A"/>
    <w:rsid w:val="0083744A"/>
    <w:rsid w:val="00837CAB"/>
    <w:rsid w:val="008408B9"/>
    <w:rsid w:val="008409D5"/>
    <w:rsid w:val="00840D80"/>
    <w:rsid w:val="0084104F"/>
    <w:rsid w:val="008419B8"/>
    <w:rsid w:val="008419DA"/>
    <w:rsid w:val="00841A1E"/>
    <w:rsid w:val="00841F32"/>
    <w:rsid w:val="008430AB"/>
    <w:rsid w:val="00843467"/>
    <w:rsid w:val="00843469"/>
    <w:rsid w:val="008442A8"/>
    <w:rsid w:val="00844C3B"/>
    <w:rsid w:val="0084503B"/>
    <w:rsid w:val="0084599D"/>
    <w:rsid w:val="00845DC9"/>
    <w:rsid w:val="00845FFD"/>
    <w:rsid w:val="00846046"/>
    <w:rsid w:val="008465B0"/>
    <w:rsid w:val="008465D5"/>
    <w:rsid w:val="00846AE0"/>
    <w:rsid w:val="00846D2D"/>
    <w:rsid w:val="0084755D"/>
    <w:rsid w:val="00847B32"/>
    <w:rsid w:val="00847B49"/>
    <w:rsid w:val="00850D7F"/>
    <w:rsid w:val="00851103"/>
    <w:rsid w:val="0085135C"/>
    <w:rsid w:val="008518E9"/>
    <w:rsid w:val="008519CF"/>
    <w:rsid w:val="00851B2F"/>
    <w:rsid w:val="0085224C"/>
    <w:rsid w:val="008532C3"/>
    <w:rsid w:val="00853C8C"/>
    <w:rsid w:val="00854837"/>
    <w:rsid w:val="008548B1"/>
    <w:rsid w:val="008552FC"/>
    <w:rsid w:val="008555E5"/>
    <w:rsid w:val="008555FF"/>
    <w:rsid w:val="008556F7"/>
    <w:rsid w:val="00855C91"/>
    <w:rsid w:val="0085681D"/>
    <w:rsid w:val="00857302"/>
    <w:rsid w:val="00857D2C"/>
    <w:rsid w:val="00857D6C"/>
    <w:rsid w:val="008601DA"/>
    <w:rsid w:val="008606EE"/>
    <w:rsid w:val="008609D5"/>
    <w:rsid w:val="00860B82"/>
    <w:rsid w:val="008610CB"/>
    <w:rsid w:val="008620B4"/>
    <w:rsid w:val="0086301A"/>
    <w:rsid w:val="00863142"/>
    <w:rsid w:val="008644B6"/>
    <w:rsid w:val="00864ABB"/>
    <w:rsid w:val="00864C14"/>
    <w:rsid w:val="0086515D"/>
    <w:rsid w:val="00865BED"/>
    <w:rsid w:val="00865D0B"/>
    <w:rsid w:val="00866BC9"/>
    <w:rsid w:val="00866C9D"/>
    <w:rsid w:val="00866FD1"/>
    <w:rsid w:val="0087036A"/>
    <w:rsid w:val="00870BE1"/>
    <w:rsid w:val="00870E8B"/>
    <w:rsid w:val="008718A1"/>
    <w:rsid w:val="00872083"/>
    <w:rsid w:val="0087244E"/>
    <w:rsid w:val="00872C41"/>
    <w:rsid w:val="00872CA3"/>
    <w:rsid w:val="00872DF3"/>
    <w:rsid w:val="0087323D"/>
    <w:rsid w:val="00873241"/>
    <w:rsid w:val="008738E1"/>
    <w:rsid w:val="00873A13"/>
    <w:rsid w:val="00873C99"/>
    <w:rsid w:val="00873D9C"/>
    <w:rsid w:val="00874E78"/>
    <w:rsid w:val="008753CD"/>
    <w:rsid w:val="00875F9F"/>
    <w:rsid w:val="008766B2"/>
    <w:rsid w:val="008766D3"/>
    <w:rsid w:val="0087698A"/>
    <w:rsid w:val="00876F33"/>
    <w:rsid w:val="008774EE"/>
    <w:rsid w:val="00877743"/>
    <w:rsid w:val="008803DF"/>
    <w:rsid w:val="008804B8"/>
    <w:rsid w:val="0088076A"/>
    <w:rsid w:val="00880C49"/>
    <w:rsid w:val="0088126B"/>
    <w:rsid w:val="00881755"/>
    <w:rsid w:val="008834DC"/>
    <w:rsid w:val="008837E8"/>
    <w:rsid w:val="0088382E"/>
    <w:rsid w:val="00883B23"/>
    <w:rsid w:val="008841DC"/>
    <w:rsid w:val="008854A6"/>
    <w:rsid w:val="008854F8"/>
    <w:rsid w:val="00886927"/>
    <w:rsid w:val="00887191"/>
    <w:rsid w:val="00887ECC"/>
    <w:rsid w:val="00890D5D"/>
    <w:rsid w:val="0089115E"/>
    <w:rsid w:val="00891C6B"/>
    <w:rsid w:val="00892609"/>
    <w:rsid w:val="00893152"/>
    <w:rsid w:val="00893823"/>
    <w:rsid w:val="00893A2C"/>
    <w:rsid w:val="00893F64"/>
    <w:rsid w:val="00894097"/>
    <w:rsid w:val="00894B0A"/>
    <w:rsid w:val="00894C83"/>
    <w:rsid w:val="00894DB2"/>
    <w:rsid w:val="0089571F"/>
    <w:rsid w:val="00895D2C"/>
    <w:rsid w:val="00896F39"/>
    <w:rsid w:val="0089778F"/>
    <w:rsid w:val="0089781D"/>
    <w:rsid w:val="00897BC0"/>
    <w:rsid w:val="00897E2E"/>
    <w:rsid w:val="00897F3C"/>
    <w:rsid w:val="008A0E6C"/>
    <w:rsid w:val="008A0EA2"/>
    <w:rsid w:val="008A129E"/>
    <w:rsid w:val="008A1BEA"/>
    <w:rsid w:val="008A2B59"/>
    <w:rsid w:val="008A2DA4"/>
    <w:rsid w:val="008A2EAD"/>
    <w:rsid w:val="008A301F"/>
    <w:rsid w:val="008A3B0C"/>
    <w:rsid w:val="008A4F79"/>
    <w:rsid w:val="008A5383"/>
    <w:rsid w:val="008A5A00"/>
    <w:rsid w:val="008A5CBB"/>
    <w:rsid w:val="008A66C0"/>
    <w:rsid w:val="008A66DE"/>
    <w:rsid w:val="008A79A5"/>
    <w:rsid w:val="008A7ACD"/>
    <w:rsid w:val="008A7CD6"/>
    <w:rsid w:val="008B01D3"/>
    <w:rsid w:val="008B0D8D"/>
    <w:rsid w:val="008B0E86"/>
    <w:rsid w:val="008B1D57"/>
    <w:rsid w:val="008B1F9A"/>
    <w:rsid w:val="008B3471"/>
    <w:rsid w:val="008B3584"/>
    <w:rsid w:val="008B43C9"/>
    <w:rsid w:val="008B4614"/>
    <w:rsid w:val="008B491F"/>
    <w:rsid w:val="008B4E84"/>
    <w:rsid w:val="008B5657"/>
    <w:rsid w:val="008B5B5A"/>
    <w:rsid w:val="008B5D9D"/>
    <w:rsid w:val="008B65EB"/>
    <w:rsid w:val="008B6ABB"/>
    <w:rsid w:val="008B7E28"/>
    <w:rsid w:val="008C0950"/>
    <w:rsid w:val="008C0A9B"/>
    <w:rsid w:val="008C11BA"/>
    <w:rsid w:val="008C19AE"/>
    <w:rsid w:val="008C32D0"/>
    <w:rsid w:val="008C3533"/>
    <w:rsid w:val="008C35CA"/>
    <w:rsid w:val="008C38BB"/>
    <w:rsid w:val="008C4208"/>
    <w:rsid w:val="008C43D8"/>
    <w:rsid w:val="008C44B7"/>
    <w:rsid w:val="008C451F"/>
    <w:rsid w:val="008C49DA"/>
    <w:rsid w:val="008C5BBB"/>
    <w:rsid w:val="008C5E8E"/>
    <w:rsid w:val="008C6862"/>
    <w:rsid w:val="008C6D81"/>
    <w:rsid w:val="008C6DDD"/>
    <w:rsid w:val="008C6F08"/>
    <w:rsid w:val="008C7578"/>
    <w:rsid w:val="008C763F"/>
    <w:rsid w:val="008D0215"/>
    <w:rsid w:val="008D0C74"/>
    <w:rsid w:val="008D0FDC"/>
    <w:rsid w:val="008D10F5"/>
    <w:rsid w:val="008D1236"/>
    <w:rsid w:val="008D1610"/>
    <w:rsid w:val="008D17B0"/>
    <w:rsid w:val="008D1F0E"/>
    <w:rsid w:val="008D2102"/>
    <w:rsid w:val="008D2859"/>
    <w:rsid w:val="008D2D41"/>
    <w:rsid w:val="008D2E75"/>
    <w:rsid w:val="008D3E60"/>
    <w:rsid w:val="008D41AB"/>
    <w:rsid w:val="008D46EB"/>
    <w:rsid w:val="008D4D9E"/>
    <w:rsid w:val="008D5ED9"/>
    <w:rsid w:val="008D61BE"/>
    <w:rsid w:val="008D6DF3"/>
    <w:rsid w:val="008D7405"/>
    <w:rsid w:val="008D77E4"/>
    <w:rsid w:val="008D7AEF"/>
    <w:rsid w:val="008D7C2F"/>
    <w:rsid w:val="008E1D44"/>
    <w:rsid w:val="008E2D7B"/>
    <w:rsid w:val="008E3390"/>
    <w:rsid w:val="008E5310"/>
    <w:rsid w:val="008E5511"/>
    <w:rsid w:val="008E5673"/>
    <w:rsid w:val="008E5F81"/>
    <w:rsid w:val="008E6308"/>
    <w:rsid w:val="008E661E"/>
    <w:rsid w:val="008E6646"/>
    <w:rsid w:val="008E6667"/>
    <w:rsid w:val="008E669E"/>
    <w:rsid w:val="008E6C37"/>
    <w:rsid w:val="008E7533"/>
    <w:rsid w:val="008E7B46"/>
    <w:rsid w:val="008E7B82"/>
    <w:rsid w:val="008F004E"/>
    <w:rsid w:val="008F02DF"/>
    <w:rsid w:val="008F0790"/>
    <w:rsid w:val="008F164E"/>
    <w:rsid w:val="008F1879"/>
    <w:rsid w:val="008F1AA3"/>
    <w:rsid w:val="008F1AF2"/>
    <w:rsid w:val="008F1E09"/>
    <w:rsid w:val="008F20A1"/>
    <w:rsid w:val="008F23C8"/>
    <w:rsid w:val="008F2908"/>
    <w:rsid w:val="008F2DDF"/>
    <w:rsid w:val="008F3285"/>
    <w:rsid w:val="008F3FE8"/>
    <w:rsid w:val="008F565B"/>
    <w:rsid w:val="008F5BEB"/>
    <w:rsid w:val="008F6129"/>
    <w:rsid w:val="008F68B9"/>
    <w:rsid w:val="008F6EAD"/>
    <w:rsid w:val="008F7402"/>
    <w:rsid w:val="008F75F5"/>
    <w:rsid w:val="008F7B80"/>
    <w:rsid w:val="00900B5D"/>
    <w:rsid w:val="00900C4D"/>
    <w:rsid w:val="00901690"/>
    <w:rsid w:val="00901C23"/>
    <w:rsid w:val="0090297B"/>
    <w:rsid w:val="0090324D"/>
    <w:rsid w:val="00903CCB"/>
    <w:rsid w:val="00904227"/>
    <w:rsid w:val="00904A15"/>
    <w:rsid w:val="00904FD8"/>
    <w:rsid w:val="009051F4"/>
    <w:rsid w:val="00905473"/>
    <w:rsid w:val="0090609C"/>
    <w:rsid w:val="009065A2"/>
    <w:rsid w:val="00906C3D"/>
    <w:rsid w:val="00906FCD"/>
    <w:rsid w:val="0090720B"/>
    <w:rsid w:val="00907342"/>
    <w:rsid w:val="009075BE"/>
    <w:rsid w:val="00907C84"/>
    <w:rsid w:val="00910925"/>
    <w:rsid w:val="00910AAA"/>
    <w:rsid w:val="00911063"/>
    <w:rsid w:val="009110AA"/>
    <w:rsid w:val="009118EC"/>
    <w:rsid w:val="00911E06"/>
    <w:rsid w:val="0091245E"/>
    <w:rsid w:val="009130AE"/>
    <w:rsid w:val="00913290"/>
    <w:rsid w:val="00913BB9"/>
    <w:rsid w:val="00914A69"/>
    <w:rsid w:val="00914C8F"/>
    <w:rsid w:val="00914E6D"/>
    <w:rsid w:val="00914FDD"/>
    <w:rsid w:val="009169C6"/>
    <w:rsid w:val="009174BE"/>
    <w:rsid w:val="009176DF"/>
    <w:rsid w:val="00917950"/>
    <w:rsid w:val="00917FC1"/>
    <w:rsid w:val="0092038B"/>
    <w:rsid w:val="00920891"/>
    <w:rsid w:val="0092112C"/>
    <w:rsid w:val="00921815"/>
    <w:rsid w:val="009218E3"/>
    <w:rsid w:val="009221C8"/>
    <w:rsid w:val="009222D6"/>
    <w:rsid w:val="0092263D"/>
    <w:rsid w:val="00922940"/>
    <w:rsid w:val="00922BF7"/>
    <w:rsid w:val="00923162"/>
    <w:rsid w:val="0092316A"/>
    <w:rsid w:val="00923CC9"/>
    <w:rsid w:val="0092477E"/>
    <w:rsid w:val="00924AAD"/>
    <w:rsid w:val="0092512B"/>
    <w:rsid w:val="0092559D"/>
    <w:rsid w:val="00925842"/>
    <w:rsid w:val="00925D94"/>
    <w:rsid w:val="009263C3"/>
    <w:rsid w:val="00926468"/>
    <w:rsid w:val="009268AA"/>
    <w:rsid w:val="00926C61"/>
    <w:rsid w:val="00926FA5"/>
    <w:rsid w:val="009272EE"/>
    <w:rsid w:val="0092731F"/>
    <w:rsid w:val="00927E56"/>
    <w:rsid w:val="00931400"/>
    <w:rsid w:val="0093157A"/>
    <w:rsid w:val="009318D7"/>
    <w:rsid w:val="00931BA0"/>
    <w:rsid w:val="0093232F"/>
    <w:rsid w:val="00932574"/>
    <w:rsid w:val="009336A3"/>
    <w:rsid w:val="00933F41"/>
    <w:rsid w:val="00934105"/>
    <w:rsid w:val="00934858"/>
    <w:rsid w:val="00934A3E"/>
    <w:rsid w:val="009355D7"/>
    <w:rsid w:val="00935E4B"/>
    <w:rsid w:val="009365FB"/>
    <w:rsid w:val="00936751"/>
    <w:rsid w:val="009372FA"/>
    <w:rsid w:val="009373A6"/>
    <w:rsid w:val="009373BB"/>
    <w:rsid w:val="00937C97"/>
    <w:rsid w:val="00937D2B"/>
    <w:rsid w:val="00937D3B"/>
    <w:rsid w:val="00940635"/>
    <w:rsid w:val="00940C2C"/>
    <w:rsid w:val="009417C1"/>
    <w:rsid w:val="009427CF"/>
    <w:rsid w:val="00942A18"/>
    <w:rsid w:val="00942BE7"/>
    <w:rsid w:val="009431C4"/>
    <w:rsid w:val="009443F6"/>
    <w:rsid w:val="00944583"/>
    <w:rsid w:val="00944D3E"/>
    <w:rsid w:val="00944FC0"/>
    <w:rsid w:val="00945C34"/>
    <w:rsid w:val="00945D46"/>
    <w:rsid w:val="00945E5A"/>
    <w:rsid w:val="0094620C"/>
    <w:rsid w:val="009463C4"/>
    <w:rsid w:val="00946469"/>
    <w:rsid w:val="009474F2"/>
    <w:rsid w:val="009500A1"/>
    <w:rsid w:val="00950418"/>
    <w:rsid w:val="00950792"/>
    <w:rsid w:val="009507DE"/>
    <w:rsid w:val="00950966"/>
    <w:rsid w:val="00952706"/>
    <w:rsid w:val="00952EE7"/>
    <w:rsid w:val="009535D2"/>
    <w:rsid w:val="0095385D"/>
    <w:rsid w:val="00953C3D"/>
    <w:rsid w:val="009542F0"/>
    <w:rsid w:val="00954443"/>
    <w:rsid w:val="00954667"/>
    <w:rsid w:val="00954D60"/>
    <w:rsid w:val="009550AA"/>
    <w:rsid w:val="009552BF"/>
    <w:rsid w:val="00955ADB"/>
    <w:rsid w:val="00956140"/>
    <w:rsid w:val="0095616C"/>
    <w:rsid w:val="0095646C"/>
    <w:rsid w:val="00956D8F"/>
    <w:rsid w:val="009573F5"/>
    <w:rsid w:val="0095758C"/>
    <w:rsid w:val="00957770"/>
    <w:rsid w:val="00957F1B"/>
    <w:rsid w:val="009607D3"/>
    <w:rsid w:val="00960D8E"/>
    <w:rsid w:val="009617A3"/>
    <w:rsid w:val="00961A94"/>
    <w:rsid w:val="00961C0F"/>
    <w:rsid w:val="00961E21"/>
    <w:rsid w:val="00961F7F"/>
    <w:rsid w:val="00962399"/>
    <w:rsid w:val="00962877"/>
    <w:rsid w:val="009637DE"/>
    <w:rsid w:val="00963820"/>
    <w:rsid w:val="00963B07"/>
    <w:rsid w:val="009640D5"/>
    <w:rsid w:val="00964C4D"/>
    <w:rsid w:val="00964D29"/>
    <w:rsid w:val="00964D6D"/>
    <w:rsid w:val="00965962"/>
    <w:rsid w:val="009666EA"/>
    <w:rsid w:val="00966B88"/>
    <w:rsid w:val="00966C56"/>
    <w:rsid w:val="00966E27"/>
    <w:rsid w:val="0096746E"/>
    <w:rsid w:val="009701F4"/>
    <w:rsid w:val="009702C5"/>
    <w:rsid w:val="009705E3"/>
    <w:rsid w:val="00970991"/>
    <w:rsid w:val="00970A76"/>
    <w:rsid w:val="00971023"/>
    <w:rsid w:val="00971BF5"/>
    <w:rsid w:val="00971DEF"/>
    <w:rsid w:val="00971E77"/>
    <w:rsid w:val="00972663"/>
    <w:rsid w:val="009727B9"/>
    <w:rsid w:val="00972CA0"/>
    <w:rsid w:val="00972D5A"/>
    <w:rsid w:val="009730E7"/>
    <w:rsid w:val="00973125"/>
    <w:rsid w:val="00973609"/>
    <w:rsid w:val="00973917"/>
    <w:rsid w:val="00973ACB"/>
    <w:rsid w:val="00973BF7"/>
    <w:rsid w:val="00973C84"/>
    <w:rsid w:val="009742E6"/>
    <w:rsid w:val="00974D30"/>
    <w:rsid w:val="00975211"/>
    <w:rsid w:val="00975264"/>
    <w:rsid w:val="009758D4"/>
    <w:rsid w:val="0097625E"/>
    <w:rsid w:val="0097679D"/>
    <w:rsid w:val="00976D38"/>
    <w:rsid w:val="0097795A"/>
    <w:rsid w:val="00977C4B"/>
    <w:rsid w:val="009804B6"/>
    <w:rsid w:val="00980796"/>
    <w:rsid w:val="009809C4"/>
    <w:rsid w:val="009818A9"/>
    <w:rsid w:val="00982030"/>
    <w:rsid w:val="00982191"/>
    <w:rsid w:val="0098220D"/>
    <w:rsid w:val="0098271F"/>
    <w:rsid w:val="009828A6"/>
    <w:rsid w:val="00982F93"/>
    <w:rsid w:val="009835FD"/>
    <w:rsid w:val="00983BD4"/>
    <w:rsid w:val="00984481"/>
    <w:rsid w:val="00984B7F"/>
    <w:rsid w:val="0098582D"/>
    <w:rsid w:val="009863A4"/>
    <w:rsid w:val="009868A2"/>
    <w:rsid w:val="009868A7"/>
    <w:rsid w:val="00986A23"/>
    <w:rsid w:val="00986AF5"/>
    <w:rsid w:val="00986DD3"/>
    <w:rsid w:val="00986E0E"/>
    <w:rsid w:val="00986FE8"/>
    <w:rsid w:val="00987A24"/>
    <w:rsid w:val="00987AC7"/>
    <w:rsid w:val="0099051C"/>
    <w:rsid w:val="00990F13"/>
    <w:rsid w:val="0099102A"/>
    <w:rsid w:val="00991135"/>
    <w:rsid w:val="009912F0"/>
    <w:rsid w:val="00991813"/>
    <w:rsid w:val="0099228A"/>
    <w:rsid w:val="00992472"/>
    <w:rsid w:val="0099258D"/>
    <w:rsid w:val="009930C5"/>
    <w:rsid w:val="009938B4"/>
    <w:rsid w:val="00993A15"/>
    <w:rsid w:val="009940CB"/>
    <w:rsid w:val="0099439D"/>
    <w:rsid w:val="009949AC"/>
    <w:rsid w:val="00994A20"/>
    <w:rsid w:val="00994C2E"/>
    <w:rsid w:val="00994D41"/>
    <w:rsid w:val="00995106"/>
    <w:rsid w:val="009955FA"/>
    <w:rsid w:val="009956F6"/>
    <w:rsid w:val="00995D3A"/>
    <w:rsid w:val="00996199"/>
    <w:rsid w:val="00996A23"/>
    <w:rsid w:val="00996AEA"/>
    <w:rsid w:val="009971EB"/>
    <w:rsid w:val="00997811"/>
    <w:rsid w:val="009A012F"/>
    <w:rsid w:val="009A0430"/>
    <w:rsid w:val="009A0639"/>
    <w:rsid w:val="009A1022"/>
    <w:rsid w:val="009A2AFC"/>
    <w:rsid w:val="009A2ED7"/>
    <w:rsid w:val="009A2EE8"/>
    <w:rsid w:val="009A3180"/>
    <w:rsid w:val="009A3AFC"/>
    <w:rsid w:val="009A4478"/>
    <w:rsid w:val="009A490B"/>
    <w:rsid w:val="009A53CA"/>
    <w:rsid w:val="009A578C"/>
    <w:rsid w:val="009A615E"/>
    <w:rsid w:val="009A63E4"/>
    <w:rsid w:val="009A6BBC"/>
    <w:rsid w:val="009B0F88"/>
    <w:rsid w:val="009B1021"/>
    <w:rsid w:val="009B12EB"/>
    <w:rsid w:val="009B17E2"/>
    <w:rsid w:val="009B2212"/>
    <w:rsid w:val="009B247B"/>
    <w:rsid w:val="009B28F6"/>
    <w:rsid w:val="009B37E2"/>
    <w:rsid w:val="009B416F"/>
    <w:rsid w:val="009B47FE"/>
    <w:rsid w:val="009B51EE"/>
    <w:rsid w:val="009B57E8"/>
    <w:rsid w:val="009B5E37"/>
    <w:rsid w:val="009B6394"/>
    <w:rsid w:val="009B650A"/>
    <w:rsid w:val="009B6602"/>
    <w:rsid w:val="009B6B07"/>
    <w:rsid w:val="009B7413"/>
    <w:rsid w:val="009B747E"/>
    <w:rsid w:val="009B788F"/>
    <w:rsid w:val="009B79EB"/>
    <w:rsid w:val="009C06EC"/>
    <w:rsid w:val="009C0B9D"/>
    <w:rsid w:val="009C18DD"/>
    <w:rsid w:val="009C24B1"/>
    <w:rsid w:val="009C2762"/>
    <w:rsid w:val="009C2825"/>
    <w:rsid w:val="009C2D71"/>
    <w:rsid w:val="009C30E1"/>
    <w:rsid w:val="009C338A"/>
    <w:rsid w:val="009C3EA1"/>
    <w:rsid w:val="009C45D6"/>
    <w:rsid w:val="009C46A8"/>
    <w:rsid w:val="009C46D2"/>
    <w:rsid w:val="009C4986"/>
    <w:rsid w:val="009C4A83"/>
    <w:rsid w:val="009C4D64"/>
    <w:rsid w:val="009C4E3B"/>
    <w:rsid w:val="009C507F"/>
    <w:rsid w:val="009C55A5"/>
    <w:rsid w:val="009C5E8F"/>
    <w:rsid w:val="009C6094"/>
    <w:rsid w:val="009C61A2"/>
    <w:rsid w:val="009C61ED"/>
    <w:rsid w:val="009C639F"/>
    <w:rsid w:val="009C6674"/>
    <w:rsid w:val="009C6FB9"/>
    <w:rsid w:val="009C79AE"/>
    <w:rsid w:val="009C7D70"/>
    <w:rsid w:val="009D022F"/>
    <w:rsid w:val="009D14C2"/>
    <w:rsid w:val="009D156D"/>
    <w:rsid w:val="009D1860"/>
    <w:rsid w:val="009D1862"/>
    <w:rsid w:val="009D25A7"/>
    <w:rsid w:val="009D3397"/>
    <w:rsid w:val="009D3C07"/>
    <w:rsid w:val="009D3E99"/>
    <w:rsid w:val="009D3FF9"/>
    <w:rsid w:val="009D425E"/>
    <w:rsid w:val="009D438C"/>
    <w:rsid w:val="009D43E2"/>
    <w:rsid w:val="009D47B7"/>
    <w:rsid w:val="009D4DB6"/>
    <w:rsid w:val="009D504C"/>
    <w:rsid w:val="009D5460"/>
    <w:rsid w:val="009D5EA6"/>
    <w:rsid w:val="009D5FE8"/>
    <w:rsid w:val="009D705C"/>
    <w:rsid w:val="009D7CF1"/>
    <w:rsid w:val="009D7F7E"/>
    <w:rsid w:val="009E03C0"/>
    <w:rsid w:val="009E0761"/>
    <w:rsid w:val="009E0777"/>
    <w:rsid w:val="009E07BF"/>
    <w:rsid w:val="009E2331"/>
    <w:rsid w:val="009E264D"/>
    <w:rsid w:val="009E2D7D"/>
    <w:rsid w:val="009E339A"/>
    <w:rsid w:val="009E3823"/>
    <w:rsid w:val="009E39F2"/>
    <w:rsid w:val="009E4833"/>
    <w:rsid w:val="009E4FC0"/>
    <w:rsid w:val="009E51C2"/>
    <w:rsid w:val="009E5591"/>
    <w:rsid w:val="009E584B"/>
    <w:rsid w:val="009E5917"/>
    <w:rsid w:val="009E6E31"/>
    <w:rsid w:val="009E6EA2"/>
    <w:rsid w:val="009E74A8"/>
    <w:rsid w:val="009E78D8"/>
    <w:rsid w:val="009E7C93"/>
    <w:rsid w:val="009F0061"/>
    <w:rsid w:val="009F07BE"/>
    <w:rsid w:val="009F10A5"/>
    <w:rsid w:val="009F10A8"/>
    <w:rsid w:val="009F1A32"/>
    <w:rsid w:val="009F2E39"/>
    <w:rsid w:val="009F39A8"/>
    <w:rsid w:val="009F3C5E"/>
    <w:rsid w:val="009F43D8"/>
    <w:rsid w:val="009F464B"/>
    <w:rsid w:val="009F50B4"/>
    <w:rsid w:val="009F5487"/>
    <w:rsid w:val="009F5A23"/>
    <w:rsid w:val="009F5E11"/>
    <w:rsid w:val="009F5E4A"/>
    <w:rsid w:val="009F6579"/>
    <w:rsid w:val="009F6A18"/>
    <w:rsid w:val="009F774B"/>
    <w:rsid w:val="009F7887"/>
    <w:rsid w:val="00A003D3"/>
    <w:rsid w:val="00A004CA"/>
    <w:rsid w:val="00A0072B"/>
    <w:rsid w:val="00A009D5"/>
    <w:rsid w:val="00A01CC5"/>
    <w:rsid w:val="00A0216B"/>
    <w:rsid w:val="00A029B4"/>
    <w:rsid w:val="00A02EA8"/>
    <w:rsid w:val="00A05057"/>
    <w:rsid w:val="00A061F5"/>
    <w:rsid w:val="00A068FE"/>
    <w:rsid w:val="00A06CC1"/>
    <w:rsid w:val="00A06F82"/>
    <w:rsid w:val="00A0701F"/>
    <w:rsid w:val="00A0719B"/>
    <w:rsid w:val="00A106B4"/>
    <w:rsid w:val="00A107B9"/>
    <w:rsid w:val="00A11836"/>
    <w:rsid w:val="00A11A1B"/>
    <w:rsid w:val="00A11D10"/>
    <w:rsid w:val="00A12613"/>
    <w:rsid w:val="00A1269F"/>
    <w:rsid w:val="00A127AA"/>
    <w:rsid w:val="00A12D6E"/>
    <w:rsid w:val="00A13754"/>
    <w:rsid w:val="00A14348"/>
    <w:rsid w:val="00A1464B"/>
    <w:rsid w:val="00A155EF"/>
    <w:rsid w:val="00A15DAE"/>
    <w:rsid w:val="00A16754"/>
    <w:rsid w:val="00A17C51"/>
    <w:rsid w:val="00A17F02"/>
    <w:rsid w:val="00A20DD7"/>
    <w:rsid w:val="00A20F84"/>
    <w:rsid w:val="00A2157B"/>
    <w:rsid w:val="00A22B39"/>
    <w:rsid w:val="00A22C5B"/>
    <w:rsid w:val="00A22E82"/>
    <w:rsid w:val="00A22EDA"/>
    <w:rsid w:val="00A243D1"/>
    <w:rsid w:val="00A2519B"/>
    <w:rsid w:val="00A25C65"/>
    <w:rsid w:val="00A2621F"/>
    <w:rsid w:val="00A265D9"/>
    <w:rsid w:val="00A26A69"/>
    <w:rsid w:val="00A30CB7"/>
    <w:rsid w:val="00A313B4"/>
    <w:rsid w:val="00A32503"/>
    <w:rsid w:val="00A32569"/>
    <w:rsid w:val="00A32964"/>
    <w:rsid w:val="00A32E24"/>
    <w:rsid w:val="00A33890"/>
    <w:rsid w:val="00A3501A"/>
    <w:rsid w:val="00A3585A"/>
    <w:rsid w:val="00A3606C"/>
    <w:rsid w:val="00A363E5"/>
    <w:rsid w:val="00A36CD3"/>
    <w:rsid w:val="00A3764C"/>
    <w:rsid w:val="00A3796D"/>
    <w:rsid w:val="00A37D0D"/>
    <w:rsid w:val="00A408FB"/>
    <w:rsid w:val="00A4120C"/>
    <w:rsid w:val="00A4144C"/>
    <w:rsid w:val="00A415B3"/>
    <w:rsid w:val="00A41E54"/>
    <w:rsid w:val="00A422FD"/>
    <w:rsid w:val="00A42B84"/>
    <w:rsid w:val="00A4322F"/>
    <w:rsid w:val="00A43267"/>
    <w:rsid w:val="00A43FA5"/>
    <w:rsid w:val="00A4516D"/>
    <w:rsid w:val="00A45BD9"/>
    <w:rsid w:val="00A45E21"/>
    <w:rsid w:val="00A46BE4"/>
    <w:rsid w:val="00A47A9B"/>
    <w:rsid w:val="00A47C89"/>
    <w:rsid w:val="00A47E63"/>
    <w:rsid w:val="00A47ED5"/>
    <w:rsid w:val="00A50006"/>
    <w:rsid w:val="00A50061"/>
    <w:rsid w:val="00A50672"/>
    <w:rsid w:val="00A50D88"/>
    <w:rsid w:val="00A515C2"/>
    <w:rsid w:val="00A5218A"/>
    <w:rsid w:val="00A52529"/>
    <w:rsid w:val="00A52703"/>
    <w:rsid w:val="00A53757"/>
    <w:rsid w:val="00A5398D"/>
    <w:rsid w:val="00A53A21"/>
    <w:rsid w:val="00A53B75"/>
    <w:rsid w:val="00A53B8C"/>
    <w:rsid w:val="00A53F3A"/>
    <w:rsid w:val="00A53FB8"/>
    <w:rsid w:val="00A543B1"/>
    <w:rsid w:val="00A544CD"/>
    <w:rsid w:val="00A549C1"/>
    <w:rsid w:val="00A54B60"/>
    <w:rsid w:val="00A54DE5"/>
    <w:rsid w:val="00A54E47"/>
    <w:rsid w:val="00A55375"/>
    <w:rsid w:val="00A55C8E"/>
    <w:rsid w:val="00A5627C"/>
    <w:rsid w:val="00A562B9"/>
    <w:rsid w:val="00A5670B"/>
    <w:rsid w:val="00A57919"/>
    <w:rsid w:val="00A57DB1"/>
    <w:rsid w:val="00A57DD1"/>
    <w:rsid w:val="00A60600"/>
    <w:rsid w:val="00A61350"/>
    <w:rsid w:val="00A61540"/>
    <w:rsid w:val="00A616FC"/>
    <w:rsid w:val="00A61ADC"/>
    <w:rsid w:val="00A63255"/>
    <w:rsid w:val="00A64068"/>
    <w:rsid w:val="00A6482C"/>
    <w:rsid w:val="00A6518D"/>
    <w:rsid w:val="00A65AC8"/>
    <w:rsid w:val="00A663DC"/>
    <w:rsid w:val="00A674B0"/>
    <w:rsid w:val="00A67FAA"/>
    <w:rsid w:val="00A701A4"/>
    <w:rsid w:val="00A704A9"/>
    <w:rsid w:val="00A714FC"/>
    <w:rsid w:val="00A71A04"/>
    <w:rsid w:val="00A7263C"/>
    <w:rsid w:val="00A72E87"/>
    <w:rsid w:val="00A72F9D"/>
    <w:rsid w:val="00A736CF"/>
    <w:rsid w:val="00A74D03"/>
    <w:rsid w:val="00A751F0"/>
    <w:rsid w:val="00A76C21"/>
    <w:rsid w:val="00A77711"/>
    <w:rsid w:val="00A806B1"/>
    <w:rsid w:val="00A806CD"/>
    <w:rsid w:val="00A80F22"/>
    <w:rsid w:val="00A82100"/>
    <w:rsid w:val="00A82441"/>
    <w:rsid w:val="00A8271C"/>
    <w:rsid w:val="00A8411B"/>
    <w:rsid w:val="00A841CE"/>
    <w:rsid w:val="00A84413"/>
    <w:rsid w:val="00A847EC"/>
    <w:rsid w:val="00A852F9"/>
    <w:rsid w:val="00A86574"/>
    <w:rsid w:val="00A87B2B"/>
    <w:rsid w:val="00A902A0"/>
    <w:rsid w:val="00A90306"/>
    <w:rsid w:val="00A904A5"/>
    <w:rsid w:val="00A904C6"/>
    <w:rsid w:val="00A914E8"/>
    <w:rsid w:val="00A923A3"/>
    <w:rsid w:val="00A9456C"/>
    <w:rsid w:val="00A945C5"/>
    <w:rsid w:val="00A9476E"/>
    <w:rsid w:val="00A94CA2"/>
    <w:rsid w:val="00A94E63"/>
    <w:rsid w:val="00A94F2C"/>
    <w:rsid w:val="00A950AE"/>
    <w:rsid w:val="00A95333"/>
    <w:rsid w:val="00A956F4"/>
    <w:rsid w:val="00A9571D"/>
    <w:rsid w:val="00A96009"/>
    <w:rsid w:val="00A96BEF"/>
    <w:rsid w:val="00A976C3"/>
    <w:rsid w:val="00A976E3"/>
    <w:rsid w:val="00A97711"/>
    <w:rsid w:val="00AA07F7"/>
    <w:rsid w:val="00AA0C96"/>
    <w:rsid w:val="00AA1378"/>
    <w:rsid w:val="00AA1988"/>
    <w:rsid w:val="00AA21AA"/>
    <w:rsid w:val="00AA24D6"/>
    <w:rsid w:val="00AA2B59"/>
    <w:rsid w:val="00AA2B7C"/>
    <w:rsid w:val="00AA2EC8"/>
    <w:rsid w:val="00AA41F2"/>
    <w:rsid w:val="00AA5CB4"/>
    <w:rsid w:val="00AA5EAA"/>
    <w:rsid w:val="00AA620B"/>
    <w:rsid w:val="00AA7062"/>
    <w:rsid w:val="00AA7E35"/>
    <w:rsid w:val="00AA7E8F"/>
    <w:rsid w:val="00AB07E8"/>
    <w:rsid w:val="00AB0F6D"/>
    <w:rsid w:val="00AB2490"/>
    <w:rsid w:val="00AB27D0"/>
    <w:rsid w:val="00AB37D4"/>
    <w:rsid w:val="00AB3ABE"/>
    <w:rsid w:val="00AB3BC6"/>
    <w:rsid w:val="00AB4080"/>
    <w:rsid w:val="00AB4176"/>
    <w:rsid w:val="00AB462F"/>
    <w:rsid w:val="00AB4871"/>
    <w:rsid w:val="00AB4A04"/>
    <w:rsid w:val="00AB5BAB"/>
    <w:rsid w:val="00AB5C78"/>
    <w:rsid w:val="00AB6591"/>
    <w:rsid w:val="00AB682D"/>
    <w:rsid w:val="00AB700E"/>
    <w:rsid w:val="00AB7131"/>
    <w:rsid w:val="00AB744D"/>
    <w:rsid w:val="00AC017A"/>
    <w:rsid w:val="00AC05E0"/>
    <w:rsid w:val="00AC23D0"/>
    <w:rsid w:val="00AC2726"/>
    <w:rsid w:val="00AC29C4"/>
    <w:rsid w:val="00AC2BA2"/>
    <w:rsid w:val="00AC311C"/>
    <w:rsid w:val="00AC39AD"/>
    <w:rsid w:val="00AC3CC8"/>
    <w:rsid w:val="00AC4BFE"/>
    <w:rsid w:val="00AC5624"/>
    <w:rsid w:val="00AC5799"/>
    <w:rsid w:val="00AC5F8A"/>
    <w:rsid w:val="00AC60A9"/>
    <w:rsid w:val="00AC641A"/>
    <w:rsid w:val="00AC703C"/>
    <w:rsid w:val="00AD0204"/>
    <w:rsid w:val="00AD09A1"/>
    <w:rsid w:val="00AD0AEE"/>
    <w:rsid w:val="00AD147B"/>
    <w:rsid w:val="00AD1916"/>
    <w:rsid w:val="00AD1CA6"/>
    <w:rsid w:val="00AD1CE3"/>
    <w:rsid w:val="00AD242B"/>
    <w:rsid w:val="00AD2A6F"/>
    <w:rsid w:val="00AD2C88"/>
    <w:rsid w:val="00AD43FB"/>
    <w:rsid w:val="00AD4A81"/>
    <w:rsid w:val="00AD51DE"/>
    <w:rsid w:val="00AD56F9"/>
    <w:rsid w:val="00AD5868"/>
    <w:rsid w:val="00AD5C01"/>
    <w:rsid w:val="00AD72F9"/>
    <w:rsid w:val="00AD78B0"/>
    <w:rsid w:val="00AD7B9D"/>
    <w:rsid w:val="00AD7F66"/>
    <w:rsid w:val="00AE0A99"/>
    <w:rsid w:val="00AE0B69"/>
    <w:rsid w:val="00AE1952"/>
    <w:rsid w:val="00AE2673"/>
    <w:rsid w:val="00AE2732"/>
    <w:rsid w:val="00AE2963"/>
    <w:rsid w:val="00AE2B69"/>
    <w:rsid w:val="00AE35E2"/>
    <w:rsid w:val="00AE3A74"/>
    <w:rsid w:val="00AE3EF7"/>
    <w:rsid w:val="00AE3FC9"/>
    <w:rsid w:val="00AE4173"/>
    <w:rsid w:val="00AE555C"/>
    <w:rsid w:val="00AE59C5"/>
    <w:rsid w:val="00AE5B64"/>
    <w:rsid w:val="00AE5E0A"/>
    <w:rsid w:val="00AE6259"/>
    <w:rsid w:val="00AE64EA"/>
    <w:rsid w:val="00AE6AB2"/>
    <w:rsid w:val="00AE7247"/>
    <w:rsid w:val="00AE74CD"/>
    <w:rsid w:val="00AF0382"/>
    <w:rsid w:val="00AF09A2"/>
    <w:rsid w:val="00AF0B0E"/>
    <w:rsid w:val="00AF14E7"/>
    <w:rsid w:val="00AF1FAA"/>
    <w:rsid w:val="00AF2BDD"/>
    <w:rsid w:val="00AF2CC0"/>
    <w:rsid w:val="00AF2EF4"/>
    <w:rsid w:val="00AF374B"/>
    <w:rsid w:val="00AF45A5"/>
    <w:rsid w:val="00AF4A9C"/>
    <w:rsid w:val="00AF4B71"/>
    <w:rsid w:val="00AF4E2D"/>
    <w:rsid w:val="00AF4F58"/>
    <w:rsid w:val="00AF5608"/>
    <w:rsid w:val="00AF57E4"/>
    <w:rsid w:val="00AF5D1F"/>
    <w:rsid w:val="00AF601B"/>
    <w:rsid w:val="00AF6561"/>
    <w:rsid w:val="00AF6A5F"/>
    <w:rsid w:val="00AF76FC"/>
    <w:rsid w:val="00AF7A56"/>
    <w:rsid w:val="00B0013F"/>
    <w:rsid w:val="00B004CD"/>
    <w:rsid w:val="00B014EF"/>
    <w:rsid w:val="00B0166C"/>
    <w:rsid w:val="00B01687"/>
    <w:rsid w:val="00B02976"/>
    <w:rsid w:val="00B02A5D"/>
    <w:rsid w:val="00B032E1"/>
    <w:rsid w:val="00B03BE6"/>
    <w:rsid w:val="00B04067"/>
    <w:rsid w:val="00B054F7"/>
    <w:rsid w:val="00B05822"/>
    <w:rsid w:val="00B0660D"/>
    <w:rsid w:val="00B06908"/>
    <w:rsid w:val="00B06A33"/>
    <w:rsid w:val="00B06F73"/>
    <w:rsid w:val="00B0782F"/>
    <w:rsid w:val="00B105C2"/>
    <w:rsid w:val="00B1084E"/>
    <w:rsid w:val="00B1093F"/>
    <w:rsid w:val="00B10DCE"/>
    <w:rsid w:val="00B10FDA"/>
    <w:rsid w:val="00B11015"/>
    <w:rsid w:val="00B11049"/>
    <w:rsid w:val="00B116A7"/>
    <w:rsid w:val="00B11762"/>
    <w:rsid w:val="00B11E8E"/>
    <w:rsid w:val="00B12CCC"/>
    <w:rsid w:val="00B13C72"/>
    <w:rsid w:val="00B14BF4"/>
    <w:rsid w:val="00B15F05"/>
    <w:rsid w:val="00B15FB1"/>
    <w:rsid w:val="00B162F8"/>
    <w:rsid w:val="00B16A9B"/>
    <w:rsid w:val="00B16DB3"/>
    <w:rsid w:val="00B17B93"/>
    <w:rsid w:val="00B17CD0"/>
    <w:rsid w:val="00B17DE8"/>
    <w:rsid w:val="00B2019C"/>
    <w:rsid w:val="00B20573"/>
    <w:rsid w:val="00B20841"/>
    <w:rsid w:val="00B22259"/>
    <w:rsid w:val="00B223A2"/>
    <w:rsid w:val="00B22C29"/>
    <w:rsid w:val="00B23296"/>
    <w:rsid w:val="00B23433"/>
    <w:rsid w:val="00B2344B"/>
    <w:rsid w:val="00B245AC"/>
    <w:rsid w:val="00B245DC"/>
    <w:rsid w:val="00B24682"/>
    <w:rsid w:val="00B2486C"/>
    <w:rsid w:val="00B24E0F"/>
    <w:rsid w:val="00B25731"/>
    <w:rsid w:val="00B2590D"/>
    <w:rsid w:val="00B25950"/>
    <w:rsid w:val="00B25FD3"/>
    <w:rsid w:val="00B2684C"/>
    <w:rsid w:val="00B26E82"/>
    <w:rsid w:val="00B27586"/>
    <w:rsid w:val="00B27F3D"/>
    <w:rsid w:val="00B30422"/>
    <w:rsid w:val="00B304D4"/>
    <w:rsid w:val="00B30834"/>
    <w:rsid w:val="00B3165C"/>
    <w:rsid w:val="00B31758"/>
    <w:rsid w:val="00B32148"/>
    <w:rsid w:val="00B325B3"/>
    <w:rsid w:val="00B32B5F"/>
    <w:rsid w:val="00B33D7F"/>
    <w:rsid w:val="00B350CB"/>
    <w:rsid w:val="00B35E3E"/>
    <w:rsid w:val="00B36214"/>
    <w:rsid w:val="00B365C1"/>
    <w:rsid w:val="00B36D24"/>
    <w:rsid w:val="00B370CF"/>
    <w:rsid w:val="00B371EB"/>
    <w:rsid w:val="00B37327"/>
    <w:rsid w:val="00B378C5"/>
    <w:rsid w:val="00B400F2"/>
    <w:rsid w:val="00B4036F"/>
    <w:rsid w:val="00B40BE4"/>
    <w:rsid w:val="00B40DC9"/>
    <w:rsid w:val="00B413E1"/>
    <w:rsid w:val="00B41635"/>
    <w:rsid w:val="00B41A62"/>
    <w:rsid w:val="00B41B4A"/>
    <w:rsid w:val="00B41B8D"/>
    <w:rsid w:val="00B41E49"/>
    <w:rsid w:val="00B42045"/>
    <w:rsid w:val="00B42193"/>
    <w:rsid w:val="00B4237F"/>
    <w:rsid w:val="00B4243D"/>
    <w:rsid w:val="00B426E7"/>
    <w:rsid w:val="00B4299C"/>
    <w:rsid w:val="00B42A3E"/>
    <w:rsid w:val="00B42E24"/>
    <w:rsid w:val="00B430B7"/>
    <w:rsid w:val="00B436FA"/>
    <w:rsid w:val="00B43791"/>
    <w:rsid w:val="00B43AB9"/>
    <w:rsid w:val="00B43C41"/>
    <w:rsid w:val="00B43EED"/>
    <w:rsid w:val="00B43F09"/>
    <w:rsid w:val="00B4441F"/>
    <w:rsid w:val="00B4479F"/>
    <w:rsid w:val="00B451CD"/>
    <w:rsid w:val="00B45451"/>
    <w:rsid w:val="00B4587A"/>
    <w:rsid w:val="00B45A91"/>
    <w:rsid w:val="00B45B9F"/>
    <w:rsid w:val="00B45DC3"/>
    <w:rsid w:val="00B46AA3"/>
    <w:rsid w:val="00B4732A"/>
    <w:rsid w:val="00B47E82"/>
    <w:rsid w:val="00B50596"/>
    <w:rsid w:val="00B507E3"/>
    <w:rsid w:val="00B507EE"/>
    <w:rsid w:val="00B50E87"/>
    <w:rsid w:val="00B51091"/>
    <w:rsid w:val="00B5109A"/>
    <w:rsid w:val="00B51921"/>
    <w:rsid w:val="00B5242C"/>
    <w:rsid w:val="00B52DE8"/>
    <w:rsid w:val="00B535A1"/>
    <w:rsid w:val="00B53959"/>
    <w:rsid w:val="00B557A1"/>
    <w:rsid w:val="00B56DAE"/>
    <w:rsid w:val="00B571B0"/>
    <w:rsid w:val="00B5729C"/>
    <w:rsid w:val="00B57D14"/>
    <w:rsid w:val="00B57D73"/>
    <w:rsid w:val="00B604F1"/>
    <w:rsid w:val="00B60637"/>
    <w:rsid w:val="00B611E9"/>
    <w:rsid w:val="00B61A55"/>
    <w:rsid w:val="00B651B4"/>
    <w:rsid w:val="00B65A1D"/>
    <w:rsid w:val="00B66783"/>
    <w:rsid w:val="00B67306"/>
    <w:rsid w:val="00B67475"/>
    <w:rsid w:val="00B67A72"/>
    <w:rsid w:val="00B70382"/>
    <w:rsid w:val="00B706C2"/>
    <w:rsid w:val="00B71010"/>
    <w:rsid w:val="00B713BE"/>
    <w:rsid w:val="00B71429"/>
    <w:rsid w:val="00B721B9"/>
    <w:rsid w:val="00B724A5"/>
    <w:rsid w:val="00B725F9"/>
    <w:rsid w:val="00B72819"/>
    <w:rsid w:val="00B72DBB"/>
    <w:rsid w:val="00B73203"/>
    <w:rsid w:val="00B73EDD"/>
    <w:rsid w:val="00B73F0D"/>
    <w:rsid w:val="00B741EC"/>
    <w:rsid w:val="00B7512A"/>
    <w:rsid w:val="00B75194"/>
    <w:rsid w:val="00B75F51"/>
    <w:rsid w:val="00B76723"/>
    <w:rsid w:val="00B7783A"/>
    <w:rsid w:val="00B77BC7"/>
    <w:rsid w:val="00B77DAF"/>
    <w:rsid w:val="00B80306"/>
    <w:rsid w:val="00B8057C"/>
    <w:rsid w:val="00B80DBD"/>
    <w:rsid w:val="00B813FC"/>
    <w:rsid w:val="00B81CBD"/>
    <w:rsid w:val="00B8218F"/>
    <w:rsid w:val="00B82481"/>
    <w:rsid w:val="00B82A5C"/>
    <w:rsid w:val="00B82C75"/>
    <w:rsid w:val="00B8323A"/>
    <w:rsid w:val="00B8379F"/>
    <w:rsid w:val="00B8385B"/>
    <w:rsid w:val="00B839F6"/>
    <w:rsid w:val="00B84041"/>
    <w:rsid w:val="00B841C0"/>
    <w:rsid w:val="00B843EA"/>
    <w:rsid w:val="00B84406"/>
    <w:rsid w:val="00B8442E"/>
    <w:rsid w:val="00B84858"/>
    <w:rsid w:val="00B84C11"/>
    <w:rsid w:val="00B84D95"/>
    <w:rsid w:val="00B8626B"/>
    <w:rsid w:val="00B87056"/>
    <w:rsid w:val="00B876EC"/>
    <w:rsid w:val="00B87AB5"/>
    <w:rsid w:val="00B90020"/>
    <w:rsid w:val="00B9089B"/>
    <w:rsid w:val="00B90AA7"/>
    <w:rsid w:val="00B91DBC"/>
    <w:rsid w:val="00B92083"/>
    <w:rsid w:val="00B920E4"/>
    <w:rsid w:val="00B9290D"/>
    <w:rsid w:val="00B937DE"/>
    <w:rsid w:val="00B938B4"/>
    <w:rsid w:val="00B939F4"/>
    <w:rsid w:val="00B95687"/>
    <w:rsid w:val="00B95706"/>
    <w:rsid w:val="00B95989"/>
    <w:rsid w:val="00B95B69"/>
    <w:rsid w:val="00B97554"/>
    <w:rsid w:val="00B97984"/>
    <w:rsid w:val="00BA0048"/>
    <w:rsid w:val="00BA060B"/>
    <w:rsid w:val="00BA0CB8"/>
    <w:rsid w:val="00BA12D1"/>
    <w:rsid w:val="00BA136F"/>
    <w:rsid w:val="00BA1426"/>
    <w:rsid w:val="00BA2494"/>
    <w:rsid w:val="00BA259A"/>
    <w:rsid w:val="00BA261A"/>
    <w:rsid w:val="00BA3213"/>
    <w:rsid w:val="00BA3CE5"/>
    <w:rsid w:val="00BA5165"/>
    <w:rsid w:val="00BA5228"/>
    <w:rsid w:val="00BA5A36"/>
    <w:rsid w:val="00BA5FBE"/>
    <w:rsid w:val="00BA611A"/>
    <w:rsid w:val="00BA622E"/>
    <w:rsid w:val="00BA653B"/>
    <w:rsid w:val="00BA692D"/>
    <w:rsid w:val="00BA69B0"/>
    <w:rsid w:val="00BA6EA0"/>
    <w:rsid w:val="00BA6F17"/>
    <w:rsid w:val="00BA701D"/>
    <w:rsid w:val="00BA7CBF"/>
    <w:rsid w:val="00BB058E"/>
    <w:rsid w:val="00BB0754"/>
    <w:rsid w:val="00BB0B18"/>
    <w:rsid w:val="00BB1110"/>
    <w:rsid w:val="00BB185B"/>
    <w:rsid w:val="00BB195B"/>
    <w:rsid w:val="00BB211E"/>
    <w:rsid w:val="00BB2147"/>
    <w:rsid w:val="00BB28E5"/>
    <w:rsid w:val="00BB2C31"/>
    <w:rsid w:val="00BB2F0F"/>
    <w:rsid w:val="00BB400B"/>
    <w:rsid w:val="00BB43FA"/>
    <w:rsid w:val="00BB4910"/>
    <w:rsid w:val="00BB5535"/>
    <w:rsid w:val="00BB55E5"/>
    <w:rsid w:val="00BB5E1A"/>
    <w:rsid w:val="00BB62EA"/>
    <w:rsid w:val="00BB6352"/>
    <w:rsid w:val="00BB6474"/>
    <w:rsid w:val="00BB6A8B"/>
    <w:rsid w:val="00BB7550"/>
    <w:rsid w:val="00BB7A5F"/>
    <w:rsid w:val="00BC07D7"/>
    <w:rsid w:val="00BC1169"/>
    <w:rsid w:val="00BC1D56"/>
    <w:rsid w:val="00BC23C9"/>
    <w:rsid w:val="00BC2DB2"/>
    <w:rsid w:val="00BC332E"/>
    <w:rsid w:val="00BC3448"/>
    <w:rsid w:val="00BC3530"/>
    <w:rsid w:val="00BC3BD1"/>
    <w:rsid w:val="00BC4369"/>
    <w:rsid w:val="00BC4589"/>
    <w:rsid w:val="00BC4AB7"/>
    <w:rsid w:val="00BC4E09"/>
    <w:rsid w:val="00BC4E15"/>
    <w:rsid w:val="00BC56BF"/>
    <w:rsid w:val="00BC59A7"/>
    <w:rsid w:val="00BC5BBC"/>
    <w:rsid w:val="00BC60C2"/>
    <w:rsid w:val="00BC639E"/>
    <w:rsid w:val="00BC640D"/>
    <w:rsid w:val="00BC6B95"/>
    <w:rsid w:val="00BC6FFA"/>
    <w:rsid w:val="00BC7A05"/>
    <w:rsid w:val="00BD0599"/>
    <w:rsid w:val="00BD107D"/>
    <w:rsid w:val="00BD1388"/>
    <w:rsid w:val="00BD1A35"/>
    <w:rsid w:val="00BD1ED1"/>
    <w:rsid w:val="00BD4096"/>
    <w:rsid w:val="00BD421C"/>
    <w:rsid w:val="00BD481E"/>
    <w:rsid w:val="00BD4B5F"/>
    <w:rsid w:val="00BD5334"/>
    <w:rsid w:val="00BD5682"/>
    <w:rsid w:val="00BD582F"/>
    <w:rsid w:val="00BD5C04"/>
    <w:rsid w:val="00BE04E1"/>
    <w:rsid w:val="00BE0570"/>
    <w:rsid w:val="00BE189C"/>
    <w:rsid w:val="00BE1970"/>
    <w:rsid w:val="00BE1BE6"/>
    <w:rsid w:val="00BE32EA"/>
    <w:rsid w:val="00BE3745"/>
    <w:rsid w:val="00BE3D1A"/>
    <w:rsid w:val="00BE4215"/>
    <w:rsid w:val="00BE4646"/>
    <w:rsid w:val="00BE47C8"/>
    <w:rsid w:val="00BE51B4"/>
    <w:rsid w:val="00BE56BC"/>
    <w:rsid w:val="00BE58DD"/>
    <w:rsid w:val="00BE59F0"/>
    <w:rsid w:val="00BE5F5E"/>
    <w:rsid w:val="00BE6C9B"/>
    <w:rsid w:val="00BE6D44"/>
    <w:rsid w:val="00BE71AB"/>
    <w:rsid w:val="00BE744D"/>
    <w:rsid w:val="00BE75CA"/>
    <w:rsid w:val="00BF0158"/>
    <w:rsid w:val="00BF020A"/>
    <w:rsid w:val="00BF0869"/>
    <w:rsid w:val="00BF0C68"/>
    <w:rsid w:val="00BF1881"/>
    <w:rsid w:val="00BF18ED"/>
    <w:rsid w:val="00BF1FE6"/>
    <w:rsid w:val="00BF22CC"/>
    <w:rsid w:val="00BF3630"/>
    <w:rsid w:val="00BF3B88"/>
    <w:rsid w:val="00BF3CD4"/>
    <w:rsid w:val="00BF4248"/>
    <w:rsid w:val="00BF451D"/>
    <w:rsid w:val="00BF4680"/>
    <w:rsid w:val="00BF5820"/>
    <w:rsid w:val="00BF5B50"/>
    <w:rsid w:val="00BF5B54"/>
    <w:rsid w:val="00BF5FAB"/>
    <w:rsid w:val="00BF6EEF"/>
    <w:rsid w:val="00BF7115"/>
    <w:rsid w:val="00BF7410"/>
    <w:rsid w:val="00BF76F2"/>
    <w:rsid w:val="00BF79C4"/>
    <w:rsid w:val="00C00191"/>
    <w:rsid w:val="00C00B42"/>
    <w:rsid w:val="00C02414"/>
    <w:rsid w:val="00C02D52"/>
    <w:rsid w:val="00C02ECA"/>
    <w:rsid w:val="00C02F25"/>
    <w:rsid w:val="00C0385F"/>
    <w:rsid w:val="00C03D75"/>
    <w:rsid w:val="00C0426F"/>
    <w:rsid w:val="00C04344"/>
    <w:rsid w:val="00C04356"/>
    <w:rsid w:val="00C0453A"/>
    <w:rsid w:val="00C0473D"/>
    <w:rsid w:val="00C04E26"/>
    <w:rsid w:val="00C06321"/>
    <w:rsid w:val="00C06B0B"/>
    <w:rsid w:val="00C07207"/>
    <w:rsid w:val="00C07B61"/>
    <w:rsid w:val="00C112BC"/>
    <w:rsid w:val="00C11A97"/>
    <w:rsid w:val="00C12021"/>
    <w:rsid w:val="00C120DE"/>
    <w:rsid w:val="00C128A2"/>
    <w:rsid w:val="00C12F0F"/>
    <w:rsid w:val="00C133C7"/>
    <w:rsid w:val="00C1409B"/>
    <w:rsid w:val="00C14514"/>
    <w:rsid w:val="00C14817"/>
    <w:rsid w:val="00C148EF"/>
    <w:rsid w:val="00C14FC9"/>
    <w:rsid w:val="00C15277"/>
    <w:rsid w:val="00C160D2"/>
    <w:rsid w:val="00C1615A"/>
    <w:rsid w:val="00C162D9"/>
    <w:rsid w:val="00C16FB3"/>
    <w:rsid w:val="00C17633"/>
    <w:rsid w:val="00C2047C"/>
    <w:rsid w:val="00C207D4"/>
    <w:rsid w:val="00C208C1"/>
    <w:rsid w:val="00C21757"/>
    <w:rsid w:val="00C21912"/>
    <w:rsid w:val="00C21FD5"/>
    <w:rsid w:val="00C221CB"/>
    <w:rsid w:val="00C234E6"/>
    <w:rsid w:val="00C2397A"/>
    <w:rsid w:val="00C23A18"/>
    <w:rsid w:val="00C23E01"/>
    <w:rsid w:val="00C254A5"/>
    <w:rsid w:val="00C25581"/>
    <w:rsid w:val="00C25EE5"/>
    <w:rsid w:val="00C267F5"/>
    <w:rsid w:val="00C26DC6"/>
    <w:rsid w:val="00C27703"/>
    <w:rsid w:val="00C27CED"/>
    <w:rsid w:val="00C301F6"/>
    <w:rsid w:val="00C30F55"/>
    <w:rsid w:val="00C31475"/>
    <w:rsid w:val="00C31585"/>
    <w:rsid w:val="00C319CC"/>
    <w:rsid w:val="00C31F8A"/>
    <w:rsid w:val="00C32257"/>
    <w:rsid w:val="00C3259F"/>
    <w:rsid w:val="00C32BCF"/>
    <w:rsid w:val="00C333F1"/>
    <w:rsid w:val="00C34213"/>
    <w:rsid w:val="00C346E8"/>
    <w:rsid w:val="00C3475B"/>
    <w:rsid w:val="00C34B61"/>
    <w:rsid w:val="00C351B8"/>
    <w:rsid w:val="00C3542B"/>
    <w:rsid w:val="00C35B15"/>
    <w:rsid w:val="00C35B40"/>
    <w:rsid w:val="00C35EBE"/>
    <w:rsid w:val="00C36323"/>
    <w:rsid w:val="00C3648F"/>
    <w:rsid w:val="00C364AD"/>
    <w:rsid w:val="00C37322"/>
    <w:rsid w:val="00C37483"/>
    <w:rsid w:val="00C374BB"/>
    <w:rsid w:val="00C37579"/>
    <w:rsid w:val="00C37758"/>
    <w:rsid w:val="00C37762"/>
    <w:rsid w:val="00C378CF"/>
    <w:rsid w:val="00C378E3"/>
    <w:rsid w:val="00C400B5"/>
    <w:rsid w:val="00C400DC"/>
    <w:rsid w:val="00C40661"/>
    <w:rsid w:val="00C407C3"/>
    <w:rsid w:val="00C40B9A"/>
    <w:rsid w:val="00C40C76"/>
    <w:rsid w:val="00C4102A"/>
    <w:rsid w:val="00C41CDC"/>
    <w:rsid w:val="00C42E12"/>
    <w:rsid w:val="00C43090"/>
    <w:rsid w:val="00C43947"/>
    <w:rsid w:val="00C43A8C"/>
    <w:rsid w:val="00C44F9D"/>
    <w:rsid w:val="00C45A56"/>
    <w:rsid w:val="00C45BAF"/>
    <w:rsid w:val="00C460E0"/>
    <w:rsid w:val="00C46355"/>
    <w:rsid w:val="00C47332"/>
    <w:rsid w:val="00C47361"/>
    <w:rsid w:val="00C475EB"/>
    <w:rsid w:val="00C47A84"/>
    <w:rsid w:val="00C504FF"/>
    <w:rsid w:val="00C50703"/>
    <w:rsid w:val="00C51077"/>
    <w:rsid w:val="00C512E0"/>
    <w:rsid w:val="00C5161B"/>
    <w:rsid w:val="00C52006"/>
    <w:rsid w:val="00C5280E"/>
    <w:rsid w:val="00C52DB6"/>
    <w:rsid w:val="00C5401F"/>
    <w:rsid w:val="00C542FE"/>
    <w:rsid w:val="00C544BC"/>
    <w:rsid w:val="00C54AB8"/>
    <w:rsid w:val="00C54B19"/>
    <w:rsid w:val="00C5526D"/>
    <w:rsid w:val="00C55C20"/>
    <w:rsid w:val="00C560BC"/>
    <w:rsid w:val="00C5627C"/>
    <w:rsid w:val="00C56FC4"/>
    <w:rsid w:val="00C574BC"/>
    <w:rsid w:val="00C57628"/>
    <w:rsid w:val="00C5775F"/>
    <w:rsid w:val="00C57D92"/>
    <w:rsid w:val="00C6071C"/>
    <w:rsid w:val="00C60752"/>
    <w:rsid w:val="00C61BE1"/>
    <w:rsid w:val="00C61F77"/>
    <w:rsid w:val="00C63BDC"/>
    <w:rsid w:val="00C63FCF"/>
    <w:rsid w:val="00C6408D"/>
    <w:rsid w:val="00C643D2"/>
    <w:rsid w:val="00C647B3"/>
    <w:rsid w:val="00C64A53"/>
    <w:rsid w:val="00C64CD5"/>
    <w:rsid w:val="00C64F8A"/>
    <w:rsid w:val="00C652EA"/>
    <w:rsid w:val="00C67212"/>
    <w:rsid w:val="00C67274"/>
    <w:rsid w:val="00C67AB4"/>
    <w:rsid w:val="00C7163C"/>
    <w:rsid w:val="00C718EF"/>
    <w:rsid w:val="00C72DB3"/>
    <w:rsid w:val="00C72DB4"/>
    <w:rsid w:val="00C731A7"/>
    <w:rsid w:val="00C73504"/>
    <w:rsid w:val="00C745EF"/>
    <w:rsid w:val="00C75251"/>
    <w:rsid w:val="00C757D4"/>
    <w:rsid w:val="00C75909"/>
    <w:rsid w:val="00C75A20"/>
    <w:rsid w:val="00C760D4"/>
    <w:rsid w:val="00C76419"/>
    <w:rsid w:val="00C7668E"/>
    <w:rsid w:val="00C76EEB"/>
    <w:rsid w:val="00C76F18"/>
    <w:rsid w:val="00C80501"/>
    <w:rsid w:val="00C80525"/>
    <w:rsid w:val="00C81FA5"/>
    <w:rsid w:val="00C8228C"/>
    <w:rsid w:val="00C82CC6"/>
    <w:rsid w:val="00C82D6D"/>
    <w:rsid w:val="00C83380"/>
    <w:rsid w:val="00C834C7"/>
    <w:rsid w:val="00C8386D"/>
    <w:rsid w:val="00C840D8"/>
    <w:rsid w:val="00C84919"/>
    <w:rsid w:val="00C8527F"/>
    <w:rsid w:val="00C852C7"/>
    <w:rsid w:val="00C85623"/>
    <w:rsid w:val="00C856D8"/>
    <w:rsid w:val="00C85A5D"/>
    <w:rsid w:val="00C86200"/>
    <w:rsid w:val="00C8767B"/>
    <w:rsid w:val="00C90089"/>
    <w:rsid w:val="00C91CE7"/>
    <w:rsid w:val="00C91DBA"/>
    <w:rsid w:val="00C91ECC"/>
    <w:rsid w:val="00C922C4"/>
    <w:rsid w:val="00C926BD"/>
    <w:rsid w:val="00C92ABC"/>
    <w:rsid w:val="00C92C31"/>
    <w:rsid w:val="00C92FD7"/>
    <w:rsid w:val="00C944A8"/>
    <w:rsid w:val="00C94EA5"/>
    <w:rsid w:val="00C94EF5"/>
    <w:rsid w:val="00C9597A"/>
    <w:rsid w:val="00C95CED"/>
    <w:rsid w:val="00C962CC"/>
    <w:rsid w:val="00C962DB"/>
    <w:rsid w:val="00C9642E"/>
    <w:rsid w:val="00C9691B"/>
    <w:rsid w:val="00C96F9E"/>
    <w:rsid w:val="00C9782E"/>
    <w:rsid w:val="00C97973"/>
    <w:rsid w:val="00CA0554"/>
    <w:rsid w:val="00CA0943"/>
    <w:rsid w:val="00CA1325"/>
    <w:rsid w:val="00CA18CA"/>
    <w:rsid w:val="00CA1A6F"/>
    <w:rsid w:val="00CA1C98"/>
    <w:rsid w:val="00CA1E55"/>
    <w:rsid w:val="00CA2529"/>
    <w:rsid w:val="00CA29A0"/>
    <w:rsid w:val="00CA2A64"/>
    <w:rsid w:val="00CA2B3F"/>
    <w:rsid w:val="00CA2DE7"/>
    <w:rsid w:val="00CA3243"/>
    <w:rsid w:val="00CA3576"/>
    <w:rsid w:val="00CA49E3"/>
    <w:rsid w:val="00CA4F4A"/>
    <w:rsid w:val="00CA556D"/>
    <w:rsid w:val="00CA56B1"/>
    <w:rsid w:val="00CA5E9A"/>
    <w:rsid w:val="00CA6182"/>
    <w:rsid w:val="00CA6AC3"/>
    <w:rsid w:val="00CA6BFE"/>
    <w:rsid w:val="00CA72A4"/>
    <w:rsid w:val="00CA76C7"/>
    <w:rsid w:val="00CB0BBB"/>
    <w:rsid w:val="00CB11A3"/>
    <w:rsid w:val="00CB14C2"/>
    <w:rsid w:val="00CB1703"/>
    <w:rsid w:val="00CB1E1E"/>
    <w:rsid w:val="00CB1F67"/>
    <w:rsid w:val="00CB2445"/>
    <w:rsid w:val="00CB2C7E"/>
    <w:rsid w:val="00CB3025"/>
    <w:rsid w:val="00CB3466"/>
    <w:rsid w:val="00CB3A45"/>
    <w:rsid w:val="00CB4319"/>
    <w:rsid w:val="00CB5BFC"/>
    <w:rsid w:val="00CB5D89"/>
    <w:rsid w:val="00CB6073"/>
    <w:rsid w:val="00CB60E2"/>
    <w:rsid w:val="00CB643C"/>
    <w:rsid w:val="00CB64B0"/>
    <w:rsid w:val="00CB650E"/>
    <w:rsid w:val="00CB67B6"/>
    <w:rsid w:val="00CB739B"/>
    <w:rsid w:val="00CB7ABA"/>
    <w:rsid w:val="00CB7F5E"/>
    <w:rsid w:val="00CC0ACC"/>
    <w:rsid w:val="00CC1457"/>
    <w:rsid w:val="00CC15CF"/>
    <w:rsid w:val="00CC1C4F"/>
    <w:rsid w:val="00CC3AE3"/>
    <w:rsid w:val="00CC3DDF"/>
    <w:rsid w:val="00CC4035"/>
    <w:rsid w:val="00CC421D"/>
    <w:rsid w:val="00CC4917"/>
    <w:rsid w:val="00CC50AE"/>
    <w:rsid w:val="00CC51B3"/>
    <w:rsid w:val="00CC540B"/>
    <w:rsid w:val="00CC5CC3"/>
    <w:rsid w:val="00CC5CF7"/>
    <w:rsid w:val="00CC6405"/>
    <w:rsid w:val="00CC7A32"/>
    <w:rsid w:val="00CC7FA9"/>
    <w:rsid w:val="00CD002B"/>
    <w:rsid w:val="00CD073B"/>
    <w:rsid w:val="00CD0A53"/>
    <w:rsid w:val="00CD1D70"/>
    <w:rsid w:val="00CD1D84"/>
    <w:rsid w:val="00CD1E73"/>
    <w:rsid w:val="00CD1F05"/>
    <w:rsid w:val="00CD1F40"/>
    <w:rsid w:val="00CD207C"/>
    <w:rsid w:val="00CD26D8"/>
    <w:rsid w:val="00CD2B09"/>
    <w:rsid w:val="00CD2CE6"/>
    <w:rsid w:val="00CD3070"/>
    <w:rsid w:val="00CD31E1"/>
    <w:rsid w:val="00CD3506"/>
    <w:rsid w:val="00CD3CE7"/>
    <w:rsid w:val="00CD42D5"/>
    <w:rsid w:val="00CD45C9"/>
    <w:rsid w:val="00CD509F"/>
    <w:rsid w:val="00CD55EE"/>
    <w:rsid w:val="00CD5B55"/>
    <w:rsid w:val="00CD68C4"/>
    <w:rsid w:val="00CD6D1C"/>
    <w:rsid w:val="00CD6E7F"/>
    <w:rsid w:val="00CD762D"/>
    <w:rsid w:val="00CD76E5"/>
    <w:rsid w:val="00CD7A0C"/>
    <w:rsid w:val="00CE02ED"/>
    <w:rsid w:val="00CE0503"/>
    <w:rsid w:val="00CE053F"/>
    <w:rsid w:val="00CE0A27"/>
    <w:rsid w:val="00CE0FC9"/>
    <w:rsid w:val="00CE12FF"/>
    <w:rsid w:val="00CE1588"/>
    <w:rsid w:val="00CE1936"/>
    <w:rsid w:val="00CE2281"/>
    <w:rsid w:val="00CE262A"/>
    <w:rsid w:val="00CE26DA"/>
    <w:rsid w:val="00CE27DE"/>
    <w:rsid w:val="00CE2DAE"/>
    <w:rsid w:val="00CE388A"/>
    <w:rsid w:val="00CE3E57"/>
    <w:rsid w:val="00CE3F4A"/>
    <w:rsid w:val="00CE3FBB"/>
    <w:rsid w:val="00CE41AC"/>
    <w:rsid w:val="00CE49BC"/>
    <w:rsid w:val="00CE5394"/>
    <w:rsid w:val="00CE5F5C"/>
    <w:rsid w:val="00CE6AC2"/>
    <w:rsid w:val="00CE6E7F"/>
    <w:rsid w:val="00CE72C8"/>
    <w:rsid w:val="00CE7328"/>
    <w:rsid w:val="00CE746A"/>
    <w:rsid w:val="00CE7B07"/>
    <w:rsid w:val="00CE7C01"/>
    <w:rsid w:val="00CE7E17"/>
    <w:rsid w:val="00CF0E24"/>
    <w:rsid w:val="00CF11F1"/>
    <w:rsid w:val="00CF15B6"/>
    <w:rsid w:val="00CF1620"/>
    <w:rsid w:val="00CF1FC0"/>
    <w:rsid w:val="00CF250B"/>
    <w:rsid w:val="00CF2A03"/>
    <w:rsid w:val="00CF3810"/>
    <w:rsid w:val="00CF3916"/>
    <w:rsid w:val="00CF4A33"/>
    <w:rsid w:val="00CF4B54"/>
    <w:rsid w:val="00CF547F"/>
    <w:rsid w:val="00CF553A"/>
    <w:rsid w:val="00CF7236"/>
    <w:rsid w:val="00CF76BB"/>
    <w:rsid w:val="00CF770C"/>
    <w:rsid w:val="00CF7DC5"/>
    <w:rsid w:val="00CF7E09"/>
    <w:rsid w:val="00D00A1C"/>
    <w:rsid w:val="00D00DB5"/>
    <w:rsid w:val="00D01E82"/>
    <w:rsid w:val="00D023D4"/>
    <w:rsid w:val="00D03345"/>
    <w:rsid w:val="00D03F97"/>
    <w:rsid w:val="00D04587"/>
    <w:rsid w:val="00D04826"/>
    <w:rsid w:val="00D056D9"/>
    <w:rsid w:val="00D0599D"/>
    <w:rsid w:val="00D06362"/>
    <w:rsid w:val="00D06CAB"/>
    <w:rsid w:val="00D070BE"/>
    <w:rsid w:val="00D07C62"/>
    <w:rsid w:val="00D1047A"/>
    <w:rsid w:val="00D10F55"/>
    <w:rsid w:val="00D118B0"/>
    <w:rsid w:val="00D12912"/>
    <w:rsid w:val="00D130F7"/>
    <w:rsid w:val="00D13A24"/>
    <w:rsid w:val="00D145FC"/>
    <w:rsid w:val="00D14A77"/>
    <w:rsid w:val="00D1556A"/>
    <w:rsid w:val="00D159D3"/>
    <w:rsid w:val="00D15B20"/>
    <w:rsid w:val="00D16DC0"/>
    <w:rsid w:val="00D173B1"/>
    <w:rsid w:val="00D2016E"/>
    <w:rsid w:val="00D20478"/>
    <w:rsid w:val="00D20F4B"/>
    <w:rsid w:val="00D21199"/>
    <w:rsid w:val="00D21B69"/>
    <w:rsid w:val="00D221BB"/>
    <w:rsid w:val="00D22545"/>
    <w:rsid w:val="00D22929"/>
    <w:rsid w:val="00D22D3F"/>
    <w:rsid w:val="00D22D44"/>
    <w:rsid w:val="00D23686"/>
    <w:rsid w:val="00D236A8"/>
    <w:rsid w:val="00D2483F"/>
    <w:rsid w:val="00D254BB"/>
    <w:rsid w:val="00D254FC"/>
    <w:rsid w:val="00D25789"/>
    <w:rsid w:val="00D257D1"/>
    <w:rsid w:val="00D25C9E"/>
    <w:rsid w:val="00D25CF8"/>
    <w:rsid w:val="00D26445"/>
    <w:rsid w:val="00D26447"/>
    <w:rsid w:val="00D26901"/>
    <w:rsid w:val="00D26A5D"/>
    <w:rsid w:val="00D26FCD"/>
    <w:rsid w:val="00D27830"/>
    <w:rsid w:val="00D308B5"/>
    <w:rsid w:val="00D31055"/>
    <w:rsid w:val="00D3133A"/>
    <w:rsid w:val="00D31867"/>
    <w:rsid w:val="00D31932"/>
    <w:rsid w:val="00D32321"/>
    <w:rsid w:val="00D34309"/>
    <w:rsid w:val="00D355BF"/>
    <w:rsid w:val="00D35A1C"/>
    <w:rsid w:val="00D3664F"/>
    <w:rsid w:val="00D366D1"/>
    <w:rsid w:val="00D368B3"/>
    <w:rsid w:val="00D36F46"/>
    <w:rsid w:val="00D370E5"/>
    <w:rsid w:val="00D37E65"/>
    <w:rsid w:val="00D40F41"/>
    <w:rsid w:val="00D41073"/>
    <w:rsid w:val="00D41077"/>
    <w:rsid w:val="00D41125"/>
    <w:rsid w:val="00D4122C"/>
    <w:rsid w:val="00D41955"/>
    <w:rsid w:val="00D419D4"/>
    <w:rsid w:val="00D4213C"/>
    <w:rsid w:val="00D426B7"/>
    <w:rsid w:val="00D42867"/>
    <w:rsid w:val="00D42E9F"/>
    <w:rsid w:val="00D433BA"/>
    <w:rsid w:val="00D4394D"/>
    <w:rsid w:val="00D43B03"/>
    <w:rsid w:val="00D44416"/>
    <w:rsid w:val="00D45088"/>
    <w:rsid w:val="00D458CC"/>
    <w:rsid w:val="00D4612F"/>
    <w:rsid w:val="00D4715D"/>
    <w:rsid w:val="00D50281"/>
    <w:rsid w:val="00D502A6"/>
    <w:rsid w:val="00D50FE8"/>
    <w:rsid w:val="00D511E9"/>
    <w:rsid w:val="00D5143A"/>
    <w:rsid w:val="00D51CDC"/>
    <w:rsid w:val="00D51D28"/>
    <w:rsid w:val="00D52404"/>
    <w:rsid w:val="00D52BFC"/>
    <w:rsid w:val="00D535AE"/>
    <w:rsid w:val="00D5368E"/>
    <w:rsid w:val="00D54179"/>
    <w:rsid w:val="00D54281"/>
    <w:rsid w:val="00D54627"/>
    <w:rsid w:val="00D54BD7"/>
    <w:rsid w:val="00D5500A"/>
    <w:rsid w:val="00D55313"/>
    <w:rsid w:val="00D5545F"/>
    <w:rsid w:val="00D55600"/>
    <w:rsid w:val="00D5597B"/>
    <w:rsid w:val="00D55A24"/>
    <w:rsid w:val="00D55B26"/>
    <w:rsid w:val="00D564EB"/>
    <w:rsid w:val="00D5657C"/>
    <w:rsid w:val="00D56B22"/>
    <w:rsid w:val="00D56FA8"/>
    <w:rsid w:val="00D570E3"/>
    <w:rsid w:val="00D57748"/>
    <w:rsid w:val="00D60260"/>
    <w:rsid w:val="00D60C41"/>
    <w:rsid w:val="00D61371"/>
    <w:rsid w:val="00D619F1"/>
    <w:rsid w:val="00D61DA6"/>
    <w:rsid w:val="00D6269A"/>
    <w:rsid w:val="00D62F1A"/>
    <w:rsid w:val="00D62F79"/>
    <w:rsid w:val="00D62F93"/>
    <w:rsid w:val="00D63153"/>
    <w:rsid w:val="00D632AA"/>
    <w:rsid w:val="00D63913"/>
    <w:rsid w:val="00D6395B"/>
    <w:rsid w:val="00D64197"/>
    <w:rsid w:val="00D64506"/>
    <w:rsid w:val="00D645DD"/>
    <w:rsid w:val="00D6483E"/>
    <w:rsid w:val="00D64F0D"/>
    <w:rsid w:val="00D65171"/>
    <w:rsid w:val="00D65752"/>
    <w:rsid w:val="00D65DCA"/>
    <w:rsid w:val="00D6694A"/>
    <w:rsid w:val="00D66C5B"/>
    <w:rsid w:val="00D66CAC"/>
    <w:rsid w:val="00D66DA3"/>
    <w:rsid w:val="00D671E8"/>
    <w:rsid w:val="00D7039E"/>
    <w:rsid w:val="00D705D5"/>
    <w:rsid w:val="00D7071E"/>
    <w:rsid w:val="00D7081C"/>
    <w:rsid w:val="00D70A26"/>
    <w:rsid w:val="00D713C6"/>
    <w:rsid w:val="00D71594"/>
    <w:rsid w:val="00D71797"/>
    <w:rsid w:val="00D7182A"/>
    <w:rsid w:val="00D71BD5"/>
    <w:rsid w:val="00D720BB"/>
    <w:rsid w:val="00D7269D"/>
    <w:rsid w:val="00D72AD1"/>
    <w:rsid w:val="00D730BF"/>
    <w:rsid w:val="00D73E22"/>
    <w:rsid w:val="00D740EB"/>
    <w:rsid w:val="00D744CD"/>
    <w:rsid w:val="00D747A7"/>
    <w:rsid w:val="00D74B6E"/>
    <w:rsid w:val="00D74C4F"/>
    <w:rsid w:val="00D74E5C"/>
    <w:rsid w:val="00D7501C"/>
    <w:rsid w:val="00D76395"/>
    <w:rsid w:val="00D763BB"/>
    <w:rsid w:val="00D7686F"/>
    <w:rsid w:val="00D7707D"/>
    <w:rsid w:val="00D77D77"/>
    <w:rsid w:val="00D804E4"/>
    <w:rsid w:val="00D80D0E"/>
    <w:rsid w:val="00D80EF0"/>
    <w:rsid w:val="00D8148F"/>
    <w:rsid w:val="00D81532"/>
    <w:rsid w:val="00D832DC"/>
    <w:rsid w:val="00D8363F"/>
    <w:rsid w:val="00D851EC"/>
    <w:rsid w:val="00D85C17"/>
    <w:rsid w:val="00D85C32"/>
    <w:rsid w:val="00D85CF7"/>
    <w:rsid w:val="00D86666"/>
    <w:rsid w:val="00D86842"/>
    <w:rsid w:val="00D871F9"/>
    <w:rsid w:val="00D87570"/>
    <w:rsid w:val="00D87E4B"/>
    <w:rsid w:val="00D87E51"/>
    <w:rsid w:val="00D90066"/>
    <w:rsid w:val="00D90181"/>
    <w:rsid w:val="00D906F8"/>
    <w:rsid w:val="00D908F1"/>
    <w:rsid w:val="00D90DF8"/>
    <w:rsid w:val="00D9116B"/>
    <w:rsid w:val="00D91FDB"/>
    <w:rsid w:val="00D92026"/>
    <w:rsid w:val="00D9305F"/>
    <w:rsid w:val="00D931F0"/>
    <w:rsid w:val="00D9377E"/>
    <w:rsid w:val="00D939FA"/>
    <w:rsid w:val="00D93DAB"/>
    <w:rsid w:val="00D95CCC"/>
    <w:rsid w:val="00D96519"/>
    <w:rsid w:val="00D96636"/>
    <w:rsid w:val="00D96A68"/>
    <w:rsid w:val="00D96B1E"/>
    <w:rsid w:val="00D96DD8"/>
    <w:rsid w:val="00D9702F"/>
    <w:rsid w:val="00D971E2"/>
    <w:rsid w:val="00D97209"/>
    <w:rsid w:val="00D9748E"/>
    <w:rsid w:val="00D97B0B"/>
    <w:rsid w:val="00D97DE5"/>
    <w:rsid w:val="00D97E9C"/>
    <w:rsid w:val="00DA0255"/>
    <w:rsid w:val="00DA059B"/>
    <w:rsid w:val="00DA05A5"/>
    <w:rsid w:val="00DA0B95"/>
    <w:rsid w:val="00DA1164"/>
    <w:rsid w:val="00DA16DA"/>
    <w:rsid w:val="00DA194B"/>
    <w:rsid w:val="00DA1B98"/>
    <w:rsid w:val="00DA30A6"/>
    <w:rsid w:val="00DA3E76"/>
    <w:rsid w:val="00DA43C1"/>
    <w:rsid w:val="00DA43EA"/>
    <w:rsid w:val="00DA449B"/>
    <w:rsid w:val="00DA44C8"/>
    <w:rsid w:val="00DA46E7"/>
    <w:rsid w:val="00DA48CD"/>
    <w:rsid w:val="00DA5025"/>
    <w:rsid w:val="00DA51FC"/>
    <w:rsid w:val="00DA53EC"/>
    <w:rsid w:val="00DA5726"/>
    <w:rsid w:val="00DA6CC1"/>
    <w:rsid w:val="00DA6DCB"/>
    <w:rsid w:val="00DA7540"/>
    <w:rsid w:val="00DB0085"/>
    <w:rsid w:val="00DB0E6D"/>
    <w:rsid w:val="00DB1496"/>
    <w:rsid w:val="00DB16DB"/>
    <w:rsid w:val="00DB273B"/>
    <w:rsid w:val="00DB2F5A"/>
    <w:rsid w:val="00DB3879"/>
    <w:rsid w:val="00DB3921"/>
    <w:rsid w:val="00DB3929"/>
    <w:rsid w:val="00DB3B11"/>
    <w:rsid w:val="00DB4E80"/>
    <w:rsid w:val="00DB4EC5"/>
    <w:rsid w:val="00DB5061"/>
    <w:rsid w:val="00DB5682"/>
    <w:rsid w:val="00DB5F30"/>
    <w:rsid w:val="00DB5FCC"/>
    <w:rsid w:val="00DB68F5"/>
    <w:rsid w:val="00DB7241"/>
    <w:rsid w:val="00DB783E"/>
    <w:rsid w:val="00DB7DFC"/>
    <w:rsid w:val="00DC0B92"/>
    <w:rsid w:val="00DC1445"/>
    <w:rsid w:val="00DC1572"/>
    <w:rsid w:val="00DC1825"/>
    <w:rsid w:val="00DC1E26"/>
    <w:rsid w:val="00DC1FB3"/>
    <w:rsid w:val="00DC2259"/>
    <w:rsid w:val="00DC24A6"/>
    <w:rsid w:val="00DC28CD"/>
    <w:rsid w:val="00DC2E7E"/>
    <w:rsid w:val="00DC2EF6"/>
    <w:rsid w:val="00DC2F31"/>
    <w:rsid w:val="00DC3210"/>
    <w:rsid w:val="00DC3E56"/>
    <w:rsid w:val="00DC4337"/>
    <w:rsid w:val="00DC4B63"/>
    <w:rsid w:val="00DC5A74"/>
    <w:rsid w:val="00DC61A1"/>
    <w:rsid w:val="00DC6231"/>
    <w:rsid w:val="00DC672A"/>
    <w:rsid w:val="00DC6B08"/>
    <w:rsid w:val="00DC7521"/>
    <w:rsid w:val="00DC763C"/>
    <w:rsid w:val="00DC7C2B"/>
    <w:rsid w:val="00DC7D89"/>
    <w:rsid w:val="00DD000F"/>
    <w:rsid w:val="00DD00CE"/>
    <w:rsid w:val="00DD0492"/>
    <w:rsid w:val="00DD051D"/>
    <w:rsid w:val="00DD098B"/>
    <w:rsid w:val="00DD0BAF"/>
    <w:rsid w:val="00DD0CE4"/>
    <w:rsid w:val="00DD10FE"/>
    <w:rsid w:val="00DD1679"/>
    <w:rsid w:val="00DD2116"/>
    <w:rsid w:val="00DD22B2"/>
    <w:rsid w:val="00DD2B3F"/>
    <w:rsid w:val="00DD2D59"/>
    <w:rsid w:val="00DD3D7A"/>
    <w:rsid w:val="00DD4C3D"/>
    <w:rsid w:val="00DD5010"/>
    <w:rsid w:val="00DD506E"/>
    <w:rsid w:val="00DD52EF"/>
    <w:rsid w:val="00DD569E"/>
    <w:rsid w:val="00DD5BBA"/>
    <w:rsid w:val="00DD5C66"/>
    <w:rsid w:val="00DD62A5"/>
    <w:rsid w:val="00DD7D43"/>
    <w:rsid w:val="00DE0789"/>
    <w:rsid w:val="00DE0CEB"/>
    <w:rsid w:val="00DE1441"/>
    <w:rsid w:val="00DE15E2"/>
    <w:rsid w:val="00DE17F6"/>
    <w:rsid w:val="00DE267C"/>
    <w:rsid w:val="00DE2A90"/>
    <w:rsid w:val="00DE2B10"/>
    <w:rsid w:val="00DE332E"/>
    <w:rsid w:val="00DE37A2"/>
    <w:rsid w:val="00DE460E"/>
    <w:rsid w:val="00DE471A"/>
    <w:rsid w:val="00DE4735"/>
    <w:rsid w:val="00DE4A12"/>
    <w:rsid w:val="00DE4EAB"/>
    <w:rsid w:val="00DE58AD"/>
    <w:rsid w:val="00DE649F"/>
    <w:rsid w:val="00DE683B"/>
    <w:rsid w:val="00DE6D5E"/>
    <w:rsid w:val="00DE7C9C"/>
    <w:rsid w:val="00DE7FD0"/>
    <w:rsid w:val="00DF0BE4"/>
    <w:rsid w:val="00DF1436"/>
    <w:rsid w:val="00DF15B9"/>
    <w:rsid w:val="00DF1694"/>
    <w:rsid w:val="00DF1E04"/>
    <w:rsid w:val="00DF2E64"/>
    <w:rsid w:val="00DF363B"/>
    <w:rsid w:val="00DF41C0"/>
    <w:rsid w:val="00DF5403"/>
    <w:rsid w:val="00DF64C8"/>
    <w:rsid w:val="00DF6D5D"/>
    <w:rsid w:val="00DF7BB6"/>
    <w:rsid w:val="00E0072C"/>
    <w:rsid w:val="00E00A21"/>
    <w:rsid w:val="00E00EFE"/>
    <w:rsid w:val="00E02027"/>
    <w:rsid w:val="00E0285B"/>
    <w:rsid w:val="00E03551"/>
    <w:rsid w:val="00E0365B"/>
    <w:rsid w:val="00E038FF"/>
    <w:rsid w:val="00E03B07"/>
    <w:rsid w:val="00E04265"/>
    <w:rsid w:val="00E0469B"/>
    <w:rsid w:val="00E04822"/>
    <w:rsid w:val="00E04F2A"/>
    <w:rsid w:val="00E05124"/>
    <w:rsid w:val="00E0527F"/>
    <w:rsid w:val="00E0606C"/>
    <w:rsid w:val="00E060EE"/>
    <w:rsid w:val="00E06120"/>
    <w:rsid w:val="00E06BD2"/>
    <w:rsid w:val="00E07463"/>
    <w:rsid w:val="00E10165"/>
    <w:rsid w:val="00E10678"/>
    <w:rsid w:val="00E106B5"/>
    <w:rsid w:val="00E10A1B"/>
    <w:rsid w:val="00E10E19"/>
    <w:rsid w:val="00E10EA5"/>
    <w:rsid w:val="00E120D3"/>
    <w:rsid w:val="00E1213E"/>
    <w:rsid w:val="00E124C4"/>
    <w:rsid w:val="00E1340E"/>
    <w:rsid w:val="00E13508"/>
    <w:rsid w:val="00E1473A"/>
    <w:rsid w:val="00E14B82"/>
    <w:rsid w:val="00E150B6"/>
    <w:rsid w:val="00E152BE"/>
    <w:rsid w:val="00E15F15"/>
    <w:rsid w:val="00E16765"/>
    <w:rsid w:val="00E1677D"/>
    <w:rsid w:val="00E1700B"/>
    <w:rsid w:val="00E1724F"/>
    <w:rsid w:val="00E17F03"/>
    <w:rsid w:val="00E2018E"/>
    <w:rsid w:val="00E206C4"/>
    <w:rsid w:val="00E2078B"/>
    <w:rsid w:val="00E208C7"/>
    <w:rsid w:val="00E20AD6"/>
    <w:rsid w:val="00E20B11"/>
    <w:rsid w:val="00E22183"/>
    <w:rsid w:val="00E22592"/>
    <w:rsid w:val="00E234FF"/>
    <w:rsid w:val="00E23515"/>
    <w:rsid w:val="00E2374E"/>
    <w:rsid w:val="00E23D85"/>
    <w:rsid w:val="00E248BB"/>
    <w:rsid w:val="00E24FC0"/>
    <w:rsid w:val="00E2600E"/>
    <w:rsid w:val="00E264DB"/>
    <w:rsid w:val="00E26E33"/>
    <w:rsid w:val="00E271C2"/>
    <w:rsid w:val="00E276E7"/>
    <w:rsid w:val="00E300E9"/>
    <w:rsid w:val="00E301A4"/>
    <w:rsid w:val="00E3028C"/>
    <w:rsid w:val="00E30F47"/>
    <w:rsid w:val="00E31442"/>
    <w:rsid w:val="00E315A7"/>
    <w:rsid w:val="00E320EF"/>
    <w:rsid w:val="00E32EBC"/>
    <w:rsid w:val="00E33388"/>
    <w:rsid w:val="00E35197"/>
    <w:rsid w:val="00E351D7"/>
    <w:rsid w:val="00E352DA"/>
    <w:rsid w:val="00E37796"/>
    <w:rsid w:val="00E41078"/>
    <w:rsid w:val="00E41121"/>
    <w:rsid w:val="00E4180C"/>
    <w:rsid w:val="00E419CE"/>
    <w:rsid w:val="00E421C9"/>
    <w:rsid w:val="00E42DE0"/>
    <w:rsid w:val="00E431BC"/>
    <w:rsid w:val="00E449CB"/>
    <w:rsid w:val="00E4506E"/>
    <w:rsid w:val="00E451C2"/>
    <w:rsid w:val="00E45D5D"/>
    <w:rsid w:val="00E46246"/>
    <w:rsid w:val="00E46324"/>
    <w:rsid w:val="00E468EB"/>
    <w:rsid w:val="00E47207"/>
    <w:rsid w:val="00E4742A"/>
    <w:rsid w:val="00E4760E"/>
    <w:rsid w:val="00E476A5"/>
    <w:rsid w:val="00E5018D"/>
    <w:rsid w:val="00E50200"/>
    <w:rsid w:val="00E504C8"/>
    <w:rsid w:val="00E52DE2"/>
    <w:rsid w:val="00E52FDF"/>
    <w:rsid w:val="00E5300F"/>
    <w:rsid w:val="00E5380A"/>
    <w:rsid w:val="00E53B3F"/>
    <w:rsid w:val="00E53CF3"/>
    <w:rsid w:val="00E53F6A"/>
    <w:rsid w:val="00E547A2"/>
    <w:rsid w:val="00E54C86"/>
    <w:rsid w:val="00E54D27"/>
    <w:rsid w:val="00E57226"/>
    <w:rsid w:val="00E57840"/>
    <w:rsid w:val="00E5788A"/>
    <w:rsid w:val="00E57A9A"/>
    <w:rsid w:val="00E57E42"/>
    <w:rsid w:val="00E60DB1"/>
    <w:rsid w:val="00E61449"/>
    <w:rsid w:val="00E61CDC"/>
    <w:rsid w:val="00E61F9F"/>
    <w:rsid w:val="00E62525"/>
    <w:rsid w:val="00E62E8B"/>
    <w:rsid w:val="00E6512F"/>
    <w:rsid w:val="00E6559F"/>
    <w:rsid w:val="00E65C1F"/>
    <w:rsid w:val="00E669D6"/>
    <w:rsid w:val="00E66EA2"/>
    <w:rsid w:val="00E675B2"/>
    <w:rsid w:val="00E6783C"/>
    <w:rsid w:val="00E7008A"/>
    <w:rsid w:val="00E7059A"/>
    <w:rsid w:val="00E70740"/>
    <w:rsid w:val="00E70ECC"/>
    <w:rsid w:val="00E71034"/>
    <w:rsid w:val="00E7232B"/>
    <w:rsid w:val="00E72A20"/>
    <w:rsid w:val="00E73F11"/>
    <w:rsid w:val="00E7432D"/>
    <w:rsid w:val="00E74734"/>
    <w:rsid w:val="00E74946"/>
    <w:rsid w:val="00E75603"/>
    <w:rsid w:val="00E7611E"/>
    <w:rsid w:val="00E7622D"/>
    <w:rsid w:val="00E7641A"/>
    <w:rsid w:val="00E7655D"/>
    <w:rsid w:val="00E76B58"/>
    <w:rsid w:val="00E76CF7"/>
    <w:rsid w:val="00E77075"/>
    <w:rsid w:val="00E77984"/>
    <w:rsid w:val="00E80947"/>
    <w:rsid w:val="00E81BA6"/>
    <w:rsid w:val="00E81DE7"/>
    <w:rsid w:val="00E821C5"/>
    <w:rsid w:val="00E8294E"/>
    <w:rsid w:val="00E82A75"/>
    <w:rsid w:val="00E82D79"/>
    <w:rsid w:val="00E83165"/>
    <w:rsid w:val="00E836C8"/>
    <w:rsid w:val="00E838E2"/>
    <w:rsid w:val="00E844A1"/>
    <w:rsid w:val="00E85201"/>
    <w:rsid w:val="00E854CB"/>
    <w:rsid w:val="00E857B7"/>
    <w:rsid w:val="00E85C7F"/>
    <w:rsid w:val="00E866E3"/>
    <w:rsid w:val="00E86D4C"/>
    <w:rsid w:val="00E86F15"/>
    <w:rsid w:val="00E86FFD"/>
    <w:rsid w:val="00E87EC8"/>
    <w:rsid w:val="00E906B4"/>
    <w:rsid w:val="00E90DDD"/>
    <w:rsid w:val="00E91193"/>
    <w:rsid w:val="00E915DD"/>
    <w:rsid w:val="00E9193E"/>
    <w:rsid w:val="00E91C2A"/>
    <w:rsid w:val="00E91CF5"/>
    <w:rsid w:val="00E91F5C"/>
    <w:rsid w:val="00E92088"/>
    <w:rsid w:val="00E9218F"/>
    <w:rsid w:val="00E93750"/>
    <w:rsid w:val="00E93E25"/>
    <w:rsid w:val="00E94253"/>
    <w:rsid w:val="00E94B82"/>
    <w:rsid w:val="00E94C9A"/>
    <w:rsid w:val="00E9545B"/>
    <w:rsid w:val="00E95FE4"/>
    <w:rsid w:val="00E967AD"/>
    <w:rsid w:val="00E96FEE"/>
    <w:rsid w:val="00E96FFA"/>
    <w:rsid w:val="00E97007"/>
    <w:rsid w:val="00E97D36"/>
    <w:rsid w:val="00EA0021"/>
    <w:rsid w:val="00EA05CB"/>
    <w:rsid w:val="00EA0CF8"/>
    <w:rsid w:val="00EA0DA3"/>
    <w:rsid w:val="00EA1760"/>
    <w:rsid w:val="00EA2EA3"/>
    <w:rsid w:val="00EA332A"/>
    <w:rsid w:val="00EA33E1"/>
    <w:rsid w:val="00EA37A1"/>
    <w:rsid w:val="00EA4B88"/>
    <w:rsid w:val="00EA5396"/>
    <w:rsid w:val="00EA63D1"/>
    <w:rsid w:val="00EA68D0"/>
    <w:rsid w:val="00EA6A68"/>
    <w:rsid w:val="00EA7003"/>
    <w:rsid w:val="00EA73E5"/>
    <w:rsid w:val="00EA77B6"/>
    <w:rsid w:val="00EA791E"/>
    <w:rsid w:val="00EB1BD4"/>
    <w:rsid w:val="00EB38CA"/>
    <w:rsid w:val="00EB3945"/>
    <w:rsid w:val="00EB408D"/>
    <w:rsid w:val="00EB43B0"/>
    <w:rsid w:val="00EB485E"/>
    <w:rsid w:val="00EB49B9"/>
    <w:rsid w:val="00EB6754"/>
    <w:rsid w:val="00EB6E99"/>
    <w:rsid w:val="00EB72A1"/>
    <w:rsid w:val="00EB73E5"/>
    <w:rsid w:val="00EB7909"/>
    <w:rsid w:val="00EC005F"/>
    <w:rsid w:val="00EC059D"/>
    <w:rsid w:val="00EC0631"/>
    <w:rsid w:val="00EC1250"/>
    <w:rsid w:val="00EC18E2"/>
    <w:rsid w:val="00EC19C3"/>
    <w:rsid w:val="00EC2311"/>
    <w:rsid w:val="00EC26D6"/>
    <w:rsid w:val="00EC2ECF"/>
    <w:rsid w:val="00EC2F79"/>
    <w:rsid w:val="00EC4217"/>
    <w:rsid w:val="00EC45F9"/>
    <w:rsid w:val="00EC4C94"/>
    <w:rsid w:val="00EC5859"/>
    <w:rsid w:val="00EC69E6"/>
    <w:rsid w:val="00EC6B26"/>
    <w:rsid w:val="00EC6F48"/>
    <w:rsid w:val="00EC748F"/>
    <w:rsid w:val="00EC74CB"/>
    <w:rsid w:val="00EC75A9"/>
    <w:rsid w:val="00EC75E0"/>
    <w:rsid w:val="00EC7822"/>
    <w:rsid w:val="00EC7B70"/>
    <w:rsid w:val="00EC7FA0"/>
    <w:rsid w:val="00ED0AD3"/>
    <w:rsid w:val="00ED12A9"/>
    <w:rsid w:val="00ED1723"/>
    <w:rsid w:val="00ED1CFD"/>
    <w:rsid w:val="00ED26EB"/>
    <w:rsid w:val="00ED3B10"/>
    <w:rsid w:val="00ED4B3A"/>
    <w:rsid w:val="00ED5D7C"/>
    <w:rsid w:val="00ED60D1"/>
    <w:rsid w:val="00ED6B7A"/>
    <w:rsid w:val="00ED77E2"/>
    <w:rsid w:val="00ED7B86"/>
    <w:rsid w:val="00EE0180"/>
    <w:rsid w:val="00EE02BD"/>
    <w:rsid w:val="00EE0C68"/>
    <w:rsid w:val="00EE173C"/>
    <w:rsid w:val="00EE176B"/>
    <w:rsid w:val="00EE1873"/>
    <w:rsid w:val="00EE19F4"/>
    <w:rsid w:val="00EE1F5B"/>
    <w:rsid w:val="00EE205E"/>
    <w:rsid w:val="00EE24AE"/>
    <w:rsid w:val="00EE2739"/>
    <w:rsid w:val="00EE28BA"/>
    <w:rsid w:val="00EE2AF4"/>
    <w:rsid w:val="00EE2F13"/>
    <w:rsid w:val="00EE34B8"/>
    <w:rsid w:val="00EE3C26"/>
    <w:rsid w:val="00EE3E12"/>
    <w:rsid w:val="00EE4489"/>
    <w:rsid w:val="00EE45D1"/>
    <w:rsid w:val="00EE4980"/>
    <w:rsid w:val="00EE4B8F"/>
    <w:rsid w:val="00EE6FC0"/>
    <w:rsid w:val="00EE7376"/>
    <w:rsid w:val="00EF08A2"/>
    <w:rsid w:val="00EF0E45"/>
    <w:rsid w:val="00EF1162"/>
    <w:rsid w:val="00EF145D"/>
    <w:rsid w:val="00EF2237"/>
    <w:rsid w:val="00EF2635"/>
    <w:rsid w:val="00EF2663"/>
    <w:rsid w:val="00EF29BC"/>
    <w:rsid w:val="00EF2AC0"/>
    <w:rsid w:val="00EF2F53"/>
    <w:rsid w:val="00EF3456"/>
    <w:rsid w:val="00EF3750"/>
    <w:rsid w:val="00EF3756"/>
    <w:rsid w:val="00EF3C89"/>
    <w:rsid w:val="00EF3E39"/>
    <w:rsid w:val="00EF4CA7"/>
    <w:rsid w:val="00EF576E"/>
    <w:rsid w:val="00EF5803"/>
    <w:rsid w:val="00EF580B"/>
    <w:rsid w:val="00EF6A92"/>
    <w:rsid w:val="00EF7A64"/>
    <w:rsid w:val="00EF7C98"/>
    <w:rsid w:val="00EF7D60"/>
    <w:rsid w:val="00EF7F77"/>
    <w:rsid w:val="00F00071"/>
    <w:rsid w:val="00F000E2"/>
    <w:rsid w:val="00F00E5A"/>
    <w:rsid w:val="00F0247D"/>
    <w:rsid w:val="00F02A73"/>
    <w:rsid w:val="00F02B1E"/>
    <w:rsid w:val="00F02EEA"/>
    <w:rsid w:val="00F04027"/>
    <w:rsid w:val="00F048D8"/>
    <w:rsid w:val="00F04C91"/>
    <w:rsid w:val="00F0509E"/>
    <w:rsid w:val="00F0591E"/>
    <w:rsid w:val="00F05CA4"/>
    <w:rsid w:val="00F06278"/>
    <w:rsid w:val="00F0699A"/>
    <w:rsid w:val="00F06A19"/>
    <w:rsid w:val="00F0739E"/>
    <w:rsid w:val="00F078B4"/>
    <w:rsid w:val="00F104B5"/>
    <w:rsid w:val="00F10771"/>
    <w:rsid w:val="00F10913"/>
    <w:rsid w:val="00F10BB6"/>
    <w:rsid w:val="00F122F1"/>
    <w:rsid w:val="00F125D0"/>
    <w:rsid w:val="00F12897"/>
    <w:rsid w:val="00F12B73"/>
    <w:rsid w:val="00F12E5A"/>
    <w:rsid w:val="00F1313B"/>
    <w:rsid w:val="00F13B76"/>
    <w:rsid w:val="00F13D3C"/>
    <w:rsid w:val="00F13E30"/>
    <w:rsid w:val="00F13EAC"/>
    <w:rsid w:val="00F14125"/>
    <w:rsid w:val="00F15CF7"/>
    <w:rsid w:val="00F15F74"/>
    <w:rsid w:val="00F16457"/>
    <w:rsid w:val="00F17566"/>
    <w:rsid w:val="00F175E7"/>
    <w:rsid w:val="00F17EE8"/>
    <w:rsid w:val="00F2099B"/>
    <w:rsid w:val="00F20A70"/>
    <w:rsid w:val="00F20BBD"/>
    <w:rsid w:val="00F20DFE"/>
    <w:rsid w:val="00F21EA5"/>
    <w:rsid w:val="00F21FA5"/>
    <w:rsid w:val="00F2270C"/>
    <w:rsid w:val="00F22841"/>
    <w:rsid w:val="00F22D37"/>
    <w:rsid w:val="00F22F14"/>
    <w:rsid w:val="00F2331C"/>
    <w:rsid w:val="00F23581"/>
    <w:rsid w:val="00F241AF"/>
    <w:rsid w:val="00F242E5"/>
    <w:rsid w:val="00F24498"/>
    <w:rsid w:val="00F246D5"/>
    <w:rsid w:val="00F24782"/>
    <w:rsid w:val="00F24ACE"/>
    <w:rsid w:val="00F24E2B"/>
    <w:rsid w:val="00F25032"/>
    <w:rsid w:val="00F254E4"/>
    <w:rsid w:val="00F25AFE"/>
    <w:rsid w:val="00F26320"/>
    <w:rsid w:val="00F26546"/>
    <w:rsid w:val="00F26E66"/>
    <w:rsid w:val="00F27CE3"/>
    <w:rsid w:val="00F30251"/>
    <w:rsid w:val="00F30C2C"/>
    <w:rsid w:val="00F30E12"/>
    <w:rsid w:val="00F31B4F"/>
    <w:rsid w:val="00F323B2"/>
    <w:rsid w:val="00F32884"/>
    <w:rsid w:val="00F32B13"/>
    <w:rsid w:val="00F32C0C"/>
    <w:rsid w:val="00F32E88"/>
    <w:rsid w:val="00F33A23"/>
    <w:rsid w:val="00F33E96"/>
    <w:rsid w:val="00F3425F"/>
    <w:rsid w:val="00F34719"/>
    <w:rsid w:val="00F3481B"/>
    <w:rsid w:val="00F34A3A"/>
    <w:rsid w:val="00F357B7"/>
    <w:rsid w:val="00F358D7"/>
    <w:rsid w:val="00F3627A"/>
    <w:rsid w:val="00F365C9"/>
    <w:rsid w:val="00F36AB2"/>
    <w:rsid w:val="00F36D91"/>
    <w:rsid w:val="00F36E73"/>
    <w:rsid w:val="00F37525"/>
    <w:rsid w:val="00F3780B"/>
    <w:rsid w:val="00F40136"/>
    <w:rsid w:val="00F401E5"/>
    <w:rsid w:val="00F4037E"/>
    <w:rsid w:val="00F412EB"/>
    <w:rsid w:val="00F413F0"/>
    <w:rsid w:val="00F41823"/>
    <w:rsid w:val="00F41D0C"/>
    <w:rsid w:val="00F41EF9"/>
    <w:rsid w:val="00F42058"/>
    <w:rsid w:val="00F421D3"/>
    <w:rsid w:val="00F42C04"/>
    <w:rsid w:val="00F43395"/>
    <w:rsid w:val="00F43C84"/>
    <w:rsid w:val="00F43E41"/>
    <w:rsid w:val="00F4407F"/>
    <w:rsid w:val="00F44709"/>
    <w:rsid w:val="00F45653"/>
    <w:rsid w:val="00F45802"/>
    <w:rsid w:val="00F465BD"/>
    <w:rsid w:val="00F46AEE"/>
    <w:rsid w:val="00F46F41"/>
    <w:rsid w:val="00F46FD0"/>
    <w:rsid w:val="00F470AF"/>
    <w:rsid w:val="00F478AE"/>
    <w:rsid w:val="00F5014F"/>
    <w:rsid w:val="00F50C12"/>
    <w:rsid w:val="00F511DB"/>
    <w:rsid w:val="00F51289"/>
    <w:rsid w:val="00F51831"/>
    <w:rsid w:val="00F52629"/>
    <w:rsid w:val="00F526AD"/>
    <w:rsid w:val="00F5370C"/>
    <w:rsid w:val="00F53BDB"/>
    <w:rsid w:val="00F54B3A"/>
    <w:rsid w:val="00F54CCC"/>
    <w:rsid w:val="00F54D2F"/>
    <w:rsid w:val="00F5560B"/>
    <w:rsid w:val="00F56122"/>
    <w:rsid w:val="00F568C0"/>
    <w:rsid w:val="00F56A90"/>
    <w:rsid w:val="00F56F23"/>
    <w:rsid w:val="00F56F53"/>
    <w:rsid w:val="00F577EF"/>
    <w:rsid w:val="00F57849"/>
    <w:rsid w:val="00F57944"/>
    <w:rsid w:val="00F57DBD"/>
    <w:rsid w:val="00F60397"/>
    <w:rsid w:val="00F60FAA"/>
    <w:rsid w:val="00F6159C"/>
    <w:rsid w:val="00F61A07"/>
    <w:rsid w:val="00F6305A"/>
    <w:rsid w:val="00F63868"/>
    <w:rsid w:val="00F64E8F"/>
    <w:rsid w:val="00F64EDE"/>
    <w:rsid w:val="00F651FB"/>
    <w:rsid w:val="00F65AF4"/>
    <w:rsid w:val="00F66985"/>
    <w:rsid w:val="00F6726A"/>
    <w:rsid w:val="00F677F3"/>
    <w:rsid w:val="00F6780C"/>
    <w:rsid w:val="00F67A3C"/>
    <w:rsid w:val="00F67F34"/>
    <w:rsid w:val="00F700C8"/>
    <w:rsid w:val="00F70612"/>
    <w:rsid w:val="00F70BCB"/>
    <w:rsid w:val="00F7221D"/>
    <w:rsid w:val="00F72A88"/>
    <w:rsid w:val="00F73EFB"/>
    <w:rsid w:val="00F742C6"/>
    <w:rsid w:val="00F742E3"/>
    <w:rsid w:val="00F74569"/>
    <w:rsid w:val="00F74C1A"/>
    <w:rsid w:val="00F74C57"/>
    <w:rsid w:val="00F7577F"/>
    <w:rsid w:val="00F75DAF"/>
    <w:rsid w:val="00F7613B"/>
    <w:rsid w:val="00F76436"/>
    <w:rsid w:val="00F7670B"/>
    <w:rsid w:val="00F7713C"/>
    <w:rsid w:val="00F77208"/>
    <w:rsid w:val="00F77BF9"/>
    <w:rsid w:val="00F805C0"/>
    <w:rsid w:val="00F80828"/>
    <w:rsid w:val="00F80A2A"/>
    <w:rsid w:val="00F81312"/>
    <w:rsid w:val="00F81BC3"/>
    <w:rsid w:val="00F8265F"/>
    <w:rsid w:val="00F827AC"/>
    <w:rsid w:val="00F84A38"/>
    <w:rsid w:val="00F84CC7"/>
    <w:rsid w:val="00F8568B"/>
    <w:rsid w:val="00F85775"/>
    <w:rsid w:val="00F863D0"/>
    <w:rsid w:val="00F8699F"/>
    <w:rsid w:val="00F86FE1"/>
    <w:rsid w:val="00F87C93"/>
    <w:rsid w:val="00F90055"/>
    <w:rsid w:val="00F901B8"/>
    <w:rsid w:val="00F90B91"/>
    <w:rsid w:val="00F917D2"/>
    <w:rsid w:val="00F91AE1"/>
    <w:rsid w:val="00F921F1"/>
    <w:rsid w:val="00F92487"/>
    <w:rsid w:val="00F92A0E"/>
    <w:rsid w:val="00F92BFC"/>
    <w:rsid w:val="00F930F9"/>
    <w:rsid w:val="00F935AC"/>
    <w:rsid w:val="00F93B9F"/>
    <w:rsid w:val="00F9481A"/>
    <w:rsid w:val="00F94E16"/>
    <w:rsid w:val="00F95491"/>
    <w:rsid w:val="00F9549F"/>
    <w:rsid w:val="00F96682"/>
    <w:rsid w:val="00F9686F"/>
    <w:rsid w:val="00F97443"/>
    <w:rsid w:val="00FA0F34"/>
    <w:rsid w:val="00FA1339"/>
    <w:rsid w:val="00FA16C2"/>
    <w:rsid w:val="00FA1F14"/>
    <w:rsid w:val="00FA2F21"/>
    <w:rsid w:val="00FA37ED"/>
    <w:rsid w:val="00FA4455"/>
    <w:rsid w:val="00FA4668"/>
    <w:rsid w:val="00FA4BE6"/>
    <w:rsid w:val="00FA4BE8"/>
    <w:rsid w:val="00FA53E4"/>
    <w:rsid w:val="00FA6BB1"/>
    <w:rsid w:val="00FA6DDE"/>
    <w:rsid w:val="00FA7449"/>
    <w:rsid w:val="00FA7ADA"/>
    <w:rsid w:val="00FA7D8A"/>
    <w:rsid w:val="00FB0024"/>
    <w:rsid w:val="00FB072D"/>
    <w:rsid w:val="00FB1321"/>
    <w:rsid w:val="00FB2F44"/>
    <w:rsid w:val="00FB3396"/>
    <w:rsid w:val="00FB3840"/>
    <w:rsid w:val="00FB4DA5"/>
    <w:rsid w:val="00FB5161"/>
    <w:rsid w:val="00FB5E9A"/>
    <w:rsid w:val="00FB61A5"/>
    <w:rsid w:val="00FB645B"/>
    <w:rsid w:val="00FB67D6"/>
    <w:rsid w:val="00FB7F5E"/>
    <w:rsid w:val="00FC0061"/>
    <w:rsid w:val="00FC2184"/>
    <w:rsid w:val="00FC2791"/>
    <w:rsid w:val="00FC3FF3"/>
    <w:rsid w:val="00FC53BF"/>
    <w:rsid w:val="00FC5761"/>
    <w:rsid w:val="00FC59DA"/>
    <w:rsid w:val="00FC7592"/>
    <w:rsid w:val="00FC7D67"/>
    <w:rsid w:val="00FC7F6E"/>
    <w:rsid w:val="00FD1C6D"/>
    <w:rsid w:val="00FD1CCC"/>
    <w:rsid w:val="00FD2044"/>
    <w:rsid w:val="00FD20A8"/>
    <w:rsid w:val="00FD2ACB"/>
    <w:rsid w:val="00FD2CC4"/>
    <w:rsid w:val="00FD324A"/>
    <w:rsid w:val="00FD3C72"/>
    <w:rsid w:val="00FD4FD1"/>
    <w:rsid w:val="00FD5477"/>
    <w:rsid w:val="00FD59CE"/>
    <w:rsid w:val="00FD5AA1"/>
    <w:rsid w:val="00FD5B66"/>
    <w:rsid w:val="00FD5B92"/>
    <w:rsid w:val="00FD5F15"/>
    <w:rsid w:val="00FD6475"/>
    <w:rsid w:val="00FD69FA"/>
    <w:rsid w:val="00FD7265"/>
    <w:rsid w:val="00FD7406"/>
    <w:rsid w:val="00FD7621"/>
    <w:rsid w:val="00FD7FD3"/>
    <w:rsid w:val="00FE0210"/>
    <w:rsid w:val="00FE087A"/>
    <w:rsid w:val="00FE08A9"/>
    <w:rsid w:val="00FE0B3F"/>
    <w:rsid w:val="00FE0D63"/>
    <w:rsid w:val="00FE1275"/>
    <w:rsid w:val="00FE1AD8"/>
    <w:rsid w:val="00FE2268"/>
    <w:rsid w:val="00FE241C"/>
    <w:rsid w:val="00FE2B5A"/>
    <w:rsid w:val="00FE2E63"/>
    <w:rsid w:val="00FE368E"/>
    <w:rsid w:val="00FE3FD3"/>
    <w:rsid w:val="00FE55D5"/>
    <w:rsid w:val="00FE5646"/>
    <w:rsid w:val="00FE60AB"/>
    <w:rsid w:val="00FE64A2"/>
    <w:rsid w:val="00FE6924"/>
    <w:rsid w:val="00FE6974"/>
    <w:rsid w:val="00FE6A38"/>
    <w:rsid w:val="00FE7592"/>
    <w:rsid w:val="00FE7D41"/>
    <w:rsid w:val="00FF0612"/>
    <w:rsid w:val="00FF0DAA"/>
    <w:rsid w:val="00FF0F34"/>
    <w:rsid w:val="00FF107D"/>
    <w:rsid w:val="00FF1297"/>
    <w:rsid w:val="00FF14E5"/>
    <w:rsid w:val="00FF1CEF"/>
    <w:rsid w:val="00FF20AB"/>
    <w:rsid w:val="00FF213E"/>
    <w:rsid w:val="00FF25B7"/>
    <w:rsid w:val="00FF34CB"/>
    <w:rsid w:val="00FF38A8"/>
    <w:rsid w:val="00FF3DD2"/>
    <w:rsid w:val="00FF45D3"/>
    <w:rsid w:val="00FF51FC"/>
    <w:rsid w:val="00FF52CA"/>
    <w:rsid w:val="00FF55E7"/>
    <w:rsid w:val="00FF5972"/>
    <w:rsid w:val="00FF5A56"/>
    <w:rsid w:val="00FF5C52"/>
    <w:rsid w:val="00FF623A"/>
    <w:rsid w:val="00FF6657"/>
    <w:rsid w:val="00FF679A"/>
    <w:rsid w:val="00FF68A4"/>
    <w:rsid w:val="00FF6DE3"/>
    <w:rsid w:val="00FF73C4"/>
    <w:rsid w:val="00FF74C8"/>
    <w:rsid w:val="00FF76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4">
      <o:colormru v:ext="edit" colors="#f9c"/>
    </o:shapedefaults>
    <o:shapelayout v:ext="edit">
      <o:idmap v:ext="edit" data="1"/>
    </o:shapelayout>
  </w:shapeDefaults>
  <w:decimalSymbol w:val="."/>
  <w:listSeparator w:val=","/>
  <w14:docId w14:val="7B6C7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2D8"/>
    <w:pPr>
      <w:spacing w:after="240" w:line="280" w:lineRule="exact"/>
      <w:jc w:val="both"/>
    </w:pPr>
    <w:rPr>
      <w:rFonts w:ascii="Calibri" w:hAnsi="Calibri"/>
    </w:rPr>
  </w:style>
  <w:style w:type="paragraph" w:styleId="Heading1">
    <w:name w:val="heading 1"/>
    <w:basedOn w:val="Normal"/>
    <w:next w:val="Normal"/>
    <w:link w:val="Heading1Char"/>
    <w:uiPriority w:val="9"/>
    <w:qFormat/>
    <w:rsid w:val="0096746E"/>
    <w:pPr>
      <w:keepNext/>
      <w:keepLines/>
      <w:pBdr>
        <w:bottom w:val="single" w:sz="48" w:space="10" w:color="4FA4DA"/>
      </w:pBdr>
      <w:tabs>
        <w:tab w:val="left" w:pos="2552"/>
      </w:tabs>
      <w:spacing w:after="480" w:line="240" w:lineRule="auto"/>
      <w:ind w:left="2552" w:hanging="2552"/>
      <w:outlineLvl w:val="0"/>
    </w:pPr>
    <w:rPr>
      <w:rFonts w:ascii="Arial Narrow" w:eastAsiaTheme="majorEastAsia" w:hAnsi="Arial Narrow" w:cstheme="majorBidi"/>
      <w:b/>
      <w:bCs/>
      <w:caps/>
      <w:spacing w:val="-20"/>
      <w:sz w:val="50"/>
      <w:szCs w:val="50"/>
    </w:rPr>
  </w:style>
  <w:style w:type="paragraph" w:styleId="Heading2">
    <w:name w:val="heading 2"/>
    <w:basedOn w:val="Normal"/>
    <w:next w:val="Normal"/>
    <w:link w:val="Heading2Char"/>
    <w:uiPriority w:val="9"/>
    <w:unhideWhenUsed/>
    <w:qFormat/>
    <w:rsid w:val="000262D8"/>
    <w:pPr>
      <w:keepNext/>
      <w:keepLines/>
      <w:spacing w:before="360" w:line="240" w:lineRule="auto"/>
      <w:outlineLvl w:val="1"/>
    </w:pPr>
    <w:rPr>
      <w:rFonts w:ascii="Arial Narrow" w:eastAsiaTheme="majorEastAsia" w:hAnsi="Arial Narrow" w:cstheme="majorBidi"/>
      <w:b/>
      <w:bCs/>
      <w:caps/>
      <w:color w:val="4FA4DA"/>
      <w:spacing w:val="-8"/>
      <w:sz w:val="38"/>
      <w:szCs w:val="26"/>
    </w:rPr>
  </w:style>
  <w:style w:type="paragraph" w:styleId="Heading3">
    <w:name w:val="heading 3"/>
    <w:basedOn w:val="Normal"/>
    <w:next w:val="Normal"/>
    <w:link w:val="Heading3Char"/>
    <w:uiPriority w:val="9"/>
    <w:unhideWhenUsed/>
    <w:qFormat/>
    <w:rsid w:val="008F2DDF"/>
    <w:pPr>
      <w:keepNext/>
      <w:keepLines/>
      <w:spacing w:before="360" w:line="240" w:lineRule="auto"/>
      <w:outlineLvl w:val="2"/>
    </w:pPr>
    <w:rPr>
      <w:rFonts w:ascii="Arial Narrow" w:eastAsiaTheme="majorEastAsia" w:hAnsi="Arial Narrow" w:cstheme="majorBidi"/>
      <w:b/>
      <w:bCs/>
      <w:caps/>
      <w:color w:val="4D4D4D"/>
      <w:sz w:val="32"/>
    </w:rPr>
  </w:style>
  <w:style w:type="paragraph" w:styleId="Heading4">
    <w:name w:val="heading 4"/>
    <w:basedOn w:val="Heading5"/>
    <w:next w:val="Normal"/>
    <w:link w:val="Heading4Char"/>
    <w:uiPriority w:val="9"/>
    <w:unhideWhenUsed/>
    <w:qFormat/>
    <w:rsid w:val="008F2DDF"/>
    <w:pPr>
      <w:spacing w:before="240"/>
      <w:outlineLvl w:val="3"/>
    </w:pPr>
    <w:rPr>
      <w:b w:val="0"/>
      <w:caps/>
      <w:color w:val="404040"/>
      <w:sz w:val="28"/>
    </w:rPr>
  </w:style>
  <w:style w:type="paragraph" w:styleId="Heading5">
    <w:name w:val="heading 5"/>
    <w:basedOn w:val="Normal"/>
    <w:next w:val="Normal"/>
    <w:link w:val="Heading5Char"/>
    <w:uiPriority w:val="9"/>
    <w:unhideWhenUsed/>
    <w:qFormat/>
    <w:rsid w:val="008F2DDF"/>
    <w:pPr>
      <w:keepNext/>
      <w:keepLines/>
      <w:spacing w:before="200" w:after="180" w:line="240" w:lineRule="auto"/>
      <w:outlineLvl w:val="4"/>
    </w:pPr>
    <w:rPr>
      <w:rFonts w:ascii="Arial Narrow" w:eastAsiaTheme="majorEastAsia" w:hAnsi="Arial Narrow" w:cstheme="majorBidi"/>
      <w:b/>
      <w:color w:val="3B3B3B"/>
      <w:sz w:val="24"/>
    </w:rPr>
  </w:style>
  <w:style w:type="paragraph" w:styleId="Heading6">
    <w:name w:val="heading 6"/>
    <w:basedOn w:val="Normal"/>
    <w:next w:val="Normal"/>
    <w:link w:val="Heading6Char"/>
    <w:uiPriority w:val="9"/>
    <w:unhideWhenUsed/>
    <w:qFormat/>
    <w:rsid w:val="008F2DDF"/>
    <w:pPr>
      <w:keepNext/>
      <w:keepLines/>
      <w:spacing w:before="200" w:after="180"/>
      <w:outlineLvl w:val="5"/>
    </w:pPr>
    <w:rPr>
      <w:rFonts w:ascii="Arial Narrow" w:eastAsiaTheme="majorEastAsia" w:hAnsi="Arial Narrow" w:cstheme="majorBidi"/>
      <w:i/>
      <w:iCs/>
      <w:color w:val="3B3B3B"/>
    </w:rPr>
  </w:style>
  <w:style w:type="paragraph" w:styleId="Heading7">
    <w:name w:val="heading 7"/>
    <w:basedOn w:val="Normal"/>
    <w:next w:val="Normal"/>
    <w:link w:val="Heading7Char"/>
    <w:uiPriority w:val="9"/>
    <w:unhideWhenUsed/>
    <w:qFormat/>
    <w:rsid w:val="004F7149"/>
    <w:pPr>
      <w:keepNext/>
      <w:keepLines/>
      <w:spacing w:before="200" w:after="0"/>
      <w:outlineLvl w:val="6"/>
    </w:pPr>
    <w:rPr>
      <w:rFonts w:asciiTheme="majorHAnsi" w:eastAsiaTheme="majorEastAsia" w:hAnsiTheme="majorHAnsi" w:cstheme="majorBidi"/>
      <w:i/>
      <w:iCs/>
      <w:color w:val="0082A6" w:themeColor="text1" w:themeTint="BF"/>
    </w:rPr>
  </w:style>
  <w:style w:type="paragraph" w:styleId="Heading8">
    <w:name w:val="heading 8"/>
    <w:basedOn w:val="Normal"/>
    <w:next w:val="Normal"/>
    <w:link w:val="Heading8Char"/>
    <w:uiPriority w:val="9"/>
    <w:unhideWhenUsed/>
    <w:qFormat/>
    <w:rsid w:val="004F7149"/>
    <w:pPr>
      <w:keepNext/>
      <w:keepLines/>
      <w:spacing w:before="200" w:after="0"/>
      <w:outlineLvl w:val="7"/>
    </w:pPr>
    <w:rPr>
      <w:rFonts w:asciiTheme="majorHAnsi" w:eastAsiaTheme="majorEastAsia" w:hAnsiTheme="majorHAnsi" w:cstheme="majorBidi"/>
      <w:color w:val="0082A6" w:themeColor="text1" w:themeTint="BF"/>
      <w:sz w:val="20"/>
      <w:szCs w:val="20"/>
    </w:rPr>
  </w:style>
  <w:style w:type="paragraph" w:styleId="Heading9">
    <w:name w:val="heading 9"/>
    <w:basedOn w:val="Normal"/>
    <w:next w:val="Normal"/>
    <w:link w:val="Heading9Char"/>
    <w:uiPriority w:val="9"/>
    <w:semiHidden/>
    <w:unhideWhenUsed/>
    <w:qFormat/>
    <w:rsid w:val="004F7149"/>
    <w:pPr>
      <w:keepNext/>
      <w:keepLines/>
      <w:spacing w:before="200" w:after="0"/>
      <w:outlineLvl w:val="8"/>
    </w:pPr>
    <w:rPr>
      <w:rFonts w:asciiTheme="majorHAnsi" w:eastAsiaTheme="majorEastAsia" w:hAnsiTheme="majorHAnsi" w:cstheme="majorBidi"/>
      <w:i/>
      <w:iCs/>
      <w:color w:val="0082A6"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aliases w:val="b,b1,b + line,Body,level 1,Bullet + line"/>
    <w:basedOn w:val="Normal"/>
    <w:link w:val="BulletChar"/>
    <w:qFormat/>
    <w:rsid w:val="00AF6A5F"/>
    <w:pPr>
      <w:numPr>
        <w:numId w:val="1"/>
      </w:numPr>
      <w:tabs>
        <w:tab w:val="clear" w:pos="520"/>
        <w:tab w:val="left" w:pos="425"/>
      </w:tabs>
      <w:ind w:left="425" w:hanging="425"/>
    </w:pPr>
  </w:style>
  <w:style w:type="character" w:customStyle="1" w:styleId="BulletChar">
    <w:name w:val="Bullet Char"/>
    <w:aliases w:val="b Char,b1 Char,b + line Char,Body Char,level 1 Char,Bullet + line Char,b + line Char Char,b Char Char"/>
    <w:basedOn w:val="DefaultParagraphFont"/>
    <w:link w:val="Bullet"/>
    <w:rsid w:val="00AF6A5F"/>
    <w:rPr>
      <w:rFonts w:ascii="Calibri" w:hAnsi="Calibri"/>
    </w:rPr>
  </w:style>
  <w:style w:type="paragraph" w:customStyle="1" w:styleId="Dash">
    <w:name w:val="Dash"/>
    <w:basedOn w:val="Normal"/>
    <w:link w:val="DashChar"/>
    <w:qFormat/>
    <w:rsid w:val="00D64506"/>
    <w:pPr>
      <w:numPr>
        <w:ilvl w:val="1"/>
        <w:numId w:val="1"/>
      </w:numPr>
    </w:pPr>
  </w:style>
  <w:style w:type="character" w:customStyle="1" w:styleId="DashChar">
    <w:name w:val="Dash Char"/>
    <w:basedOn w:val="DefaultParagraphFont"/>
    <w:link w:val="Dash"/>
    <w:rsid w:val="00D64506"/>
    <w:rPr>
      <w:rFonts w:ascii="Calibri" w:hAnsi="Calibri"/>
    </w:rPr>
  </w:style>
  <w:style w:type="paragraph" w:customStyle="1" w:styleId="DoubleDot">
    <w:name w:val="Double Dot"/>
    <w:basedOn w:val="Normal"/>
    <w:link w:val="DoubleDotChar"/>
    <w:qFormat/>
    <w:rsid w:val="00D64506"/>
    <w:pPr>
      <w:numPr>
        <w:ilvl w:val="2"/>
        <w:numId w:val="1"/>
      </w:numPr>
    </w:pPr>
  </w:style>
  <w:style w:type="character" w:customStyle="1" w:styleId="DoubleDotChar">
    <w:name w:val="Double Dot Char"/>
    <w:basedOn w:val="DefaultParagraphFont"/>
    <w:link w:val="DoubleDot"/>
    <w:rsid w:val="00D64506"/>
    <w:rPr>
      <w:rFonts w:ascii="Calibri" w:hAnsi="Calibri"/>
    </w:rPr>
  </w:style>
  <w:style w:type="paragraph" w:styleId="BalloonText">
    <w:name w:val="Balloon Text"/>
    <w:basedOn w:val="Normal"/>
    <w:link w:val="BalloonTextChar"/>
    <w:uiPriority w:val="99"/>
    <w:semiHidden/>
    <w:unhideWhenUsed/>
    <w:rsid w:val="00BF36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630"/>
    <w:rPr>
      <w:rFonts w:ascii="Tahoma" w:hAnsi="Tahoma" w:cs="Tahoma"/>
      <w:sz w:val="16"/>
      <w:szCs w:val="16"/>
    </w:rPr>
  </w:style>
  <w:style w:type="character" w:styleId="CommentReference">
    <w:name w:val="annotation reference"/>
    <w:basedOn w:val="DefaultParagraphFont"/>
    <w:semiHidden/>
    <w:unhideWhenUsed/>
    <w:rsid w:val="000C3B7C"/>
    <w:rPr>
      <w:sz w:val="16"/>
      <w:szCs w:val="16"/>
    </w:rPr>
  </w:style>
  <w:style w:type="paragraph" w:styleId="CommentText">
    <w:name w:val="annotation text"/>
    <w:basedOn w:val="Normal"/>
    <w:link w:val="CommentTextChar"/>
    <w:unhideWhenUsed/>
    <w:rsid w:val="000C3B7C"/>
    <w:pPr>
      <w:spacing w:line="240" w:lineRule="auto"/>
    </w:pPr>
    <w:rPr>
      <w:sz w:val="20"/>
      <w:szCs w:val="20"/>
    </w:rPr>
  </w:style>
  <w:style w:type="character" w:customStyle="1" w:styleId="CommentTextChar">
    <w:name w:val="Comment Text Char"/>
    <w:basedOn w:val="DefaultParagraphFont"/>
    <w:link w:val="CommentText"/>
    <w:rsid w:val="000C3B7C"/>
    <w:rPr>
      <w:sz w:val="20"/>
      <w:szCs w:val="20"/>
    </w:rPr>
  </w:style>
  <w:style w:type="paragraph" w:styleId="CommentSubject">
    <w:name w:val="annotation subject"/>
    <w:basedOn w:val="CommentText"/>
    <w:next w:val="CommentText"/>
    <w:link w:val="CommentSubjectChar"/>
    <w:uiPriority w:val="99"/>
    <w:semiHidden/>
    <w:unhideWhenUsed/>
    <w:rsid w:val="000C3B7C"/>
    <w:rPr>
      <w:b/>
      <w:bCs/>
    </w:rPr>
  </w:style>
  <w:style w:type="character" w:customStyle="1" w:styleId="CommentSubjectChar">
    <w:name w:val="Comment Subject Char"/>
    <w:basedOn w:val="CommentTextChar"/>
    <w:link w:val="CommentSubject"/>
    <w:uiPriority w:val="99"/>
    <w:semiHidden/>
    <w:rsid w:val="000C3B7C"/>
    <w:rPr>
      <w:b/>
      <w:bCs/>
      <w:sz w:val="20"/>
      <w:szCs w:val="20"/>
    </w:rPr>
  </w:style>
  <w:style w:type="character" w:styleId="Hyperlink">
    <w:name w:val="Hyperlink"/>
    <w:basedOn w:val="DefaultParagraphFont"/>
    <w:uiPriority w:val="99"/>
    <w:unhideWhenUsed/>
    <w:rsid w:val="00077A59"/>
    <w:rPr>
      <w:b/>
      <w:color w:val="0082A6" w:themeColor="text1" w:themeTint="BF"/>
      <w:u w:val="none"/>
    </w:rPr>
  </w:style>
  <w:style w:type="paragraph" w:styleId="Header">
    <w:name w:val="header"/>
    <w:basedOn w:val="Normal"/>
    <w:link w:val="HeaderChar"/>
    <w:uiPriority w:val="99"/>
    <w:unhideWhenUsed/>
    <w:rsid w:val="002235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35E9"/>
  </w:style>
  <w:style w:type="paragraph" w:styleId="Footer">
    <w:name w:val="footer"/>
    <w:basedOn w:val="Normal"/>
    <w:link w:val="FooterChar"/>
    <w:uiPriority w:val="99"/>
    <w:unhideWhenUsed/>
    <w:rsid w:val="002235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35E9"/>
  </w:style>
  <w:style w:type="paragraph" w:styleId="Title">
    <w:name w:val="Title"/>
    <w:basedOn w:val="Normal"/>
    <w:next w:val="Normal"/>
    <w:link w:val="TitleChar"/>
    <w:uiPriority w:val="10"/>
    <w:qFormat/>
    <w:rsid w:val="001A25A3"/>
    <w:pPr>
      <w:spacing w:before="360" w:after="360" w:line="240" w:lineRule="auto"/>
      <w:contextualSpacing/>
      <w:outlineLvl w:val="0"/>
    </w:pPr>
    <w:rPr>
      <w:rFonts w:ascii="Arial Narrow" w:eastAsiaTheme="majorEastAsia" w:hAnsi="Arial Narrow" w:cstheme="majorBidi"/>
      <w:b/>
      <w:caps/>
      <w:color w:val="292929"/>
      <w:spacing w:val="5"/>
      <w:kern w:val="28"/>
      <w:sz w:val="72"/>
      <w:szCs w:val="52"/>
    </w:rPr>
  </w:style>
  <w:style w:type="character" w:customStyle="1" w:styleId="TitleChar">
    <w:name w:val="Title Char"/>
    <w:basedOn w:val="DefaultParagraphFont"/>
    <w:link w:val="Title"/>
    <w:uiPriority w:val="10"/>
    <w:rsid w:val="001A25A3"/>
    <w:rPr>
      <w:rFonts w:ascii="Arial Narrow" w:eastAsiaTheme="majorEastAsia" w:hAnsi="Arial Narrow" w:cstheme="majorBidi"/>
      <w:b/>
      <w:caps/>
      <w:color w:val="292929"/>
      <w:spacing w:val="5"/>
      <w:kern w:val="28"/>
      <w:sz w:val="72"/>
      <w:szCs w:val="52"/>
    </w:rPr>
  </w:style>
  <w:style w:type="character" w:customStyle="1" w:styleId="Heading1Char">
    <w:name w:val="Heading 1 Char"/>
    <w:basedOn w:val="DefaultParagraphFont"/>
    <w:link w:val="Heading1"/>
    <w:uiPriority w:val="9"/>
    <w:rsid w:val="0096746E"/>
    <w:rPr>
      <w:rFonts w:ascii="Arial Narrow" w:eastAsiaTheme="majorEastAsia" w:hAnsi="Arial Narrow" w:cstheme="majorBidi"/>
      <w:b/>
      <w:bCs/>
      <w:caps/>
      <w:spacing w:val="-20"/>
      <w:sz w:val="50"/>
      <w:szCs w:val="50"/>
    </w:rPr>
  </w:style>
  <w:style w:type="paragraph" w:customStyle="1" w:styleId="SecurityClassificationHeader">
    <w:name w:val="Security Classification Header"/>
    <w:link w:val="SecurityClassificationHeaderChar"/>
    <w:rsid w:val="00624CEB"/>
    <w:pPr>
      <w:spacing w:after="0" w:line="240" w:lineRule="auto"/>
      <w:jc w:val="center"/>
    </w:pPr>
    <w:rPr>
      <w:rFonts w:ascii="Times New Roman" w:hAnsi="Times New Roman" w:cs="Times New Roman"/>
      <w:b/>
      <w:caps/>
      <w:sz w:val="24"/>
    </w:rPr>
  </w:style>
  <w:style w:type="character" w:customStyle="1" w:styleId="SecurityClassificationHeaderChar">
    <w:name w:val="Security Classification Header Char"/>
    <w:basedOn w:val="HeaderChar"/>
    <w:link w:val="SecurityClassificationHeader"/>
    <w:rsid w:val="00624CEB"/>
    <w:rPr>
      <w:rFonts w:ascii="Times New Roman" w:hAnsi="Times New Roman" w:cs="Times New Roman"/>
      <w:b/>
      <w:caps/>
      <w:sz w:val="24"/>
    </w:rPr>
  </w:style>
  <w:style w:type="paragraph" w:customStyle="1" w:styleId="SecurityClassificationFooter">
    <w:name w:val="Security Classification Footer"/>
    <w:link w:val="SecurityClassificationFooterChar"/>
    <w:rsid w:val="004C6316"/>
    <w:pPr>
      <w:spacing w:after="0" w:line="240" w:lineRule="auto"/>
      <w:jc w:val="center"/>
    </w:pPr>
    <w:rPr>
      <w:rFonts w:ascii="Times New Roman" w:hAnsi="Times New Roman" w:cs="Times New Roman"/>
      <w:b/>
      <w:caps/>
      <w:sz w:val="24"/>
    </w:rPr>
  </w:style>
  <w:style w:type="character" w:customStyle="1" w:styleId="SecurityClassificationFooterChar">
    <w:name w:val="Security Classification Footer Char"/>
    <w:basedOn w:val="HeaderChar"/>
    <w:link w:val="SecurityClassificationFooter"/>
    <w:rsid w:val="004C6316"/>
    <w:rPr>
      <w:rFonts w:ascii="Times New Roman" w:hAnsi="Times New Roman" w:cs="Times New Roman"/>
      <w:b/>
      <w:caps/>
      <w:sz w:val="24"/>
    </w:rPr>
  </w:style>
  <w:style w:type="paragraph" w:customStyle="1" w:styleId="DLMSecurityHeader">
    <w:name w:val="DLM Security Header"/>
    <w:link w:val="DLMSecurityHeaderChar"/>
    <w:rsid w:val="002235E9"/>
    <w:pPr>
      <w:spacing w:before="60" w:after="240"/>
      <w:jc w:val="center"/>
    </w:pPr>
    <w:rPr>
      <w:rFonts w:ascii="Times New Roman" w:hAnsi="Times New Roman" w:cs="Times New Roman"/>
      <w:b/>
      <w:caps/>
      <w:sz w:val="24"/>
    </w:rPr>
  </w:style>
  <w:style w:type="character" w:customStyle="1" w:styleId="DLMSecurityHeaderChar">
    <w:name w:val="DLM Security Header Char"/>
    <w:basedOn w:val="HeaderChar"/>
    <w:link w:val="DLMSecurityHeader"/>
    <w:rsid w:val="002235E9"/>
    <w:rPr>
      <w:rFonts w:ascii="Times New Roman" w:hAnsi="Times New Roman" w:cs="Times New Roman"/>
      <w:b/>
      <w:caps/>
      <w:sz w:val="24"/>
    </w:rPr>
  </w:style>
  <w:style w:type="paragraph" w:customStyle="1" w:styleId="DLMSecurityFooter">
    <w:name w:val="DLM Security Footer"/>
    <w:link w:val="DLMSecurityFooterChar"/>
    <w:rsid w:val="002235E9"/>
    <w:pPr>
      <w:spacing w:before="240" w:after="60"/>
      <w:jc w:val="center"/>
    </w:pPr>
    <w:rPr>
      <w:rFonts w:ascii="Times New Roman" w:hAnsi="Times New Roman" w:cs="Times New Roman"/>
      <w:b/>
      <w:caps/>
      <w:sz w:val="24"/>
    </w:rPr>
  </w:style>
  <w:style w:type="character" w:customStyle="1" w:styleId="DLMSecurityFooterChar">
    <w:name w:val="DLM Security Footer Char"/>
    <w:basedOn w:val="HeaderChar"/>
    <w:link w:val="DLMSecurityFooter"/>
    <w:rsid w:val="002235E9"/>
    <w:rPr>
      <w:rFonts w:ascii="Times New Roman" w:hAnsi="Times New Roman" w:cs="Times New Roman"/>
      <w:b/>
      <w:caps/>
      <w:sz w:val="24"/>
    </w:rPr>
  </w:style>
  <w:style w:type="paragraph" w:styleId="TOCHeading">
    <w:name w:val="TOC Heading"/>
    <w:basedOn w:val="Heading1"/>
    <w:next w:val="Normal"/>
    <w:uiPriority w:val="39"/>
    <w:unhideWhenUsed/>
    <w:qFormat/>
    <w:rsid w:val="002235E9"/>
    <w:pPr>
      <w:outlineLvl w:val="9"/>
    </w:pPr>
    <w:rPr>
      <w:lang w:val="en-US" w:eastAsia="ja-JP"/>
    </w:rPr>
  </w:style>
  <w:style w:type="paragraph" w:styleId="TOC1">
    <w:name w:val="toc 1"/>
    <w:basedOn w:val="Normal"/>
    <w:next w:val="Normal"/>
    <w:autoRedefine/>
    <w:uiPriority w:val="39"/>
    <w:unhideWhenUsed/>
    <w:qFormat/>
    <w:rsid w:val="00135D22"/>
    <w:pPr>
      <w:tabs>
        <w:tab w:val="right" w:leader="dot" w:pos="9015"/>
      </w:tabs>
      <w:spacing w:after="100" w:line="240" w:lineRule="auto"/>
    </w:pPr>
    <w:rPr>
      <w:rFonts w:ascii="Arial Narrow" w:hAnsi="Arial Narrow"/>
      <w:b/>
      <w:caps/>
      <w:noProof/>
      <w:sz w:val="24"/>
    </w:rPr>
  </w:style>
  <w:style w:type="character" w:customStyle="1" w:styleId="Heading2Char">
    <w:name w:val="Heading 2 Char"/>
    <w:basedOn w:val="DefaultParagraphFont"/>
    <w:link w:val="Heading2"/>
    <w:uiPriority w:val="9"/>
    <w:rsid w:val="000262D8"/>
    <w:rPr>
      <w:rFonts w:ascii="Arial Narrow" w:eastAsiaTheme="majorEastAsia" w:hAnsi="Arial Narrow" w:cstheme="majorBidi"/>
      <w:b/>
      <w:bCs/>
      <w:caps/>
      <w:color w:val="4FA4DA"/>
      <w:spacing w:val="-8"/>
      <w:sz w:val="38"/>
      <w:szCs w:val="26"/>
    </w:rPr>
  </w:style>
  <w:style w:type="character" w:customStyle="1" w:styleId="Heading3Char">
    <w:name w:val="Heading 3 Char"/>
    <w:basedOn w:val="DefaultParagraphFont"/>
    <w:link w:val="Heading3"/>
    <w:uiPriority w:val="9"/>
    <w:rsid w:val="008F2DDF"/>
    <w:rPr>
      <w:rFonts w:ascii="Arial Narrow" w:eastAsiaTheme="majorEastAsia" w:hAnsi="Arial Narrow" w:cstheme="majorBidi"/>
      <w:b/>
      <w:bCs/>
      <w:caps/>
      <w:color w:val="4D4D4D"/>
      <w:sz w:val="32"/>
    </w:rPr>
  </w:style>
  <w:style w:type="paragraph" w:styleId="Subtitle">
    <w:name w:val="Subtitle"/>
    <w:basedOn w:val="Normal"/>
    <w:next w:val="Normal"/>
    <w:link w:val="SubtitleChar"/>
    <w:uiPriority w:val="11"/>
    <w:qFormat/>
    <w:rsid w:val="00DB783E"/>
    <w:pPr>
      <w:numPr>
        <w:ilvl w:val="1"/>
      </w:numPr>
    </w:pPr>
    <w:rPr>
      <w:rFonts w:asciiTheme="majorHAnsi" w:eastAsiaTheme="majorEastAsia" w:hAnsiTheme="majorHAnsi" w:cstheme="majorBidi"/>
      <w:i/>
      <w:iCs/>
      <w:color w:val="6C97A4" w:themeColor="accent1"/>
      <w:spacing w:val="15"/>
      <w:sz w:val="24"/>
      <w:szCs w:val="24"/>
    </w:rPr>
  </w:style>
  <w:style w:type="character" w:customStyle="1" w:styleId="SubtitleChar">
    <w:name w:val="Subtitle Char"/>
    <w:basedOn w:val="DefaultParagraphFont"/>
    <w:link w:val="Subtitle"/>
    <w:uiPriority w:val="11"/>
    <w:rsid w:val="00DB783E"/>
    <w:rPr>
      <w:rFonts w:asciiTheme="majorHAnsi" w:eastAsiaTheme="majorEastAsia" w:hAnsiTheme="majorHAnsi" w:cstheme="majorBidi"/>
      <w:i/>
      <w:iCs/>
      <w:color w:val="6C97A4" w:themeColor="accent1"/>
      <w:spacing w:val="15"/>
      <w:sz w:val="24"/>
      <w:szCs w:val="24"/>
    </w:rPr>
  </w:style>
  <w:style w:type="character" w:customStyle="1" w:styleId="Heading4Char">
    <w:name w:val="Heading 4 Char"/>
    <w:basedOn w:val="DefaultParagraphFont"/>
    <w:link w:val="Heading4"/>
    <w:uiPriority w:val="9"/>
    <w:rsid w:val="008F2DDF"/>
    <w:rPr>
      <w:rFonts w:ascii="Arial Narrow" w:eastAsiaTheme="majorEastAsia" w:hAnsi="Arial Narrow" w:cstheme="majorBidi"/>
      <w:caps/>
      <w:color w:val="404040"/>
      <w:sz w:val="28"/>
    </w:rPr>
  </w:style>
  <w:style w:type="paragraph" w:styleId="TOC2">
    <w:name w:val="toc 2"/>
    <w:basedOn w:val="Normal"/>
    <w:next w:val="Normal"/>
    <w:autoRedefine/>
    <w:uiPriority w:val="39"/>
    <w:unhideWhenUsed/>
    <w:qFormat/>
    <w:rsid w:val="00FF0F34"/>
    <w:pPr>
      <w:tabs>
        <w:tab w:val="left" w:pos="567"/>
        <w:tab w:val="right" w:leader="dot" w:pos="9016"/>
      </w:tabs>
      <w:spacing w:after="100" w:line="240" w:lineRule="auto"/>
      <w:ind w:left="284"/>
    </w:pPr>
    <w:rPr>
      <w:rFonts w:ascii="Arial Narrow" w:hAnsi="Arial Narrow"/>
      <w:noProof/>
      <w:color w:val="4D4D4D"/>
      <w:sz w:val="24"/>
    </w:rPr>
  </w:style>
  <w:style w:type="paragraph" w:styleId="TOC3">
    <w:name w:val="toc 3"/>
    <w:basedOn w:val="Normal"/>
    <w:next w:val="Normal"/>
    <w:autoRedefine/>
    <w:uiPriority w:val="39"/>
    <w:unhideWhenUsed/>
    <w:qFormat/>
    <w:rsid w:val="003569DD"/>
    <w:pPr>
      <w:tabs>
        <w:tab w:val="right" w:leader="dot" w:pos="9016"/>
      </w:tabs>
      <w:spacing w:after="100"/>
      <w:ind w:left="567"/>
    </w:pPr>
    <w:rPr>
      <w:rFonts w:ascii="Arial Narrow" w:hAnsi="Arial Narrow"/>
      <w:noProof/>
      <w:sz w:val="23"/>
    </w:rPr>
  </w:style>
  <w:style w:type="paragraph" w:styleId="FootnoteText">
    <w:name w:val="footnote text"/>
    <w:basedOn w:val="Normal"/>
    <w:link w:val="FootnoteTextChar"/>
    <w:unhideWhenUsed/>
    <w:rsid w:val="00377AFF"/>
    <w:pPr>
      <w:tabs>
        <w:tab w:val="left" w:pos="284"/>
      </w:tabs>
      <w:spacing w:after="0" w:line="240" w:lineRule="auto"/>
      <w:ind w:left="284" w:hanging="284"/>
    </w:pPr>
    <w:rPr>
      <w:rFonts w:ascii="Arial Narrow" w:hAnsi="Arial Narrow"/>
      <w:sz w:val="20"/>
      <w:szCs w:val="20"/>
    </w:rPr>
  </w:style>
  <w:style w:type="character" w:customStyle="1" w:styleId="FootnoteTextChar">
    <w:name w:val="Footnote Text Char"/>
    <w:basedOn w:val="DefaultParagraphFont"/>
    <w:link w:val="FootnoteText"/>
    <w:rsid w:val="00377AFF"/>
    <w:rPr>
      <w:rFonts w:ascii="Arial Narrow" w:hAnsi="Arial Narrow"/>
      <w:sz w:val="20"/>
      <w:szCs w:val="20"/>
    </w:rPr>
  </w:style>
  <w:style w:type="character" w:styleId="FootnoteReference">
    <w:name w:val="footnote reference"/>
    <w:basedOn w:val="DefaultParagraphFont"/>
    <w:uiPriority w:val="99"/>
    <w:unhideWhenUsed/>
    <w:rsid w:val="002C0E41"/>
    <w:rPr>
      <w:vertAlign w:val="superscript"/>
    </w:rPr>
  </w:style>
  <w:style w:type="paragraph" w:customStyle="1" w:styleId="OutlineNumbered1">
    <w:name w:val="Outline Numbered 1"/>
    <w:basedOn w:val="Normal"/>
    <w:link w:val="OutlineNumbered1Char"/>
    <w:rsid w:val="00377AFF"/>
    <w:pPr>
      <w:numPr>
        <w:numId w:val="21"/>
      </w:numPr>
    </w:pPr>
  </w:style>
  <w:style w:type="character" w:customStyle="1" w:styleId="OutlineNumbered1Char">
    <w:name w:val="Outline Numbered 1 Char"/>
    <w:basedOn w:val="DefaultParagraphFont"/>
    <w:link w:val="OutlineNumbered1"/>
    <w:rsid w:val="00377AFF"/>
    <w:rPr>
      <w:rFonts w:ascii="Calibri" w:hAnsi="Calibri"/>
    </w:rPr>
  </w:style>
  <w:style w:type="paragraph" w:customStyle="1" w:styleId="OutlineNumbered2">
    <w:name w:val="Outline Numbered 2"/>
    <w:basedOn w:val="Normal"/>
    <w:rsid w:val="002C0E41"/>
    <w:pPr>
      <w:numPr>
        <w:ilvl w:val="1"/>
        <w:numId w:val="9"/>
      </w:numPr>
    </w:pPr>
  </w:style>
  <w:style w:type="paragraph" w:customStyle="1" w:styleId="OutlineNumbered3">
    <w:name w:val="Outline Numbered 3"/>
    <w:basedOn w:val="Normal"/>
    <w:rsid w:val="002C0E41"/>
    <w:pPr>
      <w:numPr>
        <w:ilvl w:val="2"/>
        <w:numId w:val="9"/>
      </w:numPr>
    </w:pPr>
  </w:style>
  <w:style w:type="paragraph" w:styleId="NoSpacing">
    <w:name w:val="No Spacing"/>
    <w:uiPriority w:val="1"/>
    <w:qFormat/>
    <w:rsid w:val="007570D6"/>
    <w:pPr>
      <w:spacing w:after="0" w:line="240" w:lineRule="auto"/>
    </w:pPr>
  </w:style>
  <w:style w:type="paragraph" w:styleId="ListParagraph">
    <w:name w:val="List Paragraph"/>
    <w:basedOn w:val="Normal"/>
    <w:link w:val="ListParagraphChar"/>
    <w:uiPriority w:val="34"/>
    <w:qFormat/>
    <w:rsid w:val="007570D6"/>
    <w:pPr>
      <w:ind w:left="720"/>
      <w:contextualSpacing/>
    </w:pPr>
  </w:style>
  <w:style w:type="table" w:styleId="TableGrid">
    <w:name w:val="Table Grid"/>
    <w:basedOn w:val="TableNormal"/>
    <w:uiPriority w:val="59"/>
    <w:rsid w:val="008B3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31A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1A74"/>
    <w:rPr>
      <w:sz w:val="20"/>
      <w:szCs w:val="20"/>
    </w:rPr>
  </w:style>
  <w:style w:type="character" w:styleId="EndnoteReference">
    <w:name w:val="endnote reference"/>
    <w:basedOn w:val="DefaultParagraphFont"/>
    <w:uiPriority w:val="99"/>
    <w:semiHidden/>
    <w:unhideWhenUsed/>
    <w:rsid w:val="00131A74"/>
    <w:rPr>
      <w:vertAlign w:val="superscript"/>
    </w:rPr>
  </w:style>
  <w:style w:type="table" w:styleId="LightList-Accent1">
    <w:name w:val="Light List Accent 1"/>
    <w:basedOn w:val="TableNormal"/>
    <w:uiPriority w:val="61"/>
    <w:rsid w:val="004F156F"/>
    <w:pPr>
      <w:spacing w:after="0" w:line="240" w:lineRule="auto"/>
    </w:pPr>
    <w:tblPr>
      <w:tblStyleRowBandSize w:val="1"/>
      <w:tblStyleColBandSize w:val="1"/>
      <w:tblBorders>
        <w:top w:val="single" w:sz="8" w:space="0" w:color="6C97A4" w:themeColor="accent1"/>
        <w:left w:val="single" w:sz="8" w:space="0" w:color="6C97A4" w:themeColor="accent1"/>
        <w:bottom w:val="single" w:sz="8" w:space="0" w:color="6C97A4" w:themeColor="accent1"/>
        <w:right w:val="single" w:sz="8" w:space="0" w:color="6C97A4" w:themeColor="accent1"/>
      </w:tblBorders>
    </w:tblPr>
    <w:tblStylePr w:type="firstRow">
      <w:pPr>
        <w:spacing w:before="0" w:after="0" w:line="240" w:lineRule="auto"/>
      </w:pPr>
      <w:rPr>
        <w:b/>
        <w:bCs/>
        <w:color w:val="D6E1E1" w:themeColor="background1"/>
      </w:rPr>
      <w:tblPr/>
      <w:tcPr>
        <w:shd w:val="clear" w:color="auto" w:fill="6C97A4" w:themeFill="accent1"/>
      </w:tcPr>
    </w:tblStylePr>
    <w:tblStylePr w:type="lastRow">
      <w:pPr>
        <w:spacing w:before="0" w:after="0" w:line="240" w:lineRule="auto"/>
      </w:pPr>
      <w:rPr>
        <w:b/>
        <w:bCs/>
      </w:rPr>
      <w:tblPr/>
      <w:tcPr>
        <w:tcBorders>
          <w:top w:val="double" w:sz="6" w:space="0" w:color="6C97A4" w:themeColor="accent1"/>
          <w:left w:val="single" w:sz="8" w:space="0" w:color="6C97A4" w:themeColor="accent1"/>
          <w:bottom w:val="single" w:sz="8" w:space="0" w:color="6C97A4" w:themeColor="accent1"/>
          <w:right w:val="single" w:sz="8" w:space="0" w:color="6C97A4" w:themeColor="accent1"/>
        </w:tcBorders>
      </w:tcPr>
    </w:tblStylePr>
    <w:tblStylePr w:type="firstCol">
      <w:rPr>
        <w:b/>
        <w:bCs/>
      </w:rPr>
    </w:tblStylePr>
    <w:tblStylePr w:type="lastCol">
      <w:rPr>
        <w:b/>
        <w:bCs/>
      </w:rPr>
    </w:tblStylePr>
    <w:tblStylePr w:type="band1Vert">
      <w:tblPr/>
      <w:tcPr>
        <w:tcBorders>
          <w:top w:val="single" w:sz="8" w:space="0" w:color="6C97A4" w:themeColor="accent1"/>
          <w:left w:val="single" w:sz="8" w:space="0" w:color="6C97A4" w:themeColor="accent1"/>
          <w:bottom w:val="single" w:sz="8" w:space="0" w:color="6C97A4" w:themeColor="accent1"/>
          <w:right w:val="single" w:sz="8" w:space="0" w:color="6C97A4" w:themeColor="accent1"/>
        </w:tcBorders>
      </w:tcPr>
    </w:tblStylePr>
    <w:tblStylePr w:type="band1Horz">
      <w:tblPr/>
      <w:tcPr>
        <w:tcBorders>
          <w:top w:val="single" w:sz="8" w:space="0" w:color="6C97A4" w:themeColor="accent1"/>
          <w:left w:val="single" w:sz="8" w:space="0" w:color="6C97A4" w:themeColor="accent1"/>
          <w:bottom w:val="single" w:sz="8" w:space="0" w:color="6C97A4" w:themeColor="accent1"/>
          <w:right w:val="single" w:sz="8" w:space="0" w:color="6C97A4" w:themeColor="accent1"/>
        </w:tcBorders>
      </w:tcPr>
    </w:tblStylePr>
  </w:style>
  <w:style w:type="character" w:styleId="FollowedHyperlink">
    <w:name w:val="FollowedHyperlink"/>
    <w:basedOn w:val="DefaultParagraphFont"/>
    <w:uiPriority w:val="99"/>
    <w:semiHidden/>
    <w:unhideWhenUsed/>
    <w:rsid w:val="00473AA9"/>
    <w:rPr>
      <w:color w:val="800080" w:themeColor="followedHyperlink"/>
      <w:u w:val="single"/>
    </w:rPr>
  </w:style>
  <w:style w:type="paragraph" w:styleId="Revision">
    <w:name w:val="Revision"/>
    <w:hidden/>
    <w:uiPriority w:val="99"/>
    <w:semiHidden/>
    <w:rsid w:val="0046619D"/>
    <w:pPr>
      <w:spacing w:after="0" w:line="240" w:lineRule="auto"/>
    </w:pPr>
  </w:style>
  <w:style w:type="paragraph" w:customStyle="1" w:styleId="Default">
    <w:name w:val="Default"/>
    <w:rsid w:val="00762F03"/>
    <w:pPr>
      <w:autoSpaceDE w:val="0"/>
      <w:autoSpaceDN w:val="0"/>
      <w:adjustRightInd w:val="0"/>
      <w:spacing w:after="0" w:line="240" w:lineRule="auto"/>
    </w:pPr>
    <w:rPr>
      <w:rFonts w:ascii="Georgia" w:hAnsi="Georgia" w:cs="Georgia"/>
      <w:color w:val="000000"/>
      <w:sz w:val="24"/>
      <w:szCs w:val="24"/>
    </w:rPr>
  </w:style>
  <w:style w:type="character" w:customStyle="1" w:styleId="act-reference">
    <w:name w:val="act-reference"/>
    <w:basedOn w:val="DefaultParagraphFont"/>
    <w:rsid w:val="009417C1"/>
  </w:style>
  <w:style w:type="character" w:customStyle="1" w:styleId="ListParagraphChar">
    <w:name w:val="List Paragraph Char"/>
    <w:link w:val="ListParagraph"/>
    <w:uiPriority w:val="34"/>
    <w:rsid w:val="009417C1"/>
  </w:style>
  <w:style w:type="paragraph" w:styleId="NormalWeb">
    <w:name w:val="Normal (Web)"/>
    <w:basedOn w:val="Normal"/>
    <w:uiPriority w:val="99"/>
    <w:semiHidden/>
    <w:unhideWhenUsed/>
    <w:rsid w:val="009736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andTableFootnoteAlpha">
    <w:name w:val="Chart and Table Footnote Alpha"/>
    <w:rsid w:val="00BA0048"/>
    <w:pPr>
      <w:numPr>
        <w:numId w:val="3"/>
      </w:numPr>
      <w:spacing w:after="0" w:line="240" w:lineRule="auto"/>
      <w:jc w:val="both"/>
    </w:pPr>
    <w:rPr>
      <w:rFonts w:ascii="Arial" w:eastAsia="Times New Roman" w:hAnsi="Arial" w:cs="Times New Roman"/>
      <w:color w:val="000000"/>
      <w:sz w:val="16"/>
      <w:szCs w:val="16"/>
      <w:lang w:eastAsia="en-AU"/>
    </w:rPr>
  </w:style>
  <w:style w:type="paragraph" w:customStyle="1" w:styleId="TableGraphic">
    <w:name w:val="Table Graphic"/>
    <w:basedOn w:val="Normal"/>
    <w:next w:val="Normal"/>
    <w:rsid w:val="00BA0048"/>
    <w:pPr>
      <w:keepNext/>
      <w:spacing w:after="0" w:line="240" w:lineRule="auto"/>
    </w:pPr>
    <w:rPr>
      <w:rFonts w:ascii="Arial" w:eastAsia="Times New Roman" w:hAnsi="Arial" w:cs="Times New Roman"/>
      <w:color w:val="00673A"/>
      <w:sz w:val="20"/>
      <w:szCs w:val="20"/>
      <w:lang w:eastAsia="en-AU"/>
    </w:rPr>
  </w:style>
  <w:style w:type="character" w:customStyle="1" w:styleId="A5">
    <w:name w:val="A5"/>
    <w:uiPriority w:val="99"/>
    <w:rsid w:val="00BA0048"/>
    <w:rPr>
      <w:rFonts w:cs="Swiss 721 BT"/>
      <w:color w:val="000000"/>
      <w:sz w:val="20"/>
      <w:szCs w:val="20"/>
    </w:rPr>
  </w:style>
  <w:style w:type="paragraph" w:customStyle="1" w:styleId="Heading1-NoTOC">
    <w:name w:val="Heading 1 - No TOC"/>
    <w:basedOn w:val="Heading1"/>
    <w:rsid w:val="008F2DDF"/>
    <w:pPr>
      <w:outlineLvl w:val="9"/>
    </w:pPr>
    <w:rPr>
      <w:spacing w:val="0"/>
    </w:rPr>
  </w:style>
  <w:style w:type="paragraph" w:customStyle="1" w:styleId="FooterOdd">
    <w:name w:val="Footer Odd"/>
    <w:basedOn w:val="Footer"/>
    <w:rsid w:val="00524C7D"/>
    <w:pPr>
      <w:jc w:val="right"/>
    </w:pPr>
    <w:rPr>
      <w:rFonts w:ascii="Arial Narrow" w:hAnsi="Arial Narrow"/>
      <w:b/>
      <w:color w:val="1C1C1C"/>
      <w:sz w:val="18"/>
    </w:rPr>
  </w:style>
  <w:style w:type="paragraph" w:customStyle="1" w:styleId="FooterEven">
    <w:name w:val="Footer Even"/>
    <w:basedOn w:val="FooterOdd"/>
    <w:rsid w:val="00524C7D"/>
    <w:pPr>
      <w:jc w:val="left"/>
    </w:pPr>
  </w:style>
  <w:style w:type="paragraph" w:customStyle="1" w:styleId="TableMainHeading">
    <w:name w:val="Table Main Heading"/>
    <w:basedOn w:val="Normal"/>
    <w:rsid w:val="006E45D9"/>
    <w:pPr>
      <w:spacing w:after="60" w:line="240" w:lineRule="auto"/>
    </w:pPr>
    <w:rPr>
      <w:rFonts w:ascii="Arial Narrow" w:hAnsi="Arial Narrow"/>
      <w:b/>
      <w:caps/>
      <w:sz w:val="24"/>
    </w:rPr>
  </w:style>
  <w:style w:type="paragraph" w:customStyle="1" w:styleId="TableTextLeft">
    <w:name w:val="Table Text Left"/>
    <w:basedOn w:val="Bullet"/>
    <w:rsid w:val="00037582"/>
    <w:pPr>
      <w:numPr>
        <w:numId w:val="0"/>
      </w:numPr>
      <w:spacing w:before="80" w:after="80" w:line="260" w:lineRule="exact"/>
    </w:pPr>
    <w:rPr>
      <w:rFonts w:ascii="Arial Narrow" w:hAnsi="Arial Narrow" w:cs="Microsoft New Tai Lue"/>
      <w:sz w:val="20"/>
      <w:szCs w:val="20"/>
    </w:rPr>
  </w:style>
  <w:style w:type="paragraph" w:customStyle="1" w:styleId="TableColumnHeadingLeft">
    <w:name w:val="Table Column Heading Left"/>
    <w:basedOn w:val="TableTextLeft"/>
    <w:rsid w:val="008F2DDF"/>
    <w:pPr>
      <w:spacing w:before="120" w:after="120"/>
    </w:pPr>
    <w:rPr>
      <w:b/>
      <w:color w:val="4FA4DA"/>
      <w:sz w:val="24"/>
      <w:szCs w:val="24"/>
    </w:rPr>
  </w:style>
  <w:style w:type="character" w:customStyle="1" w:styleId="Heading5Char">
    <w:name w:val="Heading 5 Char"/>
    <w:basedOn w:val="DefaultParagraphFont"/>
    <w:link w:val="Heading5"/>
    <w:uiPriority w:val="9"/>
    <w:rsid w:val="008F2DDF"/>
    <w:rPr>
      <w:rFonts w:ascii="Arial Narrow" w:eastAsiaTheme="majorEastAsia" w:hAnsi="Arial Narrow" w:cstheme="majorBidi"/>
      <w:b/>
      <w:color w:val="3B3B3B"/>
      <w:sz w:val="24"/>
    </w:rPr>
  </w:style>
  <w:style w:type="paragraph" w:customStyle="1" w:styleId="BoxHeading-KeyIssues">
    <w:name w:val="Box Heading - Key Issues"/>
    <w:basedOn w:val="Normal"/>
    <w:link w:val="BoxHeading-KeyIssuesChar"/>
    <w:rsid w:val="000262D8"/>
    <w:pPr>
      <w:keepNext/>
      <w:keepLines/>
      <w:spacing w:before="120" w:after="80" w:line="240" w:lineRule="auto"/>
      <w:jc w:val="left"/>
    </w:pPr>
    <w:rPr>
      <w:rFonts w:ascii="Arial Narrow" w:hAnsi="Arial Narrow"/>
      <w:b/>
      <w:caps/>
      <w:color w:val="404040"/>
      <w:sz w:val="36"/>
    </w:rPr>
  </w:style>
  <w:style w:type="paragraph" w:customStyle="1" w:styleId="BoxBullet">
    <w:name w:val="Box Bullet"/>
    <w:basedOn w:val="BoxHeading-KeyIssues"/>
    <w:link w:val="BoxBulletChar"/>
    <w:rsid w:val="00377076"/>
    <w:pPr>
      <w:numPr>
        <w:numId w:val="4"/>
      </w:numPr>
      <w:spacing w:after="120" w:line="280" w:lineRule="exact"/>
      <w:ind w:left="357" w:hanging="357"/>
      <w:jc w:val="both"/>
    </w:pPr>
    <w:rPr>
      <w:b w:val="0"/>
      <w:caps w:val="0"/>
      <w:sz w:val="22"/>
    </w:rPr>
  </w:style>
  <w:style w:type="paragraph" w:customStyle="1" w:styleId="SingleParagraph">
    <w:name w:val="Single Paragraph"/>
    <w:basedOn w:val="Heading2"/>
    <w:rsid w:val="00824522"/>
    <w:pPr>
      <w:spacing w:before="0" w:after="120"/>
      <w:outlineLvl w:val="9"/>
    </w:pPr>
    <w:rPr>
      <w:b w:val="0"/>
      <w:color w:val="auto"/>
      <w:sz w:val="20"/>
    </w:rPr>
  </w:style>
  <w:style w:type="paragraph" w:customStyle="1" w:styleId="BoxText">
    <w:name w:val="Box Text"/>
    <w:basedOn w:val="Bullet"/>
    <w:rsid w:val="00057CCA"/>
    <w:pPr>
      <w:numPr>
        <w:numId w:val="0"/>
      </w:numPr>
      <w:spacing w:before="120" w:after="120"/>
    </w:pPr>
    <w:rPr>
      <w:rFonts w:ascii="Arial Narrow" w:hAnsi="Arial Narrow"/>
      <w:color w:val="404040"/>
    </w:rPr>
  </w:style>
  <w:style w:type="paragraph" w:customStyle="1" w:styleId="BoxHeading-CaseStudy">
    <w:name w:val="Box Heading - Case Study"/>
    <w:basedOn w:val="BoxHeading-KeyIssues"/>
    <w:rsid w:val="00824E36"/>
  </w:style>
  <w:style w:type="paragraph" w:customStyle="1" w:styleId="FigureMainHeading">
    <w:name w:val="Figure Main Heading"/>
    <w:basedOn w:val="TableMainHeading"/>
    <w:rsid w:val="00FE6924"/>
    <w:pPr>
      <w:keepNext/>
      <w:jc w:val="center"/>
    </w:pPr>
  </w:style>
  <w:style w:type="paragraph" w:customStyle="1" w:styleId="Source">
    <w:name w:val="Source"/>
    <w:basedOn w:val="Normal"/>
    <w:rsid w:val="00E967AD"/>
    <w:pPr>
      <w:spacing w:before="60" w:after="60" w:line="240" w:lineRule="auto"/>
    </w:pPr>
    <w:rPr>
      <w:rFonts w:ascii="Arial Narrow" w:hAnsi="Arial Narrow"/>
      <w:caps/>
      <w:sz w:val="16"/>
    </w:rPr>
  </w:style>
  <w:style w:type="paragraph" w:customStyle="1" w:styleId="BoxHeading-Box">
    <w:name w:val="Box Heading - Box"/>
    <w:basedOn w:val="BoxHeading-CaseStudy"/>
    <w:rsid w:val="00626360"/>
    <w:pPr>
      <w:tabs>
        <w:tab w:val="left" w:pos="1186"/>
      </w:tabs>
      <w:ind w:left="1186" w:hanging="1186"/>
    </w:pPr>
    <w:rPr>
      <w:color w:val="auto"/>
      <w:sz w:val="24"/>
    </w:rPr>
  </w:style>
  <w:style w:type="paragraph" w:customStyle="1" w:styleId="BoxHeadingSub-Box">
    <w:name w:val="Box Heading Sub - Box"/>
    <w:basedOn w:val="BoxHeading-Box"/>
    <w:rsid w:val="00165550"/>
    <w:pPr>
      <w:spacing w:before="240" w:after="0"/>
      <w:ind w:left="1185" w:hanging="1185"/>
    </w:pPr>
    <w:rPr>
      <w:caps w:val="0"/>
      <w:color w:val="404040"/>
      <w:sz w:val="21"/>
    </w:rPr>
  </w:style>
  <w:style w:type="table" w:customStyle="1" w:styleId="Box">
    <w:name w:val="Box #"/>
    <w:basedOn w:val="TableNormal"/>
    <w:uiPriority w:val="99"/>
    <w:rsid w:val="007C644F"/>
    <w:pPr>
      <w:spacing w:before="120" w:after="120"/>
    </w:pPr>
    <w:rPr>
      <w:rFonts w:ascii="Calibri" w:hAnsi="Calibri"/>
    </w:rPr>
    <w:tblPr>
      <w:tblBorders>
        <w:top w:val="single" w:sz="12" w:space="0" w:color="28467D"/>
        <w:left w:val="single" w:sz="12" w:space="0" w:color="28467D"/>
        <w:bottom w:val="single" w:sz="12" w:space="0" w:color="28467D"/>
        <w:right w:val="single" w:sz="12" w:space="0" w:color="28467D"/>
      </w:tblBorders>
    </w:tblPr>
    <w:tcPr>
      <w:shd w:val="clear" w:color="auto" w:fill="F0B6B9"/>
      <w:tcMar>
        <w:left w:w="198" w:type="dxa"/>
        <w:right w:w="198" w:type="dxa"/>
      </w:tcMar>
    </w:tcPr>
  </w:style>
  <w:style w:type="paragraph" w:customStyle="1" w:styleId="BoxHeading-Boxcont">
    <w:name w:val="Box Heading - Box (cont)"/>
    <w:basedOn w:val="BoxHeading-Box"/>
    <w:rsid w:val="009D022F"/>
  </w:style>
  <w:style w:type="paragraph" w:customStyle="1" w:styleId="AlphaParagraph">
    <w:name w:val="Alpha Paragraph"/>
    <w:basedOn w:val="Normal"/>
    <w:rsid w:val="009D47B7"/>
    <w:pPr>
      <w:numPr>
        <w:numId w:val="5"/>
      </w:numPr>
    </w:pPr>
  </w:style>
  <w:style w:type="paragraph" w:customStyle="1" w:styleId="RomanParagraph">
    <w:name w:val="Roman Paragraph"/>
    <w:basedOn w:val="OutlineNumbered1"/>
    <w:rsid w:val="004E04F0"/>
    <w:pPr>
      <w:numPr>
        <w:numId w:val="6"/>
      </w:numPr>
      <w:tabs>
        <w:tab w:val="left" w:pos="425"/>
      </w:tabs>
      <w:ind w:left="425" w:hanging="425"/>
    </w:pPr>
  </w:style>
  <w:style w:type="paragraph" w:customStyle="1" w:styleId="RomanParagraph-Indent">
    <w:name w:val="Roman Paragraph - Indent"/>
    <w:basedOn w:val="RomanParagraph"/>
    <w:rsid w:val="004E04F0"/>
    <w:pPr>
      <w:tabs>
        <w:tab w:val="clear" w:pos="425"/>
        <w:tab w:val="left" w:pos="851"/>
      </w:tabs>
      <w:ind w:left="850"/>
    </w:pPr>
  </w:style>
  <w:style w:type="paragraph" w:customStyle="1" w:styleId="TableTextLeft-Bullet">
    <w:name w:val="Table Text Left - Bullet"/>
    <w:basedOn w:val="TableTextLeft"/>
    <w:rsid w:val="00037582"/>
    <w:pPr>
      <w:numPr>
        <w:numId w:val="7"/>
      </w:numPr>
      <w:tabs>
        <w:tab w:val="clear" w:pos="425"/>
        <w:tab w:val="num" w:pos="284"/>
      </w:tabs>
      <w:ind w:left="284" w:hanging="284"/>
    </w:pPr>
  </w:style>
  <w:style w:type="table" w:customStyle="1" w:styleId="KeyPoints">
    <w:name w:val="Key Points"/>
    <w:basedOn w:val="TableNormal"/>
    <w:uiPriority w:val="99"/>
    <w:rsid w:val="007C644F"/>
    <w:pPr>
      <w:spacing w:before="120" w:after="120" w:line="240" w:lineRule="auto"/>
    </w:pPr>
    <w:rPr>
      <w:rFonts w:ascii="Calibri" w:hAnsi="Calibri"/>
      <w:color w:val="404040"/>
    </w:rPr>
    <w:tblPr>
      <w:tblBorders>
        <w:top w:val="single" w:sz="12" w:space="0" w:color="28467D"/>
        <w:left w:val="single" w:sz="12" w:space="0" w:color="28467D"/>
        <w:bottom w:val="single" w:sz="12" w:space="0" w:color="28467D"/>
        <w:right w:val="single" w:sz="12" w:space="0" w:color="28467D"/>
      </w:tblBorders>
    </w:tblPr>
    <w:tcPr>
      <w:shd w:val="clear" w:color="auto" w:fill="FFD3C1"/>
      <w:tcMar>
        <w:left w:w="198" w:type="dxa"/>
        <w:right w:w="198" w:type="dxa"/>
      </w:tcMar>
    </w:tcPr>
  </w:style>
  <w:style w:type="table" w:customStyle="1" w:styleId="Observation">
    <w:name w:val="Observation"/>
    <w:basedOn w:val="TableNormal"/>
    <w:uiPriority w:val="99"/>
    <w:rsid w:val="007C644F"/>
    <w:pPr>
      <w:spacing w:before="120" w:after="120" w:line="240" w:lineRule="auto"/>
    </w:pPr>
    <w:tblPr>
      <w:tblBorders>
        <w:top w:val="single" w:sz="12" w:space="0" w:color="78181C"/>
        <w:left w:val="single" w:sz="12" w:space="0" w:color="78181C"/>
        <w:bottom w:val="single" w:sz="12" w:space="0" w:color="78181C"/>
        <w:right w:val="single" w:sz="12" w:space="0" w:color="78181C"/>
      </w:tblBorders>
    </w:tblPr>
    <w:tcPr>
      <w:shd w:val="clear" w:color="auto" w:fill="E1F1FF"/>
      <w:tcMar>
        <w:left w:w="198" w:type="dxa"/>
        <w:right w:w="198" w:type="dxa"/>
      </w:tcMar>
    </w:tcPr>
  </w:style>
  <w:style w:type="paragraph" w:customStyle="1" w:styleId="Heading1-ExecSum">
    <w:name w:val="Heading 1 - ExecSum"/>
    <w:basedOn w:val="Normal"/>
    <w:rsid w:val="005825AB"/>
    <w:pPr>
      <w:spacing w:after="360" w:line="240" w:lineRule="auto"/>
      <w:outlineLvl w:val="0"/>
    </w:pPr>
    <w:rPr>
      <w:rFonts w:ascii="Arial Narrow" w:hAnsi="Arial Narrow"/>
      <w:b/>
      <w:caps/>
      <w:sz w:val="72"/>
    </w:rPr>
  </w:style>
  <w:style w:type="paragraph" w:customStyle="1" w:styleId="PullQuote">
    <w:name w:val="Pull Quote"/>
    <w:basedOn w:val="Normal"/>
    <w:rsid w:val="00945D46"/>
    <w:pPr>
      <w:spacing w:after="180"/>
      <w:jc w:val="center"/>
    </w:pPr>
    <w:rPr>
      <w:b/>
      <w:i/>
      <w:iCs/>
      <w:color w:val="0082A6" w:themeColor="text1" w:themeTint="BF"/>
      <w:sz w:val="24"/>
      <w:szCs w:val="24"/>
    </w:rPr>
  </w:style>
  <w:style w:type="paragraph" w:customStyle="1" w:styleId="HeaderEven">
    <w:name w:val="Header Even"/>
    <w:basedOn w:val="FooterEven"/>
    <w:rsid w:val="005825AB"/>
    <w:rPr>
      <w:caps/>
    </w:rPr>
  </w:style>
  <w:style w:type="paragraph" w:customStyle="1" w:styleId="HeaderOdd">
    <w:name w:val="Header Odd"/>
    <w:basedOn w:val="HeaderEven"/>
    <w:rsid w:val="00037582"/>
    <w:pPr>
      <w:tabs>
        <w:tab w:val="clear" w:pos="4513"/>
        <w:tab w:val="clear" w:pos="9026"/>
      </w:tabs>
      <w:jc w:val="right"/>
    </w:pPr>
  </w:style>
  <w:style w:type="paragraph" w:customStyle="1" w:styleId="BoxNumbering">
    <w:name w:val="Box Numbering"/>
    <w:basedOn w:val="OutlineNumbered1"/>
    <w:rsid w:val="00AC4BFE"/>
    <w:pPr>
      <w:numPr>
        <w:numId w:val="8"/>
      </w:numPr>
      <w:tabs>
        <w:tab w:val="left" w:pos="284"/>
      </w:tabs>
      <w:spacing w:before="120" w:after="120"/>
      <w:ind w:left="284" w:hanging="284"/>
    </w:pPr>
    <w:rPr>
      <w:rFonts w:ascii="Arial Narrow" w:hAnsi="Arial Narrow"/>
      <w:color w:val="404040"/>
    </w:rPr>
  </w:style>
  <w:style w:type="character" w:customStyle="1" w:styleId="Heading6Char">
    <w:name w:val="Heading 6 Char"/>
    <w:basedOn w:val="DefaultParagraphFont"/>
    <w:link w:val="Heading6"/>
    <w:uiPriority w:val="9"/>
    <w:rsid w:val="008F2DDF"/>
    <w:rPr>
      <w:rFonts w:ascii="Arial Narrow" w:eastAsiaTheme="majorEastAsia" w:hAnsi="Arial Narrow" w:cstheme="majorBidi"/>
      <w:i/>
      <w:iCs/>
      <w:color w:val="3B3B3B"/>
    </w:rPr>
  </w:style>
  <w:style w:type="paragraph" w:customStyle="1" w:styleId="RecomendationsNumbered1">
    <w:name w:val="Recomendations Numbered 1"/>
    <w:qFormat/>
    <w:rsid w:val="00E46246"/>
    <w:pPr>
      <w:numPr>
        <w:numId w:val="20"/>
      </w:numPr>
      <w:tabs>
        <w:tab w:val="left" w:pos="425"/>
      </w:tabs>
      <w:spacing w:before="240" w:after="120" w:line="240" w:lineRule="auto"/>
      <w:ind w:left="425" w:hanging="425"/>
    </w:pPr>
    <w:rPr>
      <w:rFonts w:ascii="Calibri" w:hAnsi="Calibri"/>
      <w:b/>
      <w:caps/>
      <w:color w:val="292929"/>
      <w:spacing w:val="-8"/>
    </w:rPr>
  </w:style>
  <w:style w:type="table" w:styleId="LightList-Accent5">
    <w:name w:val="Light List Accent 5"/>
    <w:basedOn w:val="TableNormal"/>
    <w:uiPriority w:val="61"/>
    <w:rsid w:val="00C208C1"/>
    <w:pPr>
      <w:spacing w:after="0" w:line="240" w:lineRule="auto"/>
    </w:pPr>
    <w:tblPr>
      <w:tblStyleRowBandSize w:val="1"/>
      <w:tblStyleColBandSize w:val="1"/>
      <w:tblBorders>
        <w:top w:val="single" w:sz="8" w:space="0" w:color="DDECE9" w:themeColor="accent5"/>
        <w:left w:val="single" w:sz="8" w:space="0" w:color="DDECE9" w:themeColor="accent5"/>
        <w:bottom w:val="single" w:sz="8" w:space="0" w:color="DDECE9" w:themeColor="accent5"/>
        <w:right w:val="single" w:sz="8" w:space="0" w:color="DDECE9" w:themeColor="accent5"/>
      </w:tblBorders>
    </w:tblPr>
    <w:tblStylePr w:type="firstRow">
      <w:pPr>
        <w:spacing w:before="0" w:after="0" w:line="240" w:lineRule="auto"/>
      </w:pPr>
      <w:rPr>
        <w:b/>
        <w:bCs/>
        <w:color w:val="D6E1E1" w:themeColor="background1"/>
      </w:rPr>
      <w:tblPr/>
      <w:tcPr>
        <w:shd w:val="clear" w:color="auto" w:fill="DDECE9" w:themeFill="accent5"/>
      </w:tcPr>
    </w:tblStylePr>
    <w:tblStylePr w:type="lastRow">
      <w:pPr>
        <w:spacing w:before="0" w:after="0" w:line="240" w:lineRule="auto"/>
      </w:pPr>
      <w:rPr>
        <w:b/>
        <w:bCs/>
      </w:rPr>
      <w:tblPr/>
      <w:tcPr>
        <w:tcBorders>
          <w:top w:val="double" w:sz="6" w:space="0" w:color="DDECE9" w:themeColor="accent5"/>
          <w:left w:val="single" w:sz="8" w:space="0" w:color="DDECE9" w:themeColor="accent5"/>
          <w:bottom w:val="single" w:sz="8" w:space="0" w:color="DDECE9" w:themeColor="accent5"/>
          <w:right w:val="single" w:sz="8" w:space="0" w:color="DDECE9" w:themeColor="accent5"/>
        </w:tcBorders>
      </w:tcPr>
    </w:tblStylePr>
    <w:tblStylePr w:type="firstCol">
      <w:rPr>
        <w:b/>
        <w:bCs/>
      </w:rPr>
    </w:tblStylePr>
    <w:tblStylePr w:type="lastCol">
      <w:rPr>
        <w:b/>
        <w:bCs/>
      </w:rPr>
    </w:tblStylePr>
    <w:tblStylePr w:type="band1Vert">
      <w:tblPr/>
      <w:tcPr>
        <w:tcBorders>
          <w:top w:val="single" w:sz="8" w:space="0" w:color="DDECE9" w:themeColor="accent5"/>
          <w:left w:val="single" w:sz="8" w:space="0" w:color="DDECE9" w:themeColor="accent5"/>
          <w:bottom w:val="single" w:sz="8" w:space="0" w:color="DDECE9" w:themeColor="accent5"/>
          <w:right w:val="single" w:sz="8" w:space="0" w:color="DDECE9" w:themeColor="accent5"/>
        </w:tcBorders>
      </w:tcPr>
    </w:tblStylePr>
    <w:tblStylePr w:type="band1Horz">
      <w:tblPr/>
      <w:tcPr>
        <w:tcBorders>
          <w:top w:val="single" w:sz="8" w:space="0" w:color="DDECE9" w:themeColor="accent5"/>
          <w:left w:val="single" w:sz="8" w:space="0" w:color="DDECE9" w:themeColor="accent5"/>
          <w:bottom w:val="single" w:sz="8" w:space="0" w:color="DDECE9" w:themeColor="accent5"/>
          <w:right w:val="single" w:sz="8" w:space="0" w:color="DDECE9" w:themeColor="accent5"/>
        </w:tcBorders>
      </w:tcPr>
    </w:tblStylePr>
  </w:style>
  <w:style w:type="table" w:styleId="LightList-Accent2">
    <w:name w:val="Light List Accent 2"/>
    <w:basedOn w:val="TableNormal"/>
    <w:uiPriority w:val="61"/>
    <w:rsid w:val="00C208C1"/>
    <w:pPr>
      <w:spacing w:after="0" w:line="240" w:lineRule="auto"/>
    </w:pPr>
    <w:tblPr>
      <w:tblStyleRowBandSize w:val="1"/>
      <w:tblStyleColBandSize w:val="1"/>
      <w:tblBorders>
        <w:top w:val="single" w:sz="8" w:space="0" w:color="88B9B6" w:themeColor="accent2"/>
        <w:left w:val="single" w:sz="8" w:space="0" w:color="88B9B6" w:themeColor="accent2"/>
        <w:bottom w:val="single" w:sz="8" w:space="0" w:color="88B9B6" w:themeColor="accent2"/>
        <w:right w:val="single" w:sz="8" w:space="0" w:color="88B9B6" w:themeColor="accent2"/>
      </w:tblBorders>
    </w:tblPr>
    <w:tblStylePr w:type="firstRow">
      <w:pPr>
        <w:spacing w:before="0" w:after="0" w:line="240" w:lineRule="auto"/>
      </w:pPr>
      <w:rPr>
        <w:b/>
        <w:bCs/>
        <w:color w:val="D6E1E1" w:themeColor="background1"/>
      </w:rPr>
      <w:tblPr/>
      <w:tcPr>
        <w:shd w:val="clear" w:color="auto" w:fill="88B9B6" w:themeFill="accent2"/>
      </w:tcPr>
    </w:tblStylePr>
    <w:tblStylePr w:type="lastRow">
      <w:pPr>
        <w:spacing w:before="0" w:after="0" w:line="240" w:lineRule="auto"/>
      </w:pPr>
      <w:rPr>
        <w:b/>
        <w:bCs/>
      </w:rPr>
      <w:tblPr/>
      <w:tcPr>
        <w:tcBorders>
          <w:top w:val="double" w:sz="6" w:space="0" w:color="88B9B6" w:themeColor="accent2"/>
          <w:left w:val="single" w:sz="8" w:space="0" w:color="88B9B6" w:themeColor="accent2"/>
          <w:bottom w:val="single" w:sz="8" w:space="0" w:color="88B9B6" w:themeColor="accent2"/>
          <w:right w:val="single" w:sz="8" w:space="0" w:color="88B9B6" w:themeColor="accent2"/>
        </w:tcBorders>
      </w:tcPr>
    </w:tblStylePr>
    <w:tblStylePr w:type="firstCol">
      <w:rPr>
        <w:b/>
        <w:bCs/>
      </w:rPr>
    </w:tblStylePr>
    <w:tblStylePr w:type="lastCol">
      <w:rPr>
        <w:b/>
        <w:bCs/>
      </w:rPr>
    </w:tblStylePr>
    <w:tblStylePr w:type="band1Vert">
      <w:tblPr/>
      <w:tcPr>
        <w:tcBorders>
          <w:top w:val="single" w:sz="8" w:space="0" w:color="88B9B6" w:themeColor="accent2"/>
          <w:left w:val="single" w:sz="8" w:space="0" w:color="88B9B6" w:themeColor="accent2"/>
          <w:bottom w:val="single" w:sz="8" w:space="0" w:color="88B9B6" w:themeColor="accent2"/>
          <w:right w:val="single" w:sz="8" w:space="0" w:color="88B9B6" w:themeColor="accent2"/>
        </w:tcBorders>
      </w:tcPr>
    </w:tblStylePr>
    <w:tblStylePr w:type="band1Horz">
      <w:tblPr/>
      <w:tcPr>
        <w:tcBorders>
          <w:top w:val="single" w:sz="8" w:space="0" w:color="88B9B6" w:themeColor="accent2"/>
          <w:left w:val="single" w:sz="8" w:space="0" w:color="88B9B6" w:themeColor="accent2"/>
          <w:bottom w:val="single" w:sz="8" w:space="0" w:color="88B9B6" w:themeColor="accent2"/>
          <w:right w:val="single" w:sz="8" w:space="0" w:color="88B9B6" w:themeColor="accent2"/>
        </w:tcBorders>
      </w:tcPr>
    </w:tblStylePr>
  </w:style>
  <w:style w:type="character" w:styleId="Emphasis">
    <w:name w:val="Emphasis"/>
    <w:basedOn w:val="DefaultParagraphFont"/>
    <w:uiPriority w:val="20"/>
    <w:qFormat/>
    <w:rsid w:val="00C208C1"/>
    <w:rPr>
      <w:i/>
      <w:iCs/>
    </w:rPr>
  </w:style>
  <w:style w:type="paragraph" w:customStyle="1" w:styleId="Classification">
    <w:name w:val="Classification"/>
    <w:basedOn w:val="Normal"/>
    <w:rsid w:val="007A5D62"/>
    <w:pPr>
      <w:keepNext/>
      <w:spacing w:after="0" w:line="240" w:lineRule="auto"/>
      <w:jc w:val="center"/>
    </w:pPr>
    <w:rPr>
      <w:rFonts w:ascii="Arial" w:eastAsia="Times New Roman" w:hAnsi="Arial" w:cs="Times New Roman"/>
      <w:b/>
      <w:smallCaps/>
      <w:sz w:val="24"/>
      <w:szCs w:val="20"/>
      <w:lang w:eastAsia="en-AU"/>
    </w:rPr>
  </w:style>
  <w:style w:type="paragraph" w:customStyle="1" w:styleId="FileProperties">
    <w:name w:val="File Properties"/>
    <w:basedOn w:val="Normal"/>
    <w:rsid w:val="007A5D62"/>
    <w:pPr>
      <w:spacing w:line="260" w:lineRule="exact"/>
    </w:pPr>
    <w:rPr>
      <w:rFonts w:ascii="Book Antiqua" w:eastAsia="Times New Roman" w:hAnsi="Book Antiqua" w:cs="Times New Roman"/>
      <w:i/>
      <w:sz w:val="20"/>
      <w:szCs w:val="20"/>
      <w:lang w:eastAsia="en-AU"/>
    </w:rPr>
  </w:style>
  <w:style w:type="character" w:customStyle="1" w:styleId="FramedHeader">
    <w:name w:val="Framed Header"/>
    <w:basedOn w:val="DefaultParagraphFont"/>
    <w:rsid w:val="007A5D62"/>
    <w:rPr>
      <w:rFonts w:ascii="Book Antiqua" w:hAnsi="Book Antiqua"/>
      <w:i/>
      <w:dstrike w:val="0"/>
      <w:color w:val="auto"/>
      <w:sz w:val="20"/>
      <w:vertAlign w:val="baseline"/>
    </w:rPr>
  </w:style>
  <w:style w:type="paragraph" w:customStyle="1" w:styleId="Normal-Indent">
    <w:name w:val="Normal - Indent"/>
    <w:basedOn w:val="Normal"/>
    <w:rsid w:val="00E46246"/>
    <w:pPr>
      <w:tabs>
        <w:tab w:val="left" w:pos="425"/>
      </w:tabs>
      <w:ind w:left="425"/>
    </w:pPr>
  </w:style>
  <w:style w:type="paragraph" w:customStyle="1" w:styleId="OutlineNumbered1-Bold">
    <w:name w:val="Outline Numbered 1 - Bold"/>
    <w:basedOn w:val="OutlineNumbered1"/>
    <w:rsid w:val="00E46246"/>
    <w:pPr>
      <w:numPr>
        <w:numId w:val="2"/>
      </w:numPr>
    </w:pPr>
    <w:rPr>
      <w:b/>
    </w:rPr>
  </w:style>
  <w:style w:type="paragraph" w:customStyle="1" w:styleId="ChartGraphic">
    <w:name w:val="Chart Graphic"/>
    <w:basedOn w:val="Normal"/>
    <w:next w:val="Normal"/>
    <w:link w:val="ChartGraphicChar"/>
    <w:rsid w:val="002D4A85"/>
    <w:pPr>
      <w:spacing w:after="0" w:line="240" w:lineRule="auto"/>
      <w:jc w:val="center"/>
    </w:pPr>
    <w:rPr>
      <w:sz w:val="20"/>
    </w:rPr>
  </w:style>
  <w:style w:type="character" w:customStyle="1" w:styleId="ChartGraphicChar">
    <w:name w:val="Chart Graphic Char"/>
    <w:basedOn w:val="DefaultParagraphFont"/>
    <w:link w:val="ChartGraphic"/>
    <w:rsid w:val="002D4A85"/>
    <w:rPr>
      <w:rFonts w:ascii="Calibri" w:hAnsi="Calibri"/>
      <w:sz w:val="20"/>
    </w:rPr>
  </w:style>
  <w:style w:type="character" w:customStyle="1" w:styleId="TextChar">
    <w:name w:val="Text Char"/>
    <w:basedOn w:val="DefaultParagraphFont"/>
    <w:link w:val="Text"/>
    <w:locked/>
    <w:rsid w:val="00CE7B07"/>
  </w:style>
  <w:style w:type="paragraph" w:customStyle="1" w:styleId="Text">
    <w:name w:val="Text"/>
    <w:basedOn w:val="Normal"/>
    <w:link w:val="TextChar"/>
    <w:rsid w:val="00CE7B07"/>
    <w:pPr>
      <w:spacing w:after="0" w:line="240" w:lineRule="auto"/>
    </w:pPr>
    <w:rPr>
      <w:rFonts w:asciiTheme="minorHAnsi" w:hAnsiTheme="minorHAnsi"/>
    </w:rPr>
  </w:style>
  <w:style w:type="paragraph" w:styleId="Bibliography">
    <w:name w:val="Bibliography"/>
    <w:basedOn w:val="Normal"/>
    <w:next w:val="Normal"/>
    <w:uiPriority w:val="37"/>
    <w:semiHidden/>
    <w:unhideWhenUsed/>
    <w:rsid w:val="004F7149"/>
  </w:style>
  <w:style w:type="paragraph" w:styleId="BlockText">
    <w:name w:val="Block Text"/>
    <w:basedOn w:val="Normal"/>
    <w:uiPriority w:val="99"/>
    <w:semiHidden/>
    <w:unhideWhenUsed/>
    <w:rsid w:val="004F7149"/>
    <w:pPr>
      <w:pBdr>
        <w:top w:val="single" w:sz="2" w:space="10" w:color="6C97A4" w:themeColor="accent1" w:shadow="1" w:frame="1"/>
        <w:left w:val="single" w:sz="2" w:space="10" w:color="6C97A4" w:themeColor="accent1" w:shadow="1" w:frame="1"/>
        <w:bottom w:val="single" w:sz="2" w:space="10" w:color="6C97A4" w:themeColor="accent1" w:shadow="1" w:frame="1"/>
        <w:right w:val="single" w:sz="2" w:space="10" w:color="6C97A4" w:themeColor="accent1" w:shadow="1" w:frame="1"/>
      </w:pBdr>
      <w:ind w:left="1152" w:right="1152"/>
    </w:pPr>
    <w:rPr>
      <w:rFonts w:asciiTheme="minorHAnsi" w:eastAsiaTheme="minorEastAsia" w:hAnsiTheme="minorHAnsi"/>
      <w:i/>
      <w:iCs/>
      <w:color w:val="6C97A4" w:themeColor="accent1"/>
    </w:rPr>
  </w:style>
  <w:style w:type="paragraph" w:styleId="BodyText">
    <w:name w:val="Body Text"/>
    <w:basedOn w:val="Normal"/>
    <w:link w:val="BodyTextChar"/>
    <w:uiPriority w:val="99"/>
    <w:semiHidden/>
    <w:unhideWhenUsed/>
    <w:rsid w:val="004F7149"/>
    <w:pPr>
      <w:spacing w:after="120"/>
    </w:pPr>
  </w:style>
  <w:style w:type="character" w:customStyle="1" w:styleId="BodyTextChar">
    <w:name w:val="Body Text Char"/>
    <w:basedOn w:val="DefaultParagraphFont"/>
    <w:link w:val="BodyText"/>
    <w:uiPriority w:val="99"/>
    <w:semiHidden/>
    <w:rsid w:val="004F7149"/>
    <w:rPr>
      <w:rFonts w:ascii="Calibri" w:hAnsi="Calibri"/>
    </w:rPr>
  </w:style>
  <w:style w:type="paragraph" w:styleId="BodyText2">
    <w:name w:val="Body Text 2"/>
    <w:basedOn w:val="Normal"/>
    <w:link w:val="BodyText2Char"/>
    <w:uiPriority w:val="99"/>
    <w:semiHidden/>
    <w:unhideWhenUsed/>
    <w:rsid w:val="004F7149"/>
    <w:pPr>
      <w:spacing w:after="120" w:line="480" w:lineRule="auto"/>
    </w:pPr>
  </w:style>
  <w:style w:type="character" w:customStyle="1" w:styleId="BodyText2Char">
    <w:name w:val="Body Text 2 Char"/>
    <w:basedOn w:val="DefaultParagraphFont"/>
    <w:link w:val="BodyText2"/>
    <w:uiPriority w:val="99"/>
    <w:semiHidden/>
    <w:rsid w:val="004F7149"/>
    <w:rPr>
      <w:rFonts w:ascii="Calibri" w:hAnsi="Calibri"/>
    </w:rPr>
  </w:style>
  <w:style w:type="paragraph" w:styleId="BodyText3">
    <w:name w:val="Body Text 3"/>
    <w:basedOn w:val="Normal"/>
    <w:link w:val="BodyText3Char"/>
    <w:uiPriority w:val="99"/>
    <w:semiHidden/>
    <w:unhideWhenUsed/>
    <w:rsid w:val="004F7149"/>
    <w:pPr>
      <w:spacing w:after="120"/>
    </w:pPr>
    <w:rPr>
      <w:sz w:val="16"/>
      <w:szCs w:val="16"/>
    </w:rPr>
  </w:style>
  <w:style w:type="character" w:customStyle="1" w:styleId="BodyText3Char">
    <w:name w:val="Body Text 3 Char"/>
    <w:basedOn w:val="DefaultParagraphFont"/>
    <w:link w:val="BodyText3"/>
    <w:uiPriority w:val="99"/>
    <w:semiHidden/>
    <w:rsid w:val="004F7149"/>
    <w:rPr>
      <w:rFonts w:ascii="Calibri" w:hAnsi="Calibri"/>
      <w:sz w:val="16"/>
      <w:szCs w:val="16"/>
    </w:rPr>
  </w:style>
  <w:style w:type="paragraph" w:styleId="BodyTextFirstIndent">
    <w:name w:val="Body Text First Indent"/>
    <w:basedOn w:val="BodyText"/>
    <w:link w:val="BodyTextFirstIndentChar"/>
    <w:uiPriority w:val="99"/>
    <w:semiHidden/>
    <w:unhideWhenUsed/>
    <w:rsid w:val="004F7149"/>
    <w:pPr>
      <w:spacing w:after="200"/>
      <w:ind w:firstLine="360"/>
    </w:pPr>
  </w:style>
  <w:style w:type="character" w:customStyle="1" w:styleId="BodyTextFirstIndentChar">
    <w:name w:val="Body Text First Indent Char"/>
    <w:basedOn w:val="BodyTextChar"/>
    <w:link w:val="BodyTextFirstIndent"/>
    <w:uiPriority w:val="99"/>
    <w:semiHidden/>
    <w:rsid w:val="004F7149"/>
    <w:rPr>
      <w:rFonts w:ascii="Calibri" w:hAnsi="Calibri"/>
    </w:rPr>
  </w:style>
  <w:style w:type="paragraph" w:styleId="BodyTextIndent">
    <w:name w:val="Body Text Indent"/>
    <w:basedOn w:val="Normal"/>
    <w:link w:val="BodyTextIndentChar"/>
    <w:uiPriority w:val="99"/>
    <w:semiHidden/>
    <w:unhideWhenUsed/>
    <w:rsid w:val="004F7149"/>
    <w:pPr>
      <w:spacing w:after="120"/>
      <w:ind w:left="283"/>
    </w:pPr>
  </w:style>
  <w:style w:type="character" w:customStyle="1" w:styleId="BodyTextIndentChar">
    <w:name w:val="Body Text Indent Char"/>
    <w:basedOn w:val="DefaultParagraphFont"/>
    <w:link w:val="BodyTextIndent"/>
    <w:uiPriority w:val="99"/>
    <w:semiHidden/>
    <w:rsid w:val="004F7149"/>
    <w:rPr>
      <w:rFonts w:ascii="Calibri" w:hAnsi="Calibri"/>
    </w:rPr>
  </w:style>
  <w:style w:type="paragraph" w:styleId="BodyTextFirstIndent2">
    <w:name w:val="Body Text First Indent 2"/>
    <w:basedOn w:val="BodyTextIndent"/>
    <w:link w:val="BodyTextFirstIndent2Char"/>
    <w:uiPriority w:val="99"/>
    <w:semiHidden/>
    <w:unhideWhenUsed/>
    <w:rsid w:val="004F7149"/>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4F7149"/>
    <w:rPr>
      <w:rFonts w:ascii="Calibri" w:hAnsi="Calibri"/>
    </w:rPr>
  </w:style>
  <w:style w:type="paragraph" w:styleId="BodyTextIndent2">
    <w:name w:val="Body Text Indent 2"/>
    <w:basedOn w:val="Normal"/>
    <w:link w:val="BodyTextIndent2Char"/>
    <w:uiPriority w:val="99"/>
    <w:semiHidden/>
    <w:unhideWhenUsed/>
    <w:rsid w:val="004F7149"/>
    <w:pPr>
      <w:spacing w:after="120" w:line="480" w:lineRule="auto"/>
      <w:ind w:left="283"/>
    </w:pPr>
  </w:style>
  <w:style w:type="character" w:customStyle="1" w:styleId="BodyTextIndent2Char">
    <w:name w:val="Body Text Indent 2 Char"/>
    <w:basedOn w:val="DefaultParagraphFont"/>
    <w:link w:val="BodyTextIndent2"/>
    <w:uiPriority w:val="99"/>
    <w:semiHidden/>
    <w:rsid w:val="004F7149"/>
    <w:rPr>
      <w:rFonts w:ascii="Calibri" w:hAnsi="Calibri"/>
    </w:rPr>
  </w:style>
  <w:style w:type="paragraph" w:styleId="BodyTextIndent3">
    <w:name w:val="Body Text Indent 3"/>
    <w:basedOn w:val="Normal"/>
    <w:link w:val="BodyTextIndent3Char"/>
    <w:uiPriority w:val="99"/>
    <w:semiHidden/>
    <w:unhideWhenUsed/>
    <w:rsid w:val="004F714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F7149"/>
    <w:rPr>
      <w:rFonts w:ascii="Calibri" w:hAnsi="Calibri"/>
      <w:sz w:val="16"/>
      <w:szCs w:val="16"/>
    </w:rPr>
  </w:style>
  <w:style w:type="paragraph" w:styleId="Caption">
    <w:name w:val="caption"/>
    <w:basedOn w:val="Normal"/>
    <w:next w:val="Normal"/>
    <w:uiPriority w:val="35"/>
    <w:semiHidden/>
    <w:unhideWhenUsed/>
    <w:qFormat/>
    <w:rsid w:val="004F7149"/>
    <w:pPr>
      <w:spacing w:line="240" w:lineRule="auto"/>
    </w:pPr>
    <w:rPr>
      <w:b/>
      <w:bCs/>
      <w:color w:val="6C97A4" w:themeColor="accent1"/>
      <w:sz w:val="18"/>
      <w:szCs w:val="18"/>
    </w:rPr>
  </w:style>
  <w:style w:type="paragraph" w:styleId="Closing">
    <w:name w:val="Closing"/>
    <w:basedOn w:val="Normal"/>
    <w:link w:val="ClosingChar"/>
    <w:uiPriority w:val="99"/>
    <w:semiHidden/>
    <w:unhideWhenUsed/>
    <w:rsid w:val="004F7149"/>
    <w:pPr>
      <w:spacing w:after="0" w:line="240" w:lineRule="auto"/>
      <w:ind w:left="4252"/>
    </w:pPr>
  </w:style>
  <w:style w:type="character" w:customStyle="1" w:styleId="ClosingChar">
    <w:name w:val="Closing Char"/>
    <w:basedOn w:val="DefaultParagraphFont"/>
    <w:link w:val="Closing"/>
    <w:uiPriority w:val="99"/>
    <w:semiHidden/>
    <w:rsid w:val="004F7149"/>
    <w:rPr>
      <w:rFonts w:ascii="Calibri" w:hAnsi="Calibri"/>
    </w:rPr>
  </w:style>
  <w:style w:type="paragraph" w:styleId="Date">
    <w:name w:val="Date"/>
    <w:basedOn w:val="Normal"/>
    <w:next w:val="Normal"/>
    <w:link w:val="DateChar"/>
    <w:uiPriority w:val="99"/>
    <w:semiHidden/>
    <w:unhideWhenUsed/>
    <w:rsid w:val="004F7149"/>
  </w:style>
  <w:style w:type="character" w:customStyle="1" w:styleId="DateChar">
    <w:name w:val="Date Char"/>
    <w:basedOn w:val="DefaultParagraphFont"/>
    <w:link w:val="Date"/>
    <w:uiPriority w:val="99"/>
    <w:semiHidden/>
    <w:rsid w:val="004F7149"/>
    <w:rPr>
      <w:rFonts w:ascii="Calibri" w:hAnsi="Calibri"/>
    </w:rPr>
  </w:style>
  <w:style w:type="paragraph" w:styleId="DocumentMap">
    <w:name w:val="Document Map"/>
    <w:basedOn w:val="Normal"/>
    <w:link w:val="DocumentMapChar"/>
    <w:uiPriority w:val="99"/>
    <w:semiHidden/>
    <w:unhideWhenUsed/>
    <w:rsid w:val="004F714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F7149"/>
    <w:rPr>
      <w:rFonts w:ascii="Tahoma" w:hAnsi="Tahoma" w:cs="Tahoma"/>
      <w:sz w:val="16"/>
      <w:szCs w:val="16"/>
    </w:rPr>
  </w:style>
  <w:style w:type="paragraph" w:styleId="E-mailSignature">
    <w:name w:val="E-mail Signature"/>
    <w:basedOn w:val="Normal"/>
    <w:link w:val="E-mailSignatureChar"/>
    <w:uiPriority w:val="99"/>
    <w:semiHidden/>
    <w:unhideWhenUsed/>
    <w:rsid w:val="004F7149"/>
    <w:pPr>
      <w:spacing w:after="0" w:line="240" w:lineRule="auto"/>
    </w:pPr>
  </w:style>
  <w:style w:type="character" w:customStyle="1" w:styleId="E-mailSignatureChar">
    <w:name w:val="E-mail Signature Char"/>
    <w:basedOn w:val="DefaultParagraphFont"/>
    <w:link w:val="E-mailSignature"/>
    <w:uiPriority w:val="99"/>
    <w:semiHidden/>
    <w:rsid w:val="004F7149"/>
    <w:rPr>
      <w:rFonts w:ascii="Calibri" w:hAnsi="Calibri"/>
    </w:rPr>
  </w:style>
  <w:style w:type="paragraph" w:styleId="EnvelopeAddress">
    <w:name w:val="envelope address"/>
    <w:basedOn w:val="Normal"/>
    <w:uiPriority w:val="99"/>
    <w:semiHidden/>
    <w:unhideWhenUsed/>
    <w:rsid w:val="004F714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F7149"/>
    <w:pPr>
      <w:spacing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rsid w:val="004F7149"/>
    <w:rPr>
      <w:rFonts w:asciiTheme="majorHAnsi" w:eastAsiaTheme="majorEastAsia" w:hAnsiTheme="majorHAnsi" w:cstheme="majorBidi"/>
      <w:i/>
      <w:iCs/>
      <w:color w:val="0082A6" w:themeColor="text1" w:themeTint="BF"/>
    </w:rPr>
  </w:style>
  <w:style w:type="character" w:customStyle="1" w:styleId="Heading8Char">
    <w:name w:val="Heading 8 Char"/>
    <w:basedOn w:val="DefaultParagraphFont"/>
    <w:link w:val="Heading8"/>
    <w:uiPriority w:val="9"/>
    <w:rsid w:val="004F7149"/>
    <w:rPr>
      <w:rFonts w:asciiTheme="majorHAnsi" w:eastAsiaTheme="majorEastAsia" w:hAnsiTheme="majorHAnsi" w:cstheme="majorBidi"/>
      <w:color w:val="0082A6" w:themeColor="text1" w:themeTint="BF"/>
      <w:sz w:val="20"/>
      <w:szCs w:val="20"/>
    </w:rPr>
  </w:style>
  <w:style w:type="character" w:customStyle="1" w:styleId="Heading9Char">
    <w:name w:val="Heading 9 Char"/>
    <w:basedOn w:val="DefaultParagraphFont"/>
    <w:link w:val="Heading9"/>
    <w:uiPriority w:val="9"/>
    <w:semiHidden/>
    <w:rsid w:val="004F7149"/>
    <w:rPr>
      <w:rFonts w:asciiTheme="majorHAnsi" w:eastAsiaTheme="majorEastAsia" w:hAnsiTheme="majorHAnsi" w:cstheme="majorBidi"/>
      <w:i/>
      <w:iCs/>
      <w:color w:val="0082A6" w:themeColor="text1" w:themeTint="BF"/>
      <w:sz w:val="20"/>
      <w:szCs w:val="20"/>
    </w:rPr>
  </w:style>
  <w:style w:type="paragraph" w:styleId="HTMLAddress">
    <w:name w:val="HTML Address"/>
    <w:basedOn w:val="Normal"/>
    <w:link w:val="HTMLAddressChar"/>
    <w:uiPriority w:val="99"/>
    <w:semiHidden/>
    <w:unhideWhenUsed/>
    <w:rsid w:val="004F7149"/>
    <w:pPr>
      <w:spacing w:after="0" w:line="240" w:lineRule="auto"/>
    </w:pPr>
    <w:rPr>
      <w:i/>
      <w:iCs/>
    </w:rPr>
  </w:style>
  <w:style w:type="character" w:customStyle="1" w:styleId="HTMLAddressChar">
    <w:name w:val="HTML Address Char"/>
    <w:basedOn w:val="DefaultParagraphFont"/>
    <w:link w:val="HTMLAddress"/>
    <w:uiPriority w:val="99"/>
    <w:semiHidden/>
    <w:rsid w:val="004F7149"/>
    <w:rPr>
      <w:rFonts w:ascii="Calibri" w:hAnsi="Calibri"/>
      <w:i/>
      <w:iCs/>
    </w:rPr>
  </w:style>
  <w:style w:type="paragraph" w:styleId="HTMLPreformatted">
    <w:name w:val="HTML Preformatted"/>
    <w:basedOn w:val="Normal"/>
    <w:link w:val="HTMLPreformattedChar"/>
    <w:uiPriority w:val="99"/>
    <w:semiHidden/>
    <w:unhideWhenUsed/>
    <w:rsid w:val="004F714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F7149"/>
    <w:rPr>
      <w:rFonts w:ascii="Consolas" w:hAnsi="Consolas"/>
      <w:sz w:val="20"/>
      <w:szCs w:val="20"/>
    </w:rPr>
  </w:style>
  <w:style w:type="paragraph" w:styleId="Index1">
    <w:name w:val="index 1"/>
    <w:basedOn w:val="Normal"/>
    <w:next w:val="Normal"/>
    <w:autoRedefine/>
    <w:uiPriority w:val="99"/>
    <w:semiHidden/>
    <w:unhideWhenUsed/>
    <w:rsid w:val="004F7149"/>
    <w:pPr>
      <w:spacing w:after="0" w:line="240" w:lineRule="auto"/>
      <w:ind w:left="220" w:hanging="220"/>
    </w:pPr>
  </w:style>
  <w:style w:type="paragraph" w:styleId="Index2">
    <w:name w:val="index 2"/>
    <w:basedOn w:val="Normal"/>
    <w:next w:val="Normal"/>
    <w:autoRedefine/>
    <w:uiPriority w:val="99"/>
    <w:semiHidden/>
    <w:unhideWhenUsed/>
    <w:rsid w:val="004F7149"/>
    <w:pPr>
      <w:spacing w:after="0" w:line="240" w:lineRule="auto"/>
      <w:ind w:left="440" w:hanging="220"/>
    </w:pPr>
  </w:style>
  <w:style w:type="paragraph" w:styleId="Index3">
    <w:name w:val="index 3"/>
    <w:basedOn w:val="Normal"/>
    <w:next w:val="Normal"/>
    <w:autoRedefine/>
    <w:uiPriority w:val="99"/>
    <w:semiHidden/>
    <w:unhideWhenUsed/>
    <w:rsid w:val="004F7149"/>
    <w:pPr>
      <w:spacing w:after="0" w:line="240" w:lineRule="auto"/>
      <w:ind w:left="660" w:hanging="220"/>
    </w:pPr>
  </w:style>
  <w:style w:type="paragraph" w:styleId="Index4">
    <w:name w:val="index 4"/>
    <w:basedOn w:val="Normal"/>
    <w:next w:val="Normal"/>
    <w:autoRedefine/>
    <w:uiPriority w:val="99"/>
    <w:semiHidden/>
    <w:unhideWhenUsed/>
    <w:rsid w:val="004F7149"/>
    <w:pPr>
      <w:spacing w:after="0" w:line="240" w:lineRule="auto"/>
      <w:ind w:left="880" w:hanging="220"/>
    </w:pPr>
  </w:style>
  <w:style w:type="paragraph" w:styleId="Index5">
    <w:name w:val="index 5"/>
    <w:basedOn w:val="Normal"/>
    <w:next w:val="Normal"/>
    <w:autoRedefine/>
    <w:uiPriority w:val="99"/>
    <w:semiHidden/>
    <w:unhideWhenUsed/>
    <w:rsid w:val="004F7149"/>
    <w:pPr>
      <w:spacing w:after="0" w:line="240" w:lineRule="auto"/>
      <w:ind w:left="1100" w:hanging="220"/>
    </w:pPr>
  </w:style>
  <w:style w:type="paragraph" w:styleId="Index6">
    <w:name w:val="index 6"/>
    <w:basedOn w:val="Normal"/>
    <w:next w:val="Normal"/>
    <w:autoRedefine/>
    <w:uiPriority w:val="99"/>
    <w:semiHidden/>
    <w:unhideWhenUsed/>
    <w:rsid w:val="004F7149"/>
    <w:pPr>
      <w:spacing w:after="0" w:line="240" w:lineRule="auto"/>
      <w:ind w:left="1320" w:hanging="220"/>
    </w:pPr>
  </w:style>
  <w:style w:type="paragraph" w:styleId="Index7">
    <w:name w:val="index 7"/>
    <w:basedOn w:val="Normal"/>
    <w:next w:val="Normal"/>
    <w:autoRedefine/>
    <w:uiPriority w:val="99"/>
    <w:semiHidden/>
    <w:unhideWhenUsed/>
    <w:rsid w:val="004F7149"/>
    <w:pPr>
      <w:spacing w:after="0" w:line="240" w:lineRule="auto"/>
      <w:ind w:left="1540" w:hanging="220"/>
    </w:pPr>
  </w:style>
  <w:style w:type="paragraph" w:styleId="Index8">
    <w:name w:val="index 8"/>
    <w:basedOn w:val="Normal"/>
    <w:next w:val="Normal"/>
    <w:autoRedefine/>
    <w:uiPriority w:val="99"/>
    <w:semiHidden/>
    <w:unhideWhenUsed/>
    <w:rsid w:val="004F7149"/>
    <w:pPr>
      <w:spacing w:after="0" w:line="240" w:lineRule="auto"/>
      <w:ind w:left="1760" w:hanging="220"/>
    </w:pPr>
  </w:style>
  <w:style w:type="paragraph" w:styleId="Index9">
    <w:name w:val="index 9"/>
    <w:basedOn w:val="Normal"/>
    <w:next w:val="Normal"/>
    <w:autoRedefine/>
    <w:uiPriority w:val="99"/>
    <w:semiHidden/>
    <w:unhideWhenUsed/>
    <w:rsid w:val="004F7149"/>
    <w:pPr>
      <w:spacing w:after="0" w:line="240" w:lineRule="auto"/>
      <w:ind w:left="1980" w:hanging="220"/>
    </w:pPr>
  </w:style>
  <w:style w:type="paragraph" w:styleId="IndexHeading">
    <w:name w:val="index heading"/>
    <w:basedOn w:val="Normal"/>
    <w:next w:val="Index1"/>
    <w:uiPriority w:val="99"/>
    <w:semiHidden/>
    <w:unhideWhenUsed/>
    <w:rsid w:val="004F714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7149"/>
    <w:pPr>
      <w:pBdr>
        <w:bottom w:val="single" w:sz="4" w:space="4" w:color="6C97A4" w:themeColor="accent1"/>
      </w:pBdr>
      <w:spacing w:before="200" w:after="280"/>
      <w:ind w:left="936" w:right="936"/>
    </w:pPr>
    <w:rPr>
      <w:b/>
      <w:bCs/>
      <w:i/>
      <w:iCs/>
      <w:color w:val="6C97A4" w:themeColor="accent1"/>
    </w:rPr>
  </w:style>
  <w:style w:type="character" w:customStyle="1" w:styleId="IntenseQuoteChar">
    <w:name w:val="Intense Quote Char"/>
    <w:basedOn w:val="DefaultParagraphFont"/>
    <w:link w:val="IntenseQuote"/>
    <w:uiPriority w:val="30"/>
    <w:rsid w:val="004F7149"/>
    <w:rPr>
      <w:rFonts w:ascii="Calibri" w:hAnsi="Calibri"/>
      <w:b/>
      <w:bCs/>
      <w:i/>
      <w:iCs/>
      <w:color w:val="6C97A4" w:themeColor="accent1"/>
    </w:rPr>
  </w:style>
  <w:style w:type="paragraph" w:styleId="List">
    <w:name w:val="List"/>
    <w:basedOn w:val="Normal"/>
    <w:uiPriority w:val="99"/>
    <w:semiHidden/>
    <w:unhideWhenUsed/>
    <w:rsid w:val="004F7149"/>
    <w:pPr>
      <w:ind w:left="283" w:hanging="283"/>
      <w:contextualSpacing/>
    </w:pPr>
  </w:style>
  <w:style w:type="paragraph" w:styleId="List2">
    <w:name w:val="List 2"/>
    <w:basedOn w:val="Normal"/>
    <w:uiPriority w:val="99"/>
    <w:semiHidden/>
    <w:unhideWhenUsed/>
    <w:rsid w:val="004F7149"/>
    <w:pPr>
      <w:ind w:left="566" w:hanging="283"/>
      <w:contextualSpacing/>
    </w:pPr>
  </w:style>
  <w:style w:type="paragraph" w:styleId="List3">
    <w:name w:val="List 3"/>
    <w:basedOn w:val="Normal"/>
    <w:uiPriority w:val="99"/>
    <w:semiHidden/>
    <w:unhideWhenUsed/>
    <w:rsid w:val="004F7149"/>
    <w:pPr>
      <w:ind w:left="849" w:hanging="283"/>
      <w:contextualSpacing/>
    </w:pPr>
  </w:style>
  <w:style w:type="paragraph" w:styleId="List4">
    <w:name w:val="List 4"/>
    <w:basedOn w:val="Normal"/>
    <w:uiPriority w:val="99"/>
    <w:semiHidden/>
    <w:unhideWhenUsed/>
    <w:rsid w:val="004F7149"/>
    <w:pPr>
      <w:ind w:left="1132" w:hanging="283"/>
      <w:contextualSpacing/>
    </w:pPr>
  </w:style>
  <w:style w:type="paragraph" w:styleId="List5">
    <w:name w:val="List 5"/>
    <w:basedOn w:val="Normal"/>
    <w:uiPriority w:val="99"/>
    <w:semiHidden/>
    <w:unhideWhenUsed/>
    <w:rsid w:val="004F7149"/>
    <w:pPr>
      <w:ind w:left="1415" w:hanging="283"/>
      <w:contextualSpacing/>
    </w:pPr>
  </w:style>
  <w:style w:type="paragraph" w:styleId="ListBullet">
    <w:name w:val="List Bullet"/>
    <w:basedOn w:val="Normal"/>
    <w:uiPriority w:val="99"/>
    <w:semiHidden/>
    <w:unhideWhenUsed/>
    <w:rsid w:val="004F7149"/>
    <w:pPr>
      <w:numPr>
        <w:numId w:val="10"/>
      </w:numPr>
      <w:contextualSpacing/>
    </w:pPr>
  </w:style>
  <w:style w:type="paragraph" w:styleId="ListBullet2">
    <w:name w:val="List Bullet 2"/>
    <w:basedOn w:val="Normal"/>
    <w:uiPriority w:val="99"/>
    <w:semiHidden/>
    <w:unhideWhenUsed/>
    <w:rsid w:val="004F7149"/>
    <w:pPr>
      <w:numPr>
        <w:numId w:val="11"/>
      </w:numPr>
      <w:contextualSpacing/>
    </w:pPr>
  </w:style>
  <w:style w:type="paragraph" w:styleId="ListBullet3">
    <w:name w:val="List Bullet 3"/>
    <w:basedOn w:val="Normal"/>
    <w:uiPriority w:val="99"/>
    <w:semiHidden/>
    <w:unhideWhenUsed/>
    <w:rsid w:val="004F7149"/>
    <w:pPr>
      <w:numPr>
        <w:numId w:val="12"/>
      </w:numPr>
      <w:contextualSpacing/>
    </w:pPr>
  </w:style>
  <w:style w:type="paragraph" w:styleId="ListBullet4">
    <w:name w:val="List Bullet 4"/>
    <w:basedOn w:val="Normal"/>
    <w:uiPriority w:val="99"/>
    <w:semiHidden/>
    <w:unhideWhenUsed/>
    <w:rsid w:val="004F7149"/>
    <w:pPr>
      <w:numPr>
        <w:numId w:val="13"/>
      </w:numPr>
      <w:contextualSpacing/>
    </w:pPr>
  </w:style>
  <w:style w:type="paragraph" w:styleId="ListBullet5">
    <w:name w:val="List Bullet 5"/>
    <w:basedOn w:val="Normal"/>
    <w:uiPriority w:val="99"/>
    <w:semiHidden/>
    <w:unhideWhenUsed/>
    <w:rsid w:val="004F7149"/>
    <w:pPr>
      <w:tabs>
        <w:tab w:val="num" w:pos="1492"/>
      </w:tabs>
      <w:ind w:left="1492" w:hanging="360"/>
      <w:contextualSpacing/>
    </w:pPr>
  </w:style>
  <w:style w:type="paragraph" w:styleId="ListContinue">
    <w:name w:val="List Continue"/>
    <w:basedOn w:val="Normal"/>
    <w:uiPriority w:val="99"/>
    <w:semiHidden/>
    <w:unhideWhenUsed/>
    <w:rsid w:val="004F7149"/>
    <w:pPr>
      <w:spacing w:after="120"/>
      <w:ind w:left="283"/>
      <w:contextualSpacing/>
    </w:pPr>
  </w:style>
  <w:style w:type="paragraph" w:styleId="ListContinue2">
    <w:name w:val="List Continue 2"/>
    <w:basedOn w:val="Normal"/>
    <w:uiPriority w:val="99"/>
    <w:semiHidden/>
    <w:unhideWhenUsed/>
    <w:rsid w:val="004F7149"/>
    <w:pPr>
      <w:spacing w:after="120"/>
      <w:ind w:left="566"/>
      <w:contextualSpacing/>
    </w:pPr>
  </w:style>
  <w:style w:type="paragraph" w:styleId="ListContinue3">
    <w:name w:val="List Continue 3"/>
    <w:basedOn w:val="Normal"/>
    <w:uiPriority w:val="99"/>
    <w:semiHidden/>
    <w:unhideWhenUsed/>
    <w:rsid w:val="004F7149"/>
    <w:pPr>
      <w:spacing w:after="120"/>
      <w:ind w:left="849"/>
      <w:contextualSpacing/>
    </w:pPr>
  </w:style>
  <w:style w:type="paragraph" w:styleId="ListContinue4">
    <w:name w:val="List Continue 4"/>
    <w:basedOn w:val="Normal"/>
    <w:uiPriority w:val="99"/>
    <w:semiHidden/>
    <w:unhideWhenUsed/>
    <w:rsid w:val="004F7149"/>
    <w:pPr>
      <w:spacing w:after="120"/>
      <w:ind w:left="1132"/>
      <w:contextualSpacing/>
    </w:pPr>
  </w:style>
  <w:style w:type="paragraph" w:styleId="ListContinue5">
    <w:name w:val="List Continue 5"/>
    <w:basedOn w:val="Normal"/>
    <w:uiPriority w:val="99"/>
    <w:semiHidden/>
    <w:unhideWhenUsed/>
    <w:rsid w:val="004F7149"/>
    <w:pPr>
      <w:spacing w:after="120"/>
      <w:ind w:left="1415"/>
      <w:contextualSpacing/>
    </w:pPr>
  </w:style>
  <w:style w:type="paragraph" w:styleId="ListNumber">
    <w:name w:val="List Number"/>
    <w:basedOn w:val="Normal"/>
    <w:uiPriority w:val="99"/>
    <w:semiHidden/>
    <w:unhideWhenUsed/>
    <w:rsid w:val="004F7149"/>
    <w:pPr>
      <w:numPr>
        <w:numId w:val="15"/>
      </w:numPr>
      <w:contextualSpacing/>
    </w:pPr>
  </w:style>
  <w:style w:type="paragraph" w:styleId="ListNumber2">
    <w:name w:val="List Number 2"/>
    <w:basedOn w:val="Normal"/>
    <w:uiPriority w:val="99"/>
    <w:semiHidden/>
    <w:unhideWhenUsed/>
    <w:rsid w:val="004F7149"/>
    <w:pPr>
      <w:numPr>
        <w:numId w:val="16"/>
      </w:numPr>
      <w:contextualSpacing/>
    </w:pPr>
  </w:style>
  <w:style w:type="paragraph" w:styleId="ListNumber3">
    <w:name w:val="List Number 3"/>
    <w:basedOn w:val="Normal"/>
    <w:uiPriority w:val="99"/>
    <w:semiHidden/>
    <w:unhideWhenUsed/>
    <w:rsid w:val="004F7149"/>
    <w:pPr>
      <w:numPr>
        <w:numId w:val="17"/>
      </w:numPr>
      <w:contextualSpacing/>
    </w:pPr>
  </w:style>
  <w:style w:type="paragraph" w:styleId="ListNumber4">
    <w:name w:val="List Number 4"/>
    <w:basedOn w:val="Normal"/>
    <w:uiPriority w:val="99"/>
    <w:semiHidden/>
    <w:unhideWhenUsed/>
    <w:rsid w:val="004F7149"/>
    <w:pPr>
      <w:numPr>
        <w:numId w:val="18"/>
      </w:numPr>
      <w:contextualSpacing/>
    </w:pPr>
  </w:style>
  <w:style w:type="paragraph" w:styleId="ListNumber5">
    <w:name w:val="List Number 5"/>
    <w:basedOn w:val="Normal"/>
    <w:uiPriority w:val="99"/>
    <w:semiHidden/>
    <w:unhideWhenUsed/>
    <w:rsid w:val="004F7149"/>
    <w:pPr>
      <w:numPr>
        <w:numId w:val="19"/>
      </w:numPr>
      <w:contextualSpacing/>
    </w:pPr>
  </w:style>
  <w:style w:type="paragraph" w:styleId="MacroText">
    <w:name w:val="macro"/>
    <w:link w:val="MacroTextChar"/>
    <w:uiPriority w:val="99"/>
    <w:semiHidden/>
    <w:unhideWhenUsed/>
    <w:rsid w:val="004F714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F7149"/>
    <w:rPr>
      <w:rFonts w:ascii="Consolas" w:hAnsi="Consolas"/>
      <w:sz w:val="20"/>
      <w:szCs w:val="20"/>
    </w:rPr>
  </w:style>
  <w:style w:type="paragraph" w:styleId="MessageHeader">
    <w:name w:val="Message Header"/>
    <w:basedOn w:val="Normal"/>
    <w:link w:val="MessageHeaderChar"/>
    <w:uiPriority w:val="99"/>
    <w:semiHidden/>
    <w:unhideWhenUsed/>
    <w:rsid w:val="004F714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F7149"/>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4F7149"/>
    <w:pPr>
      <w:ind w:left="720"/>
    </w:pPr>
  </w:style>
  <w:style w:type="paragraph" w:styleId="NoteHeading">
    <w:name w:val="Note Heading"/>
    <w:basedOn w:val="Normal"/>
    <w:next w:val="Normal"/>
    <w:link w:val="NoteHeadingChar"/>
    <w:uiPriority w:val="99"/>
    <w:semiHidden/>
    <w:unhideWhenUsed/>
    <w:rsid w:val="004F7149"/>
    <w:pPr>
      <w:spacing w:after="0" w:line="240" w:lineRule="auto"/>
    </w:pPr>
  </w:style>
  <w:style w:type="character" w:customStyle="1" w:styleId="NoteHeadingChar">
    <w:name w:val="Note Heading Char"/>
    <w:basedOn w:val="DefaultParagraphFont"/>
    <w:link w:val="NoteHeading"/>
    <w:uiPriority w:val="99"/>
    <w:semiHidden/>
    <w:rsid w:val="004F7149"/>
    <w:rPr>
      <w:rFonts w:ascii="Calibri" w:hAnsi="Calibri"/>
    </w:rPr>
  </w:style>
  <w:style w:type="paragraph" w:styleId="PlainText">
    <w:name w:val="Plain Text"/>
    <w:basedOn w:val="Normal"/>
    <w:link w:val="PlainTextChar"/>
    <w:uiPriority w:val="99"/>
    <w:semiHidden/>
    <w:unhideWhenUsed/>
    <w:rsid w:val="004F714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F7149"/>
    <w:rPr>
      <w:rFonts w:ascii="Consolas" w:hAnsi="Consolas"/>
      <w:sz w:val="21"/>
      <w:szCs w:val="21"/>
    </w:rPr>
  </w:style>
  <w:style w:type="paragraph" w:styleId="Quote">
    <w:name w:val="Quote"/>
    <w:basedOn w:val="Normal"/>
    <w:next w:val="Normal"/>
    <w:link w:val="QuoteChar"/>
    <w:uiPriority w:val="29"/>
    <w:qFormat/>
    <w:rsid w:val="004F7149"/>
    <w:rPr>
      <w:i/>
      <w:iCs/>
      <w:color w:val="002833" w:themeColor="text1"/>
    </w:rPr>
  </w:style>
  <w:style w:type="character" w:customStyle="1" w:styleId="QuoteChar">
    <w:name w:val="Quote Char"/>
    <w:basedOn w:val="DefaultParagraphFont"/>
    <w:link w:val="Quote"/>
    <w:uiPriority w:val="29"/>
    <w:rsid w:val="004F7149"/>
    <w:rPr>
      <w:rFonts w:ascii="Calibri" w:hAnsi="Calibri"/>
      <w:i/>
      <w:iCs/>
      <w:color w:val="002833" w:themeColor="text1"/>
    </w:rPr>
  </w:style>
  <w:style w:type="paragraph" w:styleId="Salutation">
    <w:name w:val="Salutation"/>
    <w:basedOn w:val="Normal"/>
    <w:next w:val="Normal"/>
    <w:link w:val="SalutationChar"/>
    <w:uiPriority w:val="99"/>
    <w:semiHidden/>
    <w:unhideWhenUsed/>
    <w:rsid w:val="004F7149"/>
  </w:style>
  <w:style w:type="character" w:customStyle="1" w:styleId="SalutationChar">
    <w:name w:val="Salutation Char"/>
    <w:basedOn w:val="DefaultParagraphFont"/>
    <w:link w:val="Salutation"/>
    <w:uiPriority w:val="99"/>
    <w:semiHidden/>
    <w:rsid w:val="004F7149"/>
    <w:rPr>
      <w:rFonts w:ascii="Calibri" w:hAnsi="Calibri"/>
    </w:rPr>
  </w:style>
  <w:style w:type="paragraph" w:styleId="Signature">
    <w:name w:val="Signature"/>
    <w:basedOn w:val="Normal"/>
    <w:link w:val="SignatureChar"/>
    <w:uiPriority w:val="99"/>
    <w:semiHidden/>
    <w:unhideWhenUsed/>
    <w:rsid w:val="004F7149"/>
    <w:pPr>
      <w:spacing w:after="0" w:line="240" w:lineRule="auto"/>
      <w:ind w:left="4252"/>
    </w:pPr>
  </w:style>
  <w:style w:type="character" w:customStyle="1" w:styleId="SignatureChar">
    <w:name w:val="Signature Char"/>
    <w:basedOn w:val="DefaultParagraphFont"/>
    <w:link w:val="Signature"/>
    <w:uiPriority w:val="99"/>
    <w:semiHidden/>
    <w:rsid w:val="004F7149"/>
    <w:rPr>
      <w:rFonts w:ascii="Calibri" w:hAnsi="Calibri"/>
    </w:rPr>
  </w:style>
  <w:style w:type="paragraph" w:styleId="TableofAuthorities">
    <w:name w:val="table of authorities"/>
    <w:basedOn w:val="Normal"/>
    <w:next w:val="Normal"/>
    <w:uiPriority w:val="99"/>
    <w:semiHidden/>
    <w:unhideWhenUsed/>
    <w:rsid w:val="004F7149"/>
    <w:pPr>
      <w:spacing w:after="0"/>
      <w:ind w:left="220" w:hanging="220"/>
    </w:pPr>
  </w:style>
  <w:style w:type="paragraph" w:styleId="TableofFigures">
    <w:name w:val="table of figures"/>
    <w:basedOn w:val="Normal"/>
    <w:next w:val="Normal"/>
    <w:uiPriority w:val="99"/>
    <w:semiHidden/>
    <w:unhideWhenUsed/>
    <w:rsid w:val="004F7149"/>
    <w:pPr>
      <w:spacing w:after="0"/>
    </w:pPr>
  </w:style>
  <w:style w:type="paragraph" w:styleId="TOAHeading">
    <w:name w:val="toa heading"/>
    <w:basedOn w:val="Normal"/>
    <w:next w:val="Normal"/>
    <w:uiPriority w:val="99"/>
    <w:semiHidden/>
    <w:unhideWhenUsed/>
    <w:rsid w:val="004F7149"/>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FF0F34"/>
    <w:pPr>
      <w:tabs>
        <w:tab w:val="right" w:leader="dot" w:pos="9016"/>
      </w:tabs>
      <w:spacing w:after="100"/>
      <w:ind w:left="851"/>
    </w:pPr>
    <w:rPr>
      <w:rFonts w:ascii="Arial Narrow" w:hAnsi="Arial Narrow"/>
      <w:noProof/>
    </w:rPr>
  </w:style>
  <w:style w:type="paragraph" w:styleId="TOC5">
    <w:name w:val="toc 5"/>
    <w:basedOn w:val="Normal"/>
    <w:next w:val="Normal"/>
    <w:autoRedefine/>
    <w:uiPriority w:val="39"/>
    <w:unhideWhenUsed/>
    <w:rsid w:val="004F7149"/>
    <w:pPr>
      <w:spacing w:after="100"/>
      <w:ind w:left="880"/>
    </w:pPr>
  </w:style>
  <w:style w:type="paragraph" w:styleId="TOC6">
    <w:name w:val="toc 6"/>
    <w:basedOn w:val="Normal"/>
    <w:next w:val="Normal"/>
    <w:autoRedefine/>
    <w:uiPriority w:val="39"/>
    <w:unhideWhenUsed/>
    <w:rsid w:val="004F7149"/>
    <w:pPr>
      <w:spacing w:after="100"/>
      <w:ind w:left="1100"/>
    </w:pPr>
  </w:style>
  <w:style w:type="paragraph" w:styleId="TOC7">
    <w:name w:val="toc 7"/>
    <w:basedOn w:val="Normal"/>
    <w:next w:val="Normal"/>
    <w:autoRedefine/>
    <w:uiPriority w:val="39"/>
    <w:unhideWhenUsed/>
    <w:rsid w:val="004F7149"/>
    <w:pPr>
      <w:spacing w:after="100"/>
      <w:ind w:left="1320"/>
    </w:pPr>
  </w:style>
  <w:style w:type="paragraph" w:styleId="TOC8">
    <w:name w:val="toc 8"/>
    <w:basedOn w:val="Normal"/>
    <w:next w:val="Normal"/>
    <w:autoRedefine/>
    <w:uiPriority w:val="39"/>
    <w:unhideWhenUsed/>
    <w:rsid w:val="004F7149"/>
    <w:pPr>
      <w:spacing w:after="100"/>
      <w:ind w:left="1540"/>
    </w:pPr>
  </w:style>
  <w:style w:type="paragraph" w:styleId="TOC9">
    <w:name w:val="toc 9"/>
    <w:basedOn w:val="Normal"/>
    <w:next w:val="Normal"/>
    <w:autoRedefine/>
    <w:uiPriority w:val="39"/>
    <w:semiHidden/>
    <w:unhideWhenUsed/>
    <w:rsid w:val="004F7149"/>
    <w:pPr>
      <w:spacing w:after="100"/>
      <w:ind w:left="1760"/>
    </w:pPr>
  </w:style>
  <w:style w:type="paragraph" w:customStyle="1" w:styleId="BoxHeading-Recommendation">
    <w:name w:val="Box Heading - Recommendation"/>
    <w:basedOn w:val="Heading3"/>
    <w:qFormat/>
    <w:rsid w:val="00C3259F"/>
    <w:pPr>
      <w:spacing w:before="0" w:after="0"/>
    </w:pPr>
  </w:style>
  <w:style w:type="paragraph" w:customStyle="1" w:styleId="SubTitle0">
    <w:name w:val="Sub Title"/>
    <w:basedOn w:val="Heading3"/>
    <w:rsid w:val="00B105C2"/>
    <w:pPr>
      <w:spacing w:before="600"/>
      <w:outlineLvl w:val="1"/>
    </w:pPr>
  </w:style>
  <w:style w:type="paragraph" w:customStyle="1" w:styleId="FigureGraphic">
    <w:name w:val="Figure Graphic"/>
    <w:basedOn w:val="TableGraphic"/>
    <w:rsid w:val="008F2DDF"/>
    <w:pPr>
      <w:jc w:val="center"/>
    </w:pPr>
    <w:rPr>
      <w:noProof/>
    </w:rPr>
  </w:style>
  <w:style w:type="paragraph" w:customStyle="1" w:styleId="Style1">
    <w:name w:val="Style1"/>
    <w:basedOn w:val="BoxBullet"/>
    <w:link w:val="Style1Char"/>
    <w:qFormat/>
    <w:rsid w:val="00D87570"/>
    <w:pPr>
      <w:numPr>
        <w:numId w:val="0"/>
      </w:numPr>
    </w:pPr>
  </w:style>
  <w:style w:type="numbering" w:customStyle="1" w:styleId="BulletedList">
    <w:name w:val="Bulleted List"/>
    <w:uiPriority w:val="99"/>
    <w:rsid w:val="00CE7E17"/>
    <w:pPr>
      <w:numPr>
        <w:numId w:val="22"/>
      </w:numPr>
    </w:pPr>
  </w:style>
  <w:style w:type="character" w:customStyle="1" w:styleId="BoxHeading-KeyIssuesChar">
    <w:name w:val="Box Heading - Key Issues Char"/>
    <w:basedOn w:val="DefaultParagraphFont"/>
    <w:link w:val="BoxHeading-KeyIssues"/>
    <w:rsid w:val="000262D8"/>
    <w:rPr>
      <w:rFonts w:ascii="Arial Narrow" w:hAnsi="Arial Narrow"/>
      <w:b/>
      <w:caps/>
      <w:color w:val="404040"/>
      <w:sz w:val="36"/>
    </w:rPr>
  </w:style>
  <w:style w:type="character" w:customStyle="1" w:styleId="BoxBulletChar">
    <w:name w:val="Box Bullet Char"/>
    <w:basedOn w:val="BoxHeading-KeyIssuesChar"/>
    <w:link w:val="BoxBullet"/>
    <w:rsid w:val="00377076"/>
    <w:rPr>
      <w:rFonts w:ascii="Arial Narrow" w:hAnsi="Arial Narrow"/>
      <w:b w:val="0"/>
      <w:caps w:val="0"/>
      <w:color w:val="404040"/>
      <w:sz w:val="36"/>
    </w:rPr>
  </w:style>
  <w:style w:type="character" w:customStyle="1" w:styleId="Style1Char">
    <w:name w:val="Style1 Char"/>
    <w:basedOn w:val="BoxBulletChar"/>
    <w:link w:val="Style1"/>
    <w:rsid w:val="00D87570"/>
    <w:rPr>
      <w:rFonts w:ascii="Arial Narrow" w:hAnsi="Arial Narrow"/>
      <w:b w:val="0"/>
      <w:caps w:val="0"/>
      <w:color w:val="404040"/>
      <w:sz w:val="36"/>
    </w:rPr>
  </w:style>
  <w:style w:type="table" w:customStyle="1" w:styleId="TableGrid1">
    <w:name w:val="Table Grid1"/>
    <w:basedOn w:val="TableNormal"/>
    <w:next w:val="TableGrid"/>
    <w:uiPriority w:val="59"/>
    <w:rsid w:val="00EC0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ase">
    <w:name w:val="Heading Base"/>
    <w:next w:val="Normal"/>
    <w:rsid w:val="0026163E"/>
    <w:pPr>
      <w:keepNext/>
      <w:spacing w:after="0" w:line="240" w:lineRule="auto"/>
    </w:pPr>
    <w:rPr>
      <w:rFonts w:asciiTheme="majorHAnsi" w:eastAsia="Times New Roman" w:hAnsiTheme="majorHAnsi" w:cs="Times New Roman"/>
      <w:color w:val="6C97A4" w:themeColor="accent1"/>
      <w:sz w:val="20"/>
      <w:szCs w:val="20"/>
      <w:lang w:eastAsia="en-AU"/>
    </w:rPr>
  </w:style>
  <w:style w:type="paragraph" w:customStyle="1" w:styleId="OneLevelNumberedParagraph">
    <w:name w:val="One Level Numbered Paragraph"/>
    <w:basedOn w:val="Normal"/>
    <w:rsid w:val="0026163E"/>
    <w:pPr>
      <w:numPr>
        <w:numId w:val="23"/>
      </w:numPr>
      <w:tabs>
        <w:tab w:val="clear" w:pos="520"/>
        <w:tab w:val="num" w:pos="284"/>
      </w:tabs>
      <w:spacing w:line="260" w:lineRule="exact"/>
      <w:ind w:left="284" w:hanging="284"/>
    </w:pPr>
    <w:rPr>
      <w:rFonts w:asciiTheme="minorHAnsi" w:eastAsia="Times New Roman" w:hAnsiTheme="minorHAnsi" w:cs="Times New Roman"/>
      <w:szCs w:val="20"/>
      <w:lang w:eastAsia="en-AU"/>
    </w:rPr>
  </w:style>
  <w:style w:type="numbering" w:customStyle="1" w:styleId="OneLevelList">
    <w:name w:val="OneLevelList"/>
    <w:uiPriority w:val="99"/>
    <w:rsid w:val="0026163E"/>
    <w:pPr>
      <w:numPr>
        <w:numId w:val="24"/>
      </w:numPr>
    </w:pPr>
  </w:style>
  <w:style w:type="paragraph" w:customStyle="1" w:styleId="Style2">
    <w:name w:val="Style2"/>
    <w:basedOn w:val="Dash"/>
    <w:link w:val="Style2Char"/>
    <w:qFormat/>
    <w:rsid w:val="0026163E"/>
    <w:pPr>
      <w:numPr>
        <w:numId w:val="14"/>
      </w:numPr>
      <w:tabs>
        <w:tab w:val="num" w:pos="1040"/>
      </w:tabs>
      <w:spacing w:after="200" w:line="276" w:lineRule="auto"/>
      <w:ind w:left="1040" w:hanging="520"/>
    </w:pPr>
    <w:rPr>
      <w:rFonts w:ascii="Times New Roman" w:eastAsia="Times New Roman" w:hAnsi="Times New Roman" w:cs="Times New Roman"/>
      <w:sz w:val="24"/>
      <w:szCs w:val="24"/>
      <w:lang w:eastAsia="en-AU"/>
    </w:rPr>
  </w:style>
  <w:style w:type="character" w:customStyle="1" w:styleId="Style2Char">
    <w:name w:val="Style2 Char"/>
    <w:basedOn w:val="DashChar"/>
    <w:link w:val="Style2"/>
    <w:rsid w:val="0026163E"/>
    <w:rPr>
      <w:rFonts w:ascii="Times New Roman" w:eastAsia="Times New Roman" w:hAnsi="Times New Roman" w:cs="Times New Roman"/>
      <w:sz w:val="24"/>
      <w:szCs w:val="24"/>
      <w:lang w:eastAsia="en-AU"/>
    </w:rPr>
  </w:style>
  <w:style w:type="paragraph" w:customStyle="1" w:styleId="Style3">
    <w:name w:val="Style3"/>
    <w:basedOn w:val="DoubleDot"/>
    <w:link w:val="Style3Char"/>
    <w:qFormat/>
    <w:rsid w:val="0063312F"/>
    <w:pPr>
      <w:numPr>
        <w:ilvl w:val="0"/>
        <w:numId w:val="0"/>
      </w:numPr>
      <w:tabs>
        <w:tab w:val="num" w:pos="1492"/>
      </w:tabs>
      <w:spacing w:line="260" w:lineRule="exact"/>
      <w:ind w:left="1492" w:hanging="360"/>
    </w:pPr>
    <w:rPr>
      <w:rFonts w:eastAsia="Times New Roman" w:cs="Times New Roman"/>
      <w:i/>
      <w:sz w:val="24"/>
      <w:szCs w:val="24"/>
      <w:lang w:eastAsia="en-AU"/>
    </w:rPr>
  </w:style>
  <w:style w:type="character" w:customStyle="1" w:styleId="Style3Char">
    <w:name w:val="Style3 Char"/>
    <w:basedOn w:val="DoubleDotChar"/>
    <w:link w:val="Style3"/>
    <w:rsid w:val="003A09C2"/>
    <w:rPr>
      <w:rFonts w:ascii="Calibri" w:eastAsia="Times New Roman" w:hAnsi="Calibri" w:cs="Times New Roman"/>
      <w:i/>
      <w:sz w:val="24"/>
      <w:szCs w:val="24"/>
      <w:lang w:eastAsia="en-AU"/>
    </w:rPr>
  </w:style>
  <w:style w:type="paragraph" w:customStyle="1" w:styleId="Style4">
    <w:name w:val="Style4"/>
    <w:basedOn w:val="Heading7"/>
    <w:link w:val="Style4Char"/>
    <w:qFormat/>
    <w:rsid w:val="008063AD"/>
    <w:pPr>
      <w:keepNext w:val="0"/>
      <w:keepLines w:val="0"/>
      <w:spacing w:after="240"/>
      <w:ind w:left="425" w:right="425"/>
      <w:outlineLvl w:val="9"/>
    </w:pPr>
    <w:rPr>
      <w:rFonts w:ascii="Arial" w:hAnsi="Arial"/>
      <w:i w:val="0"/>
      <w:sz w:val="21"/>
    </w:rPr>
  </w:style>
  <w:style w:type="character" w:customStyle="1" w:styleId="Style4Char">
    <w:name w:val="Style4 Char"/>
    <w:basedOn w:val="Heading7Char"/>
    <w:link w:val="Style4"/>
    <w:rsid w:val="008063AD"/>
    <w:rPr>
      <w:rFonts w:ascii="Arial" w:eastAsiaTheme="majorEastAsia" w:hAnsi="Arial" w:cstheme="majorBidi"/>
      <w:i w:val="0"/>
      <w:iCs/>
      <w:color w:val="0082A6" w:themeColor="text1" w:themeTint="BF"/>
      <w:sz w:val="21"/>
    </w:rPr>
  </w:style>
  <w:style w:type="character" w:styleId="IntenseEmphasis">
    <w:name w:val="Intense Emphasis"/>
    <w:basedOn w:val="DefaultParagraphFont"/>
    <w:uiPriority w:val="21"/>
    <w:qFormat/>
    <w:rsid w:val="00522C44"/>
    <w:rPr>
      <w:b/>
      <w:bCs/>
      <w:i/>
      <w:iCs/>
      <w:color w:val="6C97A4" w:themeColor="accent1"/>
    </w:rPr>
  </w:style>
  <w:style w:type="paragraph" w:customStyle="1" w:styleId="Style5">
    <w:name w:val="Style5"/>
    <w:basedOn w:val="Bullet"/>
    <w:link w:val="Style5Char"/>
    <w:qFormat/>
    <w:rsid w:val="005374BC"/>
    <w:pPr>
      <w:spacing w:before="120"/>
    </w:pPr>
    <w:rPr>
      <w:rFonts w:ascii="Arial Narrow" w:hAnsi="Arial Narrow"/>
      <w:color w:val="404040"/>
    </w:rPr>
  </w:style>
  <w:style w:type="character" w:customStyle="1" w:styleId="Style5Char">
    <w:name w:val="Style5 Char"/>
    <w:basedOn w:val="BulletChar"/>
    <w:link w:val="Style5"/>
    <w:rsid w:val="005374BC"/>
    <w:rPr>
      <w:rFonts w:ascii="Arial Narrow" w:hAnsi="Arial Narrow"/>
      <w:color w:val="404040"/>
    </w:rPr>
  </w:style>
  <w:style w:type="paragraph" w:customStyle="1" w:styleId="Style6">
    <w:name w:val="Style6"/>
    <w:basedOn w:val="Bullet"/>
    <w:link w:val="Style6Char"/>
    <w:qFormat/>
    <w:rsid w:val="008107DB"/>
    <w:pPr>
      <w:numPr>
        <w:numId w:val="0"/>
      </w:numPr>
      <w:spacing w:before="120"/>
    </w:pPr>
    <w:rPr>
      <w:rFonts w:ascii="Arial Narrow" w:hAnsi="Arial Narrow"/>
      <w:color w:val="404040"/>
    </w:rPr>
  </w:style>
  <w:style w:type="character" w:customStyle="1" w:styleId="Style6Char">
    <w:name w:val="Style6 Char"/>
    <w:basedOn w:val="BulletChar"/>
    <w:link w:val="Style6"/>
    <w:rsid w:val="008107DB"/>
    <w:rPr>
      <w:rFonts w:ascii="Arial Narrow" w:hAnsi="Arial Narrow"/>
      <w:color w:val="404040"/>
    </w:rPr>
  </w:style>
  <w:style w:type="paragraph" w:customStyle="1" w:styleId="Style7">
    <w:name w:val="Style7"/>
    <w:basedOn w:val="Bullet"/>
    <w:link w:val="Style7Char"/>
    <w:qFormat/>
    <w:rsid w:val="00FF34CB"/>
    <w:rPr>
      <w:rFonts w:asciiTheme="majorHAnsi" w:hAnsiTheme="majorHAnsi"/>
      <w:color w:val="0082A6" w:themeColor="text1" w:themeTint="BF"/>
    </w:rPr>
  </w:style>
  <w:style w:type="character" w:customStyle="1" w:styleId="Style7Char">
    <w:name w:val="Style7 Char"/>
    <w:basedOn w:val="BulletChar"/>
    <w:link w:val="Style7"/>
    <w:rsid w:val="00FF34CB"/>
    <w:rPr>
      <w:rFonts w:asciiTheme="majorHAnsi" w:hAnsiTheme="majorHAnsi"/>
      <w:color w:val="0082A6" w:themeColor="text1" w:themeTint="BF"/>
    </w:rPr>
  </w:style>
  <w:style w:type="character" w:styleId="PageNumber">
    <w:name w:val="page number"/>
    <w:rsid w:val="00A96BEF"/>
    <w:rPr>
      <w:lang w:val="de-DE"/>
    </w:rPr>
  </w:style>
  <w:style w:type="paragraph" w:customStyle="1" w:styleId="Style8">
    <w:name w:val="Style8"/>
    <w:basedOn w:val="Bullet"/>
    <w:link w:val="Style8Char"/>
    <w:qFormat/>
    <w:rsid w:val="006F5136"/>
    <w:pPr>
      <w:numPr>
        <w:numId w:val="0"/>
      </w:numPr>
      <w:spacing w:before="120"/>
    </w:pPr>
    <w:rPr>
      <w:rFonts w:ascii="Arial Narrow" w:hAnsi="Arial Narrow"/>
      <w:color w:val="404040"/>
    </w:rPr>
  </w:style>
  <w:style w:type="character" w:customStyle="1" w:styleId="Style8Char">
    <w:name w:val="Style8 Char"/>
    <w:basedOn w:val="BulletChar"/>
    <w:link w:val="Style8"/>
    <w:rsid w:val="006F5136"/>
    <w:rPr>
      <w:rFonts w:ascii="Arial Narrow" w:hAnsi="Arial Narrow"/>
      <w:color w:val="404040"/>
    </w:rPr>
  </w:style>
  <w:style w:type="paragraph" w:customStyle="1" w:styleId="Style9">
    <w:name w:val="Style9"/>
    <w:basedOn w:val="Style4"/>
    <w:link w:val="Style9Char"/>
    <w:qFormat/>
    <w:rsid w:val="004D0EF5"/>
    <w:pPr>
      <w:numPr>
        <w:numId w:val="25"/>
      </w:numPr>
    </w:pPr>
    <w:rPr>
      <w:rFonts w:ascii="Arial Narrow" w:hAnsi="Arial Narrow"/>
    </w:rPr>
  </w:style>
  <w:style w:type="character" w:customStyle="1" w:styleId="Style9Char">
    <w:name w:val="Style9 Char"/>
    <w:basedOn w:val="Style4Char"/>
    <w:link w:val="Style9"/>
    <w:rsid w:val="004D0EF5"/>
    <w:rPr>
      <w:rFonts w:ascii="Arial Narrow" w:eastAsiaTheme="majorEastAsia" w:hAnsi="Arial Narrow" w:cstheme="majorBidi"/>
      <w:i w:val="0"/>
      <w:iCs/>
      <w:color w:val="0082A6" w:themeColor="text1" w:themeTint="BF"/>
      <w:sz w:val="21"/>
    </w:rPr>
  </w:style>
  <w:style w:type="paragraph" w:customStyle="1" w:styleId="Normal-SummaryIntro">
    <w:name w:val="Normal - Summary Intro"/>
    <w:basedOn w:val="Normal"/>
    <w:rsid w:val="002B1FE9"/>
    <w:pPr>
      <w:spacing w:line="316" w:lineRule="exact"/>
    </w:pPr>
    <w:rPr>
      <w:rFonts w:ascii="Arial Narrow" w:hAnsi="Arial Narrow"/>
      <w:spacing w:val="-2"/>
      <w:sz w:val="27"/>
      <w:szCs w:val="27"/>
    </w:rPr>
  </w:style>
  <w:style w:type="paragraph" w:customStyle="1" w:styleId="Normal-ColumnText">
    <w:name w:val="Normal - Column Text"/>
    <w:basedOn w:val="Normal"/>
    <w:rsid w:val="00512768"/>
    <w:pPr>
      <w:spacing w:after="200" w:line="260" w:lineRule="exact"/>
    </w:pPr>
    <w:rPr>
      <w:rFonts w:ascii="Arial Narrow" w:hAnsi="Arial Narrow"/>
      <w:spacing w:val="-2"/>
    </w:rPr>
  </w:style>
  <w:style w:type="paragraph" w:customStyle="1" w:styleId="Normal-SummaryFeatureTitle">
    <w:name w:val="Normal - Summary Feature Title"/>
    <w:basedOn w:val="Normal"/>
    <w:rsid w:val="0094620C"/>
    <w:pPr>
      <w:spacing w:after="440" w:line="240" w:lineRule="auto"/>
      <w:jc w:val="left"/>
    </w:pPr>
    <w:rPr>
      <w:b/>
      <w:color w:val="FFFFFF"/>
      <w:sz w:val="44"/>
      <w:szCs w:val="20"/>
    </w:rPr>
  </w:style>
  <w:style w:type="paragraph" w:customStyle="1" w:styleId="Normal-SummaryFeatureTitleSub">
    <w:name w:val="Normal - Summary Feature Title Sub"/>
    <w:basedOn w:val="Normal-SummaryFeatureTitle"/>
    <w:rsid w:val="008E2D7B"/>
    <w:pPr>
      <w:spacing w:after="360"/>
    </w:pPr>
    <w:rPr>
      <w:caps/>
      <w:sz w:val="36"/>
    </w:rPr>
  </w:style>
  <w:style w:type="paragraph" w:customStyle="1" w:styleId="Normal-SummaryFeatureNormalText">
    <w:name w:val="Normal - Summary Feature Normal Text"/>
    <w:basedOn w:val="Normal-SummaryFeatureTitleSub"/>
    <w:rsid w:val="008E2D7B"/>
    <w:pPr>
      <w:spacing w:after="240"/>
    </w:pPr>
    <w:rPr>
      <w:b w:val="0"/>
      <w:caps w:val="0"/>
      <w:sz w:val="26"/>
    </w:rPr>
  </w:style>
  <w:style w:type="paragraph" w:customStyle="1" w:styleId="Normal-SummaryFeatureNormal-Bullet">
    <w:name w:val="Normal - Summary Feature Normal - Bullet"/>
    <w:basedOn w:val="Normal-SummaryFeatureNormalText"/>
    <w:rsid w:val="00B92083"/>
    <w:pPr>
      <w:numPr>
        <w:numId w:val="28"/>
      </w:numPr>
      <w:tabs>
        <w:tab w:val="left" w:pos="425"/>
      </w:tabs>
      <w:spacing w:line="280" w:lineRule="exact"/>
      <w:ind w:left="425" w:hanging="425"/>
    </w:pPr>
  </w:style>
  <w:style w:type="paragraph" w:customStyle="1" w:styleId="BoxText-White">
    <w:name w:val="Box Text - White"/>
    <w:basedOn w:val="BoxText"/>
    <w:rsid w:val="00A32E24"/>
    <w:pPr>
      <w:ind w:left="57" w:right="113"/>
    </w:pPr>
    <w:rPr>
      <w:color w:val="FFFFFF"/>
      <w:sz w:val="23"/>
    </w:rPr>
  </w:style>
  <w:style w:type="paragraph" w:customStyle="1" w:styleId="BoxBullet-White">
    <w:name w:val="Box Bullet - White"/>
    <w:basedOn w:val="BoxBullet"/>
    <w:rsid w:val="00A32E24"/>
    <w:pPr>
      <w:tabs>
        <w:tab w:val="left" w:pos="482"/>
      </w:tabs>
      <w:ind w:left="482" w:right="113" w:hanging="425"/>
    </w:pPr>
    <w:rPr>
      <w:color w:val="FFFFFF"/>
      <w:sz w:val="23"/>
    </w:rPr>
  </w:style>
  <w:style w:type="paragraph" w:customStyle="1" w:styleId="PullGraphic">
    <w:name w:val="Pull Graphic"/>
    <w:basedOn w:val="Normal"/>
    <w:rsid w:val="004B57F7"/>
    <w:rPr>
      <w:rFonts w:asciiTheme="minorHAnsi" w:hAnsiTheme="minorHAnsi"/>
      <w:noProof/>
      <w:lang w:eastAsia="en-AU"/>
    </w:rPr>
  </w:style>
  <w:style w:type="paragraph" w:customStyle="1" w:styleId="FigureMainHeading-Sub">
    <w:name w:val="Figure Main Heading - Sub"/>
    <w:basedOn w:val="FigureMainHeading"/>
    <w:rsid w:val="00C64A53"/>
    <w:rPr>
      <w:caps w:val="0"/>
      <w:small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2D8"/>
    <w:pPr>
      <w:spacing w:after="240" w:line="280" w:lineRule="exact"/>
      <w:jc w:val="both"/>
    </w:pPr>
    <w:rPr>
      <w:rFonts w:ascii="Calibri" w:hAnsi="Calibri"/>
    </w:rPr>
  </w:style>
  <w:style w:type="paragraph" w:styleId="Heading1">
    <w:name w:val="heading 1"/>
    <w:basedOn w:val="Normal"/>
    <w:next w:val="Normal"/>
    <w:link w:val="Heading1Char"/>
    <w:uiPriority w:val="9"/>
    <w:qFormat/>
    <w:rsid w:val="0096746E"/>
    <w:pPr>
      <w:keepNext/>
      <w:keepLines/>
      <w:pBdr>
        <w:bottom w:val="single" w:sz="48" w:space="10" w:color="4FA4DA"/>
      </w:pBdr>
      <w:tabs>
        <w:tab w:val="left" w:pos="2552"/>
      </w:tabs>
      <w:spacing w:after="480" w:line="240" w:lineRule="auto"/>
      <w:ind w:left="2552" w:hanging="2552"/>
      <w:outlineLvl w:val="0"/>
    </w:pPr>
    <w:rPr>
      <w:rFonts w:ascii="Arial Narrow" w:eastAsiaTheme="majorEastAsia" w:hAnsi="Arial Narrow" w:cstheme="majorBidi"/>
      <w:b/>
      <w:bCs/>
      <w:caps/>
      <w:spacing w:val="-20"/>
      <w:sz w:val="50"/>
      <w:szCs w:val="50"/>
    </w:rPr>
  </w:style>
  <w:style w:type="paragraph" w:styleId="Heading2">
    <w:name w:val="heading 2"/>
    <w:basedOn w:val="Normal"/>
    <w:next w:val="Normal"/>
    <w:link w:val="Heading2Char"/>
    <w:uiPriority w:val="9"/>
    <w:unhideWhenUsed/>
    <w:qFormat/>
    <w:rsid w:val="000262D8"/>
    <w:pPr>
      <w:keepNext/>
      <w:keepLines/>
      <w:spacing w:before="360" w:line="240" w:lineRule="auto"/>
      <w:outlineLvl w:val="1"/>
    </w:pPr>
    <w:rPr>
      <w:rFonts w:ascii="Arial Narrow" w:eastAsiaTheme="majorEastAsia" w:hAnsi="Arial Narrow" w:cstheme="majorBidi"/>
      <w:b/>
      <w:bCs/>
      <w:caps/>
      <w:color w:val="4FA4DA"/>
      <w:spacing w:val="-8"/>
      <w:sz w:val="38"/>
      <w:szCs w:val="26"/>
    </w:rPr>
  </w:style>
  <w:style w:type="paragraph" w:styleId="Heading3">
    <w:name w:val="heading 3"/>
    <w:basedOn w:val="Normal"/>
    <w:next w:val="Normal"/>
    <w:link w:val="Heading3Char"/>
    <w:uiPriority w:val="9"/>
    <w:unhideWhenUsed/>
    <w:qFormat/>
    <w:rsid w:val="008F2DDF"/>
    <w:pPr>
      <w:keepNext/>
      <w:keepLines/>
      <w:spacing w:before="360" w:line="240" w:lineRule="auto"/>
      <w:outlineLvl w:val="2"/>
    </w:pPr>
    <w:rPr>
      <w:rFonts w:ascii="Arial Narrow" w:eastAsiaTheme="majorEastAsia" w:hAnsi="Arial Narrow" w:cstheme="majorBidi"/>
      <w:b/>
      <w:bCs/>
      <w:caps/>
      <w:color w:val="4D4D4D"/>
      <w:sz w:val="32"/>
    </w:rPr>
  </w:style>
  <w:style w:type="paragraph" w:styleId="Heading4">
    <w:name w:val="heading 4"/>
    <w:basedOn w:val="Heading5"/>
    <w:next w:val="Normal"/>
    <w:link w:val="Heading4Char"/>
    <w:uiPriority w:val="9"/>
    <w:unhideWhenUsed/>
    <w:qFormat/>
    <w:rsid w:val="008F2DDF"/>
    <w:pPr>
      <w:spacing w:before="240"/>
      <w:outlineLvl w:val="3"/>
    </w:pPr>
    <w:rPr>
      <w:b w:val="0"/>
      <w:caps/>
      <w:color w:val="404040"/>
      <w:sz w:val="28"/>
    </w:rPr>
  </w:style>
  <w:style w:type="paragraph" w:styleId="Heading5">
    <w:name w:val="heading 5"/>
    <w:basedOn w:val="Normal"/>
    <w:next w:val="Normal"/>
    <w:link w:val="Heading5Char"/>
    <w:uiPriority w:val="9"/>
    <w:unhideWhenUsed/>
    <w:qFormat/>
    <w:rsid w:val="008F2DDF"/>
    <w:pPr>
      <w:keepNext/>
      <w:keepLines/>
      <w:spacing w:before="200" w:after="180" w:line="240" w:lineRule="auto"/>
      <w:outlineLvl w:val="4"/>
    </w:pPr>
    <w:rPr>
      <w:rFonts w:ascii="Arial Narrow" w:eastAsiaTheme="majorEastAsia" w:hAnsi="Arial Narrow" w:cstheme="majorBidi"/>
      <w:b/>
      <w:color w:val="3B3B3B"/>
      <w:sz w:val="24"/>
    </w:rPr>
  </w:style>
  <w:style w:type="paragraph" w:styleId="Heading6">
    <w:name w:val="heading 6"/>
    <w:basedOn w:val="Normal"/>
    <w:next w:val="Normal"/>
    <w:link w:val="Heading6Char"/>
    <w:uiPriority w:val="9"/>
    <w:unhideWhenUsed/>
    <w:qFormat/>
    <w:rsid w:val="008F2DDF"/>
    <w:pPr>
      <w:keepNext/>
      <w:keepLines/>
      <w:spacing w:before="200" w:after="180"/>
      <w:outlineLvl w:val="5"/>
    </w:pPr>
    <w:rPr>
      <w:rFonts w:ascii="Arial Narrow" w:eastAsiaTheme="majorEastAsia" w:hAnsi="Arial Narrow" w:cstheme="majorBidi"/>
      <w:i/>
      <w:iCs/>
      <w:color w:val="3B3B3B"/>
    </w:rPr>
  </w:style>
  <w:style w:type="paragraph" w:styleId="Heading7">
    <w:name w:val="heading 7"/>
    <w:basedOn w:val="Normal"/>
    <w:next w:val="Normal"/>
    <w:link w:val="Heading7Char"/>
    <w:uiPriority w:val="9"/>
    <w:unhideWhenUsed/>
    <w:qFormat/>
    <w:rsid w:val="004F7149"/>
    <w:pPr>
      <w:keepNext/>
      <w:keepLines/>
      <w:spacing w:before="200" w:after="0"/>
      <w:outlineLvl w:val="6"/>
    </w:pPr>
    <w:rPr>
      <w:rFonts w:asciiTheme="majorHAnsi" w:eastAsiaTheme="majorEastAsia" w:hAnsiTheme="majorHAnsi" w:cstheme="majorBidi"/>
      <w:i/>
      <w:iCs/>
      <w:color w:val="0082A6" w:themeColor="text1" w:themeTint="BF"/>
    </w:rPr>
  </w:style>
  <w:style w:type="paragraph" w:styleId="Heading8">
    <w:name w:val="heading 8"/>
    <w:basedOn w:val="Normal"/>
    <w:next w:val="Normal"/>
    <w:link w:val="Heading8Char"/>
    <w:uiPriority w:val="9"/>
    <w:unhideWhenUsed/>
    <w:qFormat/>
    <w:rsid w:val="004F7149"/>
    <w:pPr>
      <w:keepNext/>
      <w:keepLines/>
      <w:spacing w:before="200" w:after="0"/>
      <w:outlineLvl w:val="7"/>
    </w:pPr>
    <w:rPr>
      <w:rFonts w:asciiTheme="majorHAnsi" w:eastAsiaTheme="majorEastAsia" w:hAnsiTheme="majorHAnsi" w:cstheme="majorBidi"/>
      <w:color w:val="0082A6" w:themeColor="text1" w:themeTint="BF"/>
      <w:sz w:val="20"/>
      <w:szCs w:val="20"/>
    </w:rPr>
  </w:style>
  <w:style w:type="paragraph" w:styleId="Heading9">
    <w:name w:val="heading 9"/>
    <w:basedOn w:val="Normal"/>
    <w:next w:val="Normal"/>
    <w:link w:val="Heading9Char"/>
    <w:uiPriority w:val="9"/>
    <w:semiHidden/>
    <w:unhideWhenUsed/>
    <w:qFormat/>
    <w:rsid w:val="004F7149"/>
    <w:pPr>
      <w:keepNext/>
      <w:keepLines/>
      <w:spacing w:before="200" w:after="0"/>
      <w:outlineLvl w:val="8"/>
    </w:pPr>
    <w:rPr>
      <w:rFonts w:asciiTheme="majorHAnsi" w:eastAsiaTheme="majorEastAsia" w:hAnsiTheme="majorHAnsi" w:cstheme="majorBidi"/>
      <w:i/>
      <w:iCs/>
      <w:color w:val="0082A6"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aliases w:val="b,b1,b + line,Body,level 1,Bullet + line"/>
    <w:basedOn w:val="Normal"/>
    <w:link w:val="BulletChar"/>
    <w:qFormat/>
    <w:rsid w:val="00AF6A5F"/>
    <w:pPr>
      <w:numPr>
        <w:numId w:val="1"/>
      </w:numPr>
      <w:tabs>
        <w:tab w:val="clear" w:pos="520"/>
        <w:tab w:val="left" w:pos="425"/>
      </w:tabs>
      <w:ind w:left="425" w:hanging="425"/>
    </w:pPr>
  </w:style>
  <w:style w:type="character" w:customStyle="1" w:styleId="BulletChar">
    <w:name w:val="Bullet Char"/>
    <w:aliases w:val="b Char,b1 Char,b + line Char,Body Char,level 1 Char,Bullet + line Char,b + line Char Char,b Char Char"/>
    <w:basedOn w:val="DefaultParagraphFont"/>
    <w:link w:val="Bullet"/>
    <w:rsid w:val="00AF6A5F"/>
    <w:rPr>
      <w:rFonts w:ascii="Calibri" w:hAnsi="Calibri"/>
    </w:rPr>
  </w:style>
  <w:style w:type="paragraph" w:customStyle="1" w:styleId="Dash">
    <w:name w:val="Dash"/>
    <w:basedOn w:val="Normal"/>
    <w:link w:val="DashChar"/>
    <w:qFormat/>
    <w:rsid w:val="00D64506"/>
    <w:pPr>
      <w:numPr>
        <w:ilvl w:val="1"/>
        <w:numId w:val="1"/>
      </w:numPr>
    </w:pPr>
  </w:style>
  <w:style w:type="character" w:customStyle="1" w:styleId="DashChar">
    <w:name w:val="Dash Char"/>
    <w:basedOn w:val="DefaultParagraphFont"/>
    <w:link w:val="Dash"/>
    <w:rsid w:val="00D64506"/>
    <w:rPr>
      <w:rFonts w:ascii="Calibri" w:hAnsi="Calibri"/>
    </w:rPr>
  </w:style>
  <w:style w:type="paragraph" w:customStyle="1" w:styleId="DoubleDot">
    <w:name w:val="Double Dot"/>
    <w:basedOn w:val="Normal"/>
    <w:link w:val="DoubleDotChar"/>
    <w:qFormat/>
    <w:rsid w:val="00D64506"/>
    <w:pPr>
      <w:numPr>
        <w:ilvl w:val="2"/>
        <w:numId w:val="1"/>
      </w:numPr>
    </w:pPr>
  </w:style>
  <w:style w:type="character" w:customStyle="1" w:styleId="DoubleDotChar">
    <w:name w:val="Double Dot Char"/>
    <w:basedOn w:val="DefaultParagraphFont"/>
    <w:link w:val="DoubleDot"/>
    <w:rsid w:val="00D64506"/>
    <w:rPr>
      <w:rFonts w:ascii="Calibri" w:hAnsi="Calibri"/>
    </w:rPr>
  </w:style>
  <w:style w:type="paragraph" w:styleId="BalloonText">
    <w:name w:val="Balloon Text"/>
    <w:basedOn w:val="Normal"/>
    <w:link w:val="BalloonTextChar"/>
    <w:uiPriority w:val="99"/>
    <w:semiHidden/>
    <w:unhideWhenUsed/>
    <w:rsid w:val="00BF36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630"/>
    <w:rPr>
      <w:rFonts w:ascii="Tahoma" w:hAnsi="Tahoma" w:cs="Tahoma"/>
      <w:sz w:val="16"/>
      <w:szCs w:val="16"/>
    </w:rPr>
  </w:style>
  <w:style w:type="character" w:styleId="CommentReference">
    <w:name w:val="annotation reference"/>
    <w:basedOn w:val="DefaultParagraphFont"/>
    <w:semiHidden/>
    <w:unhideWhenUsed/>
    <w:rsid w:val="000C3B7C"/>
    <w:rPr>
      <w:sz w:val="16"/>
      <w:szCs w:val="16"/>
    </w:rPr>
  </w:style>
  <w:style w:type="paragraph" w:styleId="CommentText">
    <w:name w:val="annotation text"/>
    <w:basedOn w:val="Normal"/>
    <w:link w:val="CommentTextChar"/>
    <w:unhideWhenUsed/>
    <w:rsid w:val="000C3B7C"/>
    <w:pPr>
      <w:spacing w:line="240" w:lineRule="auto"/>
    </w:pPr>
    <w:rPr>
      <w:sz w:val="20"/>
      <w:szCs w:val="20"/>
    </w:rPr>
  </w:style>
  <w:style w:type="character" w:customStyle="1" w:styleId="CommentTextChar">
    <w:name w:val="Comment Text Char"/>
    <w:basedOn w:val="DefaultParagraphFont"/>
    <w:link w:val="CommentText"/>
    <w:rsid w:val="000C3B7C"/>
    <w:rPr>
      <w:sz w:val="20"/>
      <w:szCs w:val="20"/>
    </w:rPr>
  </w:style>
  <w:style w:type="paragraph" w:styleId="CommentSubject">
    <w:name w:val="annotation subject"/>
    <w:basedOn w:val="CommentText"/>
    <w:next w:val="CommentText"/>
    <w:link w:val="CommentSubjectChar"/>
    <w:uiPriority w:val="99"/>
    <w:semiHidden/>
    <w:unhideWhenUsed/>
    <w:rsid w:val="000C3B7C"/>
    <w:rPr>
      <w:b/>
      <w:bCs/>
    </w:rPr>
  </w:style>
  <w:style w:type="character" w:customStyle="1" w:styleId="CommentSubjectChar">
    <w:name w:val="Comment Subject Char"/>
    <w:basedOn w:val="CommentTextChar"/>
    <w:link w:val="CommentSubject"/>
    <w:uiPriority w:val="99"/>
    <w:semiHidden/>
    <w:rsid w:val="000C3B7C"/>
    <w:rPr>
      <w:b/>
      <w:bCs/>
      <w:sz w:val="20"/>
      <w:szCs w:val="20"/>
    </w:rPr>
  </w:style>
  <w:style w:type="character" w:styleId="Hyperlink">
    <w:name w:val="Hyperlink"/>
    <w:basedOn w:val="DefaultParagraphFont"/>
    <w:uiPriority w:val="99"/>
    <w:unhideWhenUsed/>
    <w:rsid w:val="00077A59"/>
    <w:rPr>
      <w:b/>
      <w:color w:val="0082A6" w:themeColor="text1" w:themeTint="BF"/>
      <w:u w:val="none"/>
    </w:rPr>
  </w:style>
  <w:style w:type="paragraph" w:styleId="Header">
    <w:name w:val="header"/>
    <w:basedOn w:val="Normal"/>
    <w:link w:val="HeaderChar"/>
    <w:uiPriority w:val="99"/>
    <w:unhideWhenUsed/>
    <w:rsid w:val="002235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35E9"/>
  </w:style>
  <w:style w:type="paragraph" w:styleId="Footer">
    <w:name w:val="footer"/>
    <w:basedOn w:val="Normal"/>
    <w:link w:val="FooterChar"/>
    <w:uiPriority w:val="99"/>
    <w:unhideWhenUsed/>
    <w:rsid w:val="002235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35E9"/>
  </w:style>
  <w:style w:type="paragraph" w:styleId="Title">
    <w:name w:val="Title"/>
    <w:basedOn w:val="Normal"/>
    <w:next w:val="Normal"/>
    <w:link w:val="TitleChar"/>
    <w:uiPriority w:val="10"/>
    <w:qFormat/>
    <w:rsid w:val="001A25A3"/>
    <w:pPr>
      <w:spacing w:before="360" w:after="360" w:line="240" w:lineRule="auto"/>
      <w:contextualSpacing/>
      <w:outlineLvl w:val="0"/>
    </w:pPr>
    <w:rPr>
      <w:rFonts w:ascii="Arial Narrow" w:eastAsiaTheme="majorEastAsia" w:hAnsi="Arial Narrow" w:cstheme="majorBidi"/>
      <w:b/>
      <w:caps/>
      <w:color w:val="292929"/>
      <w:spacing w:val="5"/>
      <w:kern w:val="28"/>
      <w:sz w:val="72"/>
      <w:szCs w:val="52"/>
    </w:rPr>
  </w:style>
  <w:style w:type="character" w:customStyle="1" w:styleId="TitleChar">
    <w:name w:val="Title Char"/>
    <w:basedOn w:val="DefaultParagraphFont"/>
    <w:link w:val="Title"/>
    <w:uiPriority w:val="10"/>
    <w:rsid w:val="001A25A3"/>
    <w:rPr>
      <w:rFonts w:ascii="Arial Narrow" w:eastAsiaTheme="majorEastAsia" w:hAnsi="Arial Narrow" w:cstheme="majorBidi"/>
      <w:b/>
      <w:caps/>
      <w:color w:val="292929"/>
      <w:spacing w:val="5"/>
      <w:kern w:val="28"/>
      <w:sz w:val="72"/>
      <w:szCs w:val="52"/>
    </w:rPr>
  </w:style>
  <w:style w:type="character" w:customStyle="1" w:styleId="Heading1Char">
    <w:name w:val="Heading 1 Char"/>
    <w:basedOn w:val="DefaultParagraphFont"/>
    <w:link w:val="Heading1"/>
    <w:uiPriority w:val="9"/>
    <w:rsid w:val="0096746E"/>
    <w:rPr>
      <w:rFonts w:ascii="Arial Narrow" w:eastAsiaTheme="majorEastAsia" w:hAnsi="Arial Narrow" w:cstheme="majorBidi"/>
      <w:b/>
      <w:bCs/>
      <w:caps/>
      <w:spacing w:val="-20"/>
      <w:sz w:val="50"/>
      <w:szCs w:val="50"/>
    </w:rPr>
  </w:style>
  <w:style w:type="paragraph" w:customStyle="1" w:styleId="SecurityClassificationHeader">
    <w:name w:val="Security Classification Header"/>
    <w:link w:val="SecurityClassificationHeaderChar"/>
    <w:rsid w:val="00624CEB"/>
    <w:pPr>
      <w:spacing w:after="0" w:line="240" w:lineRule="auto"/>
      <w:jc w:val="center"/>
    </w:pPr>
    <w:rPr>
      <w:rFonts w:ascii="Times New Roman" w:hAnsi="Times New Roman" w:cs="Times New Roman"/>
      <w:b/>
      <w:caps/>
      <w:sz w:val="24"/>
    </w:rPr>
  </w:style>
  <w:style w:type="character" w:customStyle="1" w:styleId="SecurityClassificationHeaderChar">
    <w:name w:val="Security Classification Header Char"/>
    <w:basedOn w:val="HeaderChar"/>
    <w:link w:val="SecurityClassificationHeader"/>
    <w:rsid w:val="00624CEB"/>
    <w:rPr>
      <w:rFonts w:ascii="Times New Roman" w:hAnsi="Times New Roman" w:cs="Times New Roman"/>
      <w:b/>
      <w:caps/>
      <w:sz w:val="24"/>
    </w:rPr>
  </w:style>
  <w:style w:type="paragraph" w:customStyle="1" w:styleId="SecurityClassificationFooter">
    <w:name w:val="Security Classification Footer"/>
    <w:link w:val="SecurityClassificationFooterChar"/>
    <w:rsid w:val="004C6316"/>
    <w:pPr>
      <w:spacing w:after="0" w:line="240" w:lineRule="auto"/>
      <w:jc w:val="center"/>
    </w:pPr>
    <w:rPr>
      <w:rFonts w:ascii="Times New Roman" w:hAnsi="Times New Roman" w:cs="Times New Roman"/>
      <w:b/>
      <w:caps/>
      <w:sz w:val="24"/>
    </w:rPr>
  </w:style>
  <w:style w:type="character" w:customStyle="1" w:styleId="SecurityClassificationFooterChar">
    <w:name w:val="Security Classification Footer Char"/>
    <w:basedOn w:val="HeaderChar"/>
    <w:link w:val="SecurityClassificationFooter"/>
    <w:rsid w:val="004C6316"/>
    <w:rPr>
      <w:rFonts w:ascii="Times New Roman" w:hAnsi="Times New Roman" w:cs="Times New Roman"/>
      <w:b/>
      <w:caps/>
      <w:sz w:val="24"/>
    </w:rPr>
  </w:style>
  <w:style w:type="paragraph" w:customStyle="1" w:styleId="DLMSecurityHeader">
    <w:name w:val="DLM Security Header"/>
    <w:link w:val="DLMSecurityHeaderChar"/>
    <w:rsid w:val="002235E9"/>
    <w:pPr>
      <w:spacing w:before="60" w:after="240"/>
      <w:jc w:val="center"/>
    </w:pPr>
    <w:rPr>
      <w:rFonts w:ascii="Times New Roman" w:hAnsi="Times New Roman" w:cs="Times New Roman"/>
      <w:b/>
      <w:caps/>
      <w:sz w:val="24"/>
    </w:rPr>
  </w:style>
  <w:style w:type="character" w:customStyle="1" w:styleId="DLMSecurityHeaderChar">
    <w:name w:val="DLM Security Header Char"/>
    <w:basedOn w:val="HeaderChar"/>
    <w:link w:val="DLMSecurityHeader"/>
    <w:rsid w:val="002235E9"/>
    <w:rPr>
      <w:rFonts w:ascii="Times New Roman" w:hAnsi="Times New Roman" w:cs="Times New Roman"/>
      <w:b/>
      <w:caps/>
      <w:sz w:val="24"/>
    </w:rPr>
  </w:style>
  <w:style w:type="paragraph" w:customStyle="1" w:styleId="DLMSecurityFooter">
    <w:name w:val="DLM Security Footer"/>
    <w:link w:val="DLMSecurityFooterChar"/>
    <w:rsid w:val="002235E9"/>
    <w:pPr>
      <w:spacing w:before="240" w:after="60"/>
      <w:jc w:val="center"/>
    </w:pPr>
    <w:rPr>
      <w:rFonts w:ascii="Times New Roman" w:hAnsi="Times New Roman" w:cs="Times New Roman"/>
      <w:b/>
      <w:caps/>
      <w:sz w:val="24"/>
    </w:rPr>
  </w:style>
  <w:style w:type="character" w:customStyle="1" w:styleId="DLMSecurityFooterChar">
    <w:name w:val="DLM Security Footer Char"/>
    <w:basedOn w:val="HeaderChar"/>
    <w:link w:val="DLMSecurityFooter"/>
    <w:rsid w:val="002235E9"/>
    <w:rPr>
      <w:rFonts w:ascii="Times New Roman" w:hAnsi="Times New Roman" w:cs="Times New Roman"/>
      <w:b/>
      <w:caps/>
      <w:sz w:val="24"/>
    </w:rPr>
  </w:style>
  <w:style w:type="paragraph" w:styleId="TOCHeading">
    <w:name w:val="TOC Heading"/>
    <w:basedOn w:val="Heading1"/>
    <w:next w:val="Normal"/>
    <w:uiPriority w:val="39"/>
    <w:unhideWhenUsed/>
    <w:qFormat/>
    <w:rsid w:val="002235E9"/>
    <w:pPr>
      <w:outlineLvl w:val="9"/>
    </w:pPr>
    <w:rPr>
      <w:lang w:val="en-US" w:eastAsia="ja-JP"/>
    </w:rPr>
  </w:style>
  <w:style w:type="paragraph" w:styleId="TOC1">
    <w:name w:val="toc 1"/>
    <w:basedOn w:val="Normal"/>
    <w:next w:val="Normal"/>
    <w:autoRedefine/>
    <w:uiPriority w:val="39"/>
    <w:unhideWhenUsed/>
    <w:qFormat/>
    <w:rsid w:val="00135D22"/>
    <w:pPr>
      <w:tabs>
        <w:tab w:val="right" w:leader="dot" w:pos="9015"/>
      </w:tabs>
      <w:spacing w:after="100" w:line="240" w:lineRule="auto"/>
    </w:pPr>
    <w:rPr>
      <w:rFonts w:ascii="Arial Narrow" w:hAnsi="Arial Narrow"/>
      <w:b/>
      <w:caps/>
      <w:noProof/>
      <w:sz w:val="24"/>
    </w:rPr>
  </w:style>
  <w:style w:type="character" w:customStyle="1" w:styleId="Heading2Char">
    <w:name w:val="Heading 2 Char"/>
    <w:basedOn w:val="DefaultParagraphFont"/>
    <w:link w:val="Heading2"/>
    <w:uiPriority w:val="9"/>
    <w:rsid w:val="000262D8"/>
    <w:rPr>
      <w:rFonts w:ascii="Arial Narrow" w:eastAsiaTheme="majorEastAsia" w:hAnsi="Arial Narrow" w:cstheme="majorBidi"/>
      <w:b/>
      <w:bCs/>
      <w:caps/>
      <w:color w:val="4FA4DA"/>
      <w:spacing w:val="-8"/>
      <w:sz w:val="38"/>
      <w:szCs w:val="26"/>
    </w:rPr>
  </w:style>
  <w:style w:type="character" w:customStyle="1" w:styleId="Heading3Char">
    <w:name w:val="Heading 3 Char"/>
    <w:basedOn w:val="DefaultParagraphFont"/>
    <w:link w:val="Heading3"/>
    <w:uiPriority w:val="9"/>
    <w:rsid w:val="008F2DDF"/>
    <w:rPr>
      <w:rFonts w:ascii="Arial Narrow" w:eastAsiaTheme="majorEastAsia" w:hAnsi="Arial Narrow" w:cstheme="majorBidi"/>
      <w:b/>
      <w:bCs/>
      <w:caps/>
      <w:color w:val="4D4D4D"/>
      <w:sz w:val="32"/>
    </w:rPr>
  </w:style>
  <w:style w:type="paragraph" w:styleId="Subtitle">
    <w:name w:val="Subtitle"/>
    <w:basedOn w:val="Normal"/>
    <w:next w:val="Normal"/>
    <w:link w:val="SubtitleChar"/>
    <w:uiPriority w:val="11"/>
    <w:qFormat/>
    <w:rsid w:val="00DB783E"/>
    <w:pPr>
      <w:numPr>
        <w:ilvl w:val="1"/>
      </w:numPr>
    </w:pPr>
    <w:rPr>
      <w:rFonts w:asciiTheme="majorHAnsi" w:eastAsiaTheme="majorEastAsia" w:hAnsiTheme="majorHAnsi" w:cstheme="majorBidi"/>
      <w:i/>
      <w:iCs/>
      <w:color w:val="6C97A4" w:themeColor="accent1"/>
      <w:spacing w:val="15"/>
      <w:sz w:val="24"/>
      <w:szCs w:val="24"/>
    </w:rPr>
  </w:style>
  <w:style w:type="character" w:customStyle="1" w:styleId="SubtitleChar">
    <w:name w:val="Subtitle Char"/>
    <w:basedOn w:val="DefaultParagraphFont"/>
    <w:link w:val="Subtitle"/>
    <w:uiPriority w:val="11"/>
    <w:rsid w:val="00DB783E"/>
    <w:rPr>
      <w:rFonts w:asciiTheme="majorHAnsi" w:eastAsiaTheme="majorEastAsia" w:hAnsiTheme="majorHAnsi" w:cstheme="majorBidi"/>
      <w:i/>
      <w:iCs/>
      <w:color w:val="6C97A4" w:themeColor="accent1"/>
      <w:spacing w:val="15"/>
      <w:sz w:val="24"/>
      <w:szCs w:val="24"/>
    </w:rPr>
  </w:style>
  <w:style w:type="character" w:customStyle="1" w:styleId="Heading4Char">
    <w:name w:val="Heading 4 Char"/>
    <w:basedOn w:val="DefaultParagraphFont"/>
    <w:link w:val="Heading4"/>
    <w:uiPriority w:val="9"/>
    <w:rsid w:val="008F2DDF"/>
    <w:rPr>
      <w:rFonts w:ascii="Arial Narrow" w:eastAsiaTheme="majorEastAsia" w:hAnsi="Arial Narrow" w:cstheme="majorBidi"/>
      <w:caps/>
      <w:color w:val="404040"/>
      <w:sz w:val="28"/>
    </w:rPr>
  </w:style>
  <w:style w:type="paragraph" w:styleId="TOC2">
    <w:name w:val="toc 2"/>
    <w:basedOn w:val="Normal"/>
    <w:next w:val="Normal"/>
    <w:autoRedefine/>
    <w:uiPriority w:val="39"/>
    <w:unhideWhenUsed/>
    <w:qFormat/>
    <w:rsid w:val="00FF0F34"/>
    <w:pPr>
      <w:tabs>
        <w:tab w:val="left" w:pos="567"/>
        <w:tab w:val="right" w:leader="dot" w:pos="9016"/>
      </w:tabs>
      <w:spacing w:after="100" w:line="240" w:lineRule="auto"/>
      <w:ind w:left="284"/>
    </w:pPr>
    <w:rPr>
      <w:rFonts w:ascii="Arial Narrow" w:hAnsi="Arial Narrow"/>
      <w:noProof/>
      <w:color w:val="4D4D4D"/>
      <w:sz w:val="24"/>
    </w:rPr>
  </w:style>
  <w:style w:type="paragraph" w:styleId="TOC3">
    <w:name w:val="toc 3"/>
    <w:basedOn w:val="Normal"/>
    <w:next w:val="Normal"/>
    <w:autoRedefine/>
    <w:uiPriority w:val="39"/>
    <w:unhideWhenUsed/>
    <w:qFormat/>
    <w:rsid w:val="003569DD"/>
    <w:pPr>
      <w:tabs>
        <w:tab w:val="right" w:leader="dot" w:pos="9016"/>
      </w:tabs>
      <w:spacing w:after="100"/>
      <w:ind w:left="567"/>
    </w:pPr>
    <w:rPr>
      <w:rFonts w:ascii="Arial Narrow" w:hAnsi="Arial Narrow"/>
      <w:noProof/>
      <w:sz w:val="23"/>
    </w:rPr>
  </w:style>
  <w:style w:type="paragraph" w:styleId="FootnoteText">
    <w:name w:val="footnote text"/>
    <w:basedOn w:val="Normal"/>
    <w:link w:val="FootnoteTextChar"/>
    <w:unhideWhenUsed/>
    <w:rsid w:val="00377AFF"/>
    <w:pPr>
      <w:tabs>
        <w:tab w:val="left" w:pos="284"/>
      </w:tabs>
      <w:spacing w:after="0" w:line="240" w:lineRule="auto"/>
      <w:ind w:left="284" w:hanging="284"/>
    </w:pPr>
    <w:rPr>
      <w:rFonts w:ascii="Arial Narrow" w:hAnsi="Arial Narrow"/>
      <w:sz w:val="20"/>
      <w:szCs w:val="20"/>
    </w:rPr>
  </w:style>
  <w:style w:type="character" w:customStyle="1" w:styleId="FootnoteTextChar">
    <w:name w:val="Footnote Text Char"/>
    <w:basedOn w:val="DefaultParagraphFont"/>
    <w:link w:val="FootnoteText"/>
    <w:rsid w:val="00377AFF"/>
    <w:rPr>
      <w:rFonts w:ascii="Arial Narrow" w:hAnsi="Arial Narrow"/>
      <w:sz w:val="20"/>
      <w:szCs w:val="20"/>
    </w:rPr>
  </w:style>
  <w:style w:type="character" w:styleId="FootnoteReference">
    <w:name w:val="footnote reference"/>
    <w:basedOn w:val="DefaultParagraphFont"/>
    <w:uiPriority w:val="99"/>
    <w:unhideWhenUsed/>
    <w:rsid w:val="002C0E41"/>
    <w:rPr>
      <w:vertAlign w:val="superscript"/>
    </w:rPr>
  </w:style>
  <w:style w:type="paragraph" w:customStyle="1" w:styleId="OutlineNumbered1">
    <w:name w:val="Outline Numbered 1"/>
    <w:basedOn w:val="Normal"/>
    <w:link w:val="OutlineNumbered1Char"/>
    <w:rsid w:val="00377AFF"/>
    <w:pPr>
      <w:numPr>
        <w:numId w:val="21"/>
      </w:numPr>
    </w:pPr>
  </w:style>
  <w:style w:type="character" w:customStyle="1" w:styleId="OutlineNumbered1Char">
    <w:name w:val="Outline Numbered 1 Char"/>
    <w:basedOn w:val="DefaultParagraphFont"/>
    <w:link w:val="OutlineNumbered1"/>
    <w:rsid w:val="00377AFF"/>
    <w:rPr>
      <w:rFonts w:ascii="Calibri" w:hAnsi="Calibri"/>
    </w:rPr>
  </w:style>
  <w:style w:type="paragraph" w:customStyle="1" w:styleId="OutlineNumbered2">
    <w:name w:val="Outline Numbered 2"/>
    <w:basedOn w:val="Normal"/>
    <w:rsid w:val="002C0E41"/>
    <w:pPr>
      <w:numPr>
        <w:ilvl w:val="1"/>
        <w:numId w:val="9"/>
      </w:numPr>
    </w:pPr>
  </w:style>
  <w:style w:type="paragraph" w:customStyle="1" w:styleId="OutlineNumbered3">
    <w:name w:val="Outline Numbered 3"/>
    <w:basedOn w:val="Normal"/>
    <w:rsid w:val="002C0E41"/>
    <w:pPr>
      <w:numPr>
        <w:ilvl w:val="2"/>
        <w:numId w:val="9"/>
      </w:numPr>
    </w:pPr>
  </w:style>
  <w:style w:type="paragraph" w:styleId="NoSpacing">
    <w:name w:val="No Spacing"/>
    <w:uiPriority w:val="1"/>
    <w:qFormat/>
    <w:rsid w:val="007570D6"/>
    <w:pPr>
      <w:spacing w:after="0" w:line="240" w:lineRule="auto"/>
    </w:pPr>
  </w:style>
  <w:style w:type="paragraph" w:styleId="ListParagraph">
    <w:name w:val="List Paragraph"/>
    <w:basedOn w:val="Normal"/>
    <w:link w:val="ListParagraphChar"/>
    <w:uiPriority w:val="34"/>
    <w:qFormat/>
    <w:rsid w:val="007570D6"/>
    <w:pPr>
      <w:ind w:left="720"/>
      <w:contextualSpacing/>
    </w:pPr>
  </w:style>
  <w:style w:type="table" w:styleId="TableGrid">
    <w:name w:val="Table Grid"/>
    <w:basedOn w:val="TableNormal"/>
    <w:uiPriority w:val="59"/>
    <w:rsid w:val="008B3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31A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1A74"/>
    <w:rPr>
      <w:sz w:val="20"/>
      <w:szCs w:val="20"/>
    </w:rPr>
  </w:style>
  <w:style w:type="character" w:styleId="EndnoteReference">
    <w:name w:val="endnote reference"/>
    <w:basedOn w:val="DefaultParagraphFont"/>
    <w:uiPriority w:val="99"/>
    <w:semiHidden/>
    <w:unhideWhenUsed/>
    <w:rsid w:val="00131A74"/>
    <w:rPr>
      <w:vertAlign w:val="superscript"/>
    </w:rPr>
  </w:style>
  <w:style w:type="table" w:styleId="LightList-Accent1">
    <w:name w:val="Light List Accent 1"/>
    <w:basedOn w:val="TableNormal"/>
    <w:uiPriority w:val="61"/>
    <w:rsid w:val="004F156F"/>
    <w:pPr>
      <w:spacing w:after="0" w:line="240" w:lineRule="auto"/>
    </w:pPr>
    <w:tblPr>
      <w:tblStyleRowBandSize w:val="1"/>
      <w:tblStyleColBandSize w:val="1"/>
      <w:tblBorders>
        <w:top w:val="single" w:sz="8" w:space="0" w:color="6C97A4" w:themeColor="accent1"/>
        <w:left w:val="single" w:sz="8" w:space="0" w:color="6C97A4" w:themeColor="accent1"/>
        <w:bottom w:val="single" w:sz="8" w:space="0" w:color="6C97A4" w:themeColor="accent1"/>
        <w:right w:val="single" w:sz="8" w:space="0" w:color="6C97A4" w:themeColor="accent1"/>
      </w:tblBorders>
    </w:tblPr>
    <w:tblStylePr w:type="firstRow">
      <w:pPr>
        <w:spacing w:before="0" w:after="0" w:line="240" w:lineRule="auto"/>
      </w:pPr>
      <w:rPr>
        <w:b/>
        <w:bCs/>
        <w:color w:val="D6E1E1" w:themeColor="background1"/>
      </w:rPr>
      <w:tblPr/>
      <w:tcPr>
        <w:shd w:val="clear" w:color="auto" w:fill="6C97A4" w:themeFill="accent1"/>
      </w:tcPr>
    </w:tblStylePr>
    <w:tblStylePr w:type="lastRow">
      <w:pPr>
        <w:spacing w:before="0" w:after="0" w:line="240" w:lineRule="auto"/>
      </w:pPr>
      <w:rPr>
        <w:b/>
        <w:bCs/>
      </w:rPr>
      <w:tblPr/>
      <w:tcPr>
        <w:tcBorders>
          <w:top w:val="double" w:sz="6" w:space="0" w:color="6C97A4" w:themeColor="accent1"/>
          <w:left w:val="single" w:sz="8" w:space="0" w:color="6C97A4" w:themeColor="accent1"/>
          <w:bottom w:val="single" w:sz="8" w:space="0" w:color="6C97A4" w:themeColor="accent1"/>
          <w:right w:val="single" w:sz="8" w:space="0" w:color="6C97A4" w:themeColor="accent1"/>
        </w:tcBorders>
      </w:tcPr>
    </w:tblStylePr>
    <w:tblStylePr w:type="firstCol">
      <w:rPr>
        <w:b/>
        <w:bCs/>
      </w:rPr>
    </w:tblStylePr>
    <w:tblStylePr w:type="lastCol">
      <w:rPr>
        <w:b/>
        <w:bCs/>
      </w:rPr>
    </w:tblStylePr>
    <w:tblStylePr w:type="band1Vert">
      <w:tblPr/>
      <w:tcPr>
        <w:tcBorders>
          <w:top w:val="single" w:sz="8" w:space="0" w:color="6C97A4" w:themeColor="accent1"/>
          <w:left w:val="single" w:sz="8" w:space="0" w:color="6C97A4" w:themeColor="accent1"/>
          <w:bottom w:val="single" w:sz="8" w:space="0" w:color="6C97A4" w:themeColor="accent1"/>
          <w:right w:val="single" w:sz="8" w:space="0" w:color="6C97A4" w:themeColor="accent1"/>
        </w:tcBorders>
      </w:tcPr>
    </w:tblStylePr>
    <w:tblStylePr w:type="band1Horz">
      <w:tblPr/>
      <w:tcPr>
        <w:tcBorders>
          <w:top w:val="single" w:sz="8" w:space="0" w:color="6C97A4" w:themeColor="accent1"/>
          <w:left w:val="single" w:sz="8" w:space="0" w:color="6C97A4" w:themeColor="accent1"/>
          <w:bottom w:val="single" w:sz="8" w:space="0" w:color="6C97A4" w:themeColor="accent1"/>
          <w:right w:val="single" w:sz="8" w:space="0" w:color="6C97A4" w:themeColor="accent1"/>
        </w:tcBorders>
      </w:tcPr>
    </w:tblStylePr>
  </w:style>
  <w:style w:type="character" w:styleId="FollowedHyperlink">
    <w:name w:val="FollowedHyperlink"/>
    <w:basedOn w:val="DefaultParagraphFont"/>
    <w:uiPriority w:val="99"/>
    <w:semiHidden/>
    <w:unhideWhenUsed/>
    <w:rsid w:val="00473AA9"/>
    <w:rPr>
      <w:color w:val="800080" w:themeColor="followedHyperlink"/>
      <w:u w:val="single"/>
    </w:rPr>
  </w:style>
  <w:style w:type="paragraph" w:styleId="Revision">
    <w:name w:val="Revision"/>
    <w:hidden/>
    <w:uiPriority w:val="99"/>
    <w:semiHidden/>
    <w:rsid w:val="0046619D"/>
    <w:pPr>
      <w:spacing w:after="0" w:line="240" w:lineRule="auto"/>
    </w:pPr>
  </w:style>
  <w:style w:type="paragraph" w:customStyle="1" w:styleId="Default">
    <w:name w:val="Default"/>
    <w:rsid w:val="00762F03"/>
    <w:pPr>
      <w:autoSpaceDE w:val="0"/>
      <w:autoSpaceDN w:val="0"/>
      <w:adjustRightInd w:val="0"/>
      <w:spacing w:after="0" w:line="240" w:lineRule="auto"/>
    </w:pPr>
    <w:rPr>
      <w:rFonts w:ascii="Georgia" w:hAnsi="Georgia" w:cs="Georgia"/>
      <w:color w:val="000000"/>
      <w:sz w:val="24"/>
      <w:szCs w:val="24"/>
    </w:rPr>
  </w:style>
  <w:style w:type="character" w:customStyle="1" w:styleId="act-reference">
    <w:name w:val="act-reference"/>
    <w:basedOn w:val="DefaultParagraphFont"/>
    <w:rsid w:val="009417C1"/>
  </w:style>
  <w:style w:type="character" w:customStyle="1" w:styleId="ListParagraphChar">
    <w:name w:val="List Paragraph Char"/>
    <w:link w:val="ListParagraph"/>
    <w:uiPriority w:val="34"/>
    <w:rsid w:val="009417C1"/>
  </w:style>
  <w:style w:type="paragraph" w:styleId="NormalWeb">
    <w:name w:val="Normal (Web)"/>
    <w:basedOn w:val="Normal"/>
    <w:uiPriority w:val="99"/>
    <w:semiHidden/>
    <w:unhideWhenUsed/>
    <w:rsid w:val="009736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andTableFootnoteAlpha">
    <w:name w:val="Chart and Table Footnote Alpha"/>
    <w:rsid w:val="00BA0048"/>
    <w:pPr>
      <w:numPr>
        <w:numId w:val="3"/>
      </w:numPr>
      <w:spacing w:after="0" w:line="240" w:lineRule="auto"/>
      <w:jc w:val="both"/>
    </w:pPr>
    <w:rPr>
      <w:rFonts w:ascii="Arial" w:eastAsia="Times New Roman" w:hAnsi="Arial" w:cs="Times New Roman"/>
      <w:color w:val="000000"/>
      <w:sz w:val="16"/>
      <w:szCs w:val="16"/>
      <w:lang w:eastAsia="en-AU"/>
    </w:rPr>
  </w:style>
  <w:style w:type="paragraph" w:customStyle="1" w:styleId="TableGraphic">
    <w:name w:val="Table Graphic"/>
    <w:basedOn w:val="Normal"/>
    <w:next w:val="Normal"/>
    <w:rsid w:val="00BA0048"/>
    <w:pPr>
      <w:keepNext/>
      <w:spacing w:after="0" w:line="240" w:lineRule="auto"/>
    </w:pPr>
    <w:rPr>
      <w:rFonts w:ascii="Arial" w:eastAsia="Times New Roman" w:hAnsi="Arial" w:cs="Times New Roman"/>
      <w:color w:val="00673A"/>
      <w:sz w:val="20"/>
      <w:szCs w:val="20"/>
      <w:lang w:eastAsia="en-AU"/>
    </w:rPr>
  </w:style>
  <w:style w:type="character" w:customStyle="1" w:styleId="A5">
    <w:name w:val="A5"/>
    <w:uiPriority w:val="99"/>
    <w:rsid w:val="00BA0048"/>
    <w:rPr>
      <w:rFonts w:cs="Swiss 721 BT"/>
      <w:color w:val="000000"/>
      <w:sz w:val="20"/>
      <w:szCs w:val="20"/>
    </w:rPr>
  </w:style>
  <w:style w:type="paragraph" w:customStyle="1" w:styleId="Heading1-NoTOC">
    <w:name w:val="Heading 1 - No TOC"/>
    <w:basedOn w:val="Heading1"/>
    <w:rsid w:val="008F2DDF"/>
    <w:pPr>
      <w:outlineLvl w:val="9"/>
    </w:pPr>
    <w:rPr>
      <w:spacing w:val="0"/>
    </w:rPr>
  </w:style>
  <w:style w:type="paragraph" w:customStyle="1" w:styleId="FooterOdd">
    <w:name w:val="Footer Odd"/>
    <w:basedOn w:val="Footer"/>
    <w:rsid w:val="00524C7D"/>
    <w:pPr>
      <w:jc w:val="right"/>
    </w:pPr>
    <w:rPr>
      <w:rFonts w:ascii="Arial Narrow" w:hAnsi="Arial Narrow"/>
      <w:b/>
      <w:color w:val="1C1C1C"/>
      <w:sz w:val="18"/>
    </w:rPr>
  </w:style>
  <w:style w:type="paragraph" w:customStyle="1" w:styleId="FooterEven">
    <w:name w:val="Footer Even"/>
    <w:basedOn w:val="FooterOdd"/>
    <w:rsid w:val="00524C7D"/>
    <w:pPr>
      <w:jc w:val="left"/>
    </w:pPr>
  </w:style>
  <w:style w:type="paragraph" w:customStyle="1" w:styleId="TableMainHeading">
    <w:name w:val="Table Main Heading"/>
    <w:basedOn w:val="Normal"/>
    <w:rsid w:val="006E45D9"/>
    <w:pPr>
      <w:spacing w:after="60" w:line="240" w:lineRule="auto"/>
    </w:pPr>
    <w:rPr>
      <w:rFonts w:ascii="Arial Narrow" w:hAnsi="Arial Narrow"/>
      <w:b/>
      <w:caps/>
      <w:sz w:val="24"/>
    </w:rPr>
  </w:style>
  <w:style w:type="paragraph" w:customStyle="1" w:styleId="TableTextLeft">
    <w:name w:val="Table Text Left"/>
    <w:basedOn w:val="Bullet"/>
    <w:rsid w:val="00037582"/>
    <w:pPr>
      <w:numPr>
        <w:numId w:val="0"/>
      </w:numPr>
      <w:spacing w:before="80" w:after="80" w:line="260" w:lineRule="exact"/>
    </w:pPr>
    <w:rPr>
      <w:rFonts w:ascii="Arial Narrow" w:hAnsi="Arial Narrow" w:cs="Microsoft New Tai Lue"/>
      <w:sz w:val="20"/>
      <w:szCs w:val="20"/>
    </w:rPr>
  </w:style>
  <w:style w:type="paragraph" w:customStyle="1" w:styleId="TableColumnHeadingLeft">
    <w:name w:val="Table Column Heading Left"/>
    <w:basedOn w:val="TableTextLeft"/>
    <w:rsid w:val="008F2DDF"/>
    <w:pPr>
      <w:spacing w:before="120" w:after="120"/>
    </w:pPr>
    <w:rPr>
      <w:b/>
      <w:color w:val="4FA4DA"/>
      <w:sz w:val="24"/>
      <w:szCs w:val="24"/>
    </w:rPr>
  </w:style>
  <w:style w:type="character" w:customStyle="1" w:styleId="Heading5Char">
    <w:name w:val="Heading 5 Char"/>
    <w:basedOn w:val="DefaultParagraphFont"/>
    <w:link w:val="Heading5"/>
    <w:uiPriority w:val="9"/>
    <w:rsid w:val="008F2DDF"/>
    <w:rPr>
      <w:rFonts w:ascii="Arial Narrow" w:eastAsiaTheme="majorEastAsia" w:hAnsi="Arial Narrow" w:cstheme="majorBidi"/>
      <w:b/>
      <w:color w:val="3B3B3B"/>
      <w:sz w:val="24"/>
    </w:rPr>
  </w:style>
  <w:style w:type="paragraph" w:customStyle="1" w:styleId="BoxHeading-KeyIssues">
    <w:name w:val="Box Heading - Key Issues"/>
    <w:basedOn w:val="Normal"/>
    <w:link w:val="BoxHeading-KeyIssuesChar"/>
    <w:rsid w:val="000262D8"/>
    <w:pPr>
      <w:keepNext/>
      <w:keepLines/>
      <w:spacing w:before="120" w:after="80" w:line="240" w:lineRule="auto"/>
      <w:jc w:val="left"/>
    </w:pPr>
    <w:rPr>
      <w:rFonts w:ascii="Arial Narrow" w:hAnsi="Arial Narrow"/>
      <w:b/>
      <w:caps/>
      <w:color w:val="404040"/>
      <w:sz w:val="36"/>
    </w:rPr>
  </w:style>
  <w:style w:type="paragraph" w:customStyle="1" w:styleId="BoxBullet">
    <w:name w:val="Box Bullet"/>
    <w:basedOn w:val="BoxHeading-KeyIssues"/>
    <w:link w:val="BoxBulletChar"/>
    <w:rsid w:val="00377076"/>
    <w:pPr>
      <w:numPr>
        <w:numId w:val="4"/>
      </w:numPr>
      <w:spacing w:after="120" w:line="280" w:lineRule="exact"/>
      <w:ind w:left="357" w:hanging="357"/>
      <w:jc w:val="both"/>
    </w:pPr>
    <w:rPr>
      <w:b w:val="0"/>
      <w:caps w:val="0"/>
      <w:sz w:val="22"/>
    </w:rPr>
  </w:style>
  <w:style w:type="paragraph" w:customStyle="1" w:styleId="SingleParagraph">
    <w:name w:val="Single Paragraph"/>
    <w:basedOn w:val="Heading2"/>
    <w:rsid w:val="00824522"/>
    <w:pPr>
      <w:spacing w:before="0" w:after="120"/>
      <w:outlineLvl w:val="9"/>
    </w:pPr>
    <w:rPr>
      <w:b w:val="0"/>
      <w:color w:val="auto"/>
      <w:sz w:val="20"/>
    </w:rPr>
  </w:style>
  <w:style w:type="paragraph" w:customStyle="1" w:styleId="BoxText">
    <w:name w:val="Box Text"/>
    <w:basedOn w:val="Bullet"/>
    <w:rsid w:val="00057CCA"/>
    <w:pPr>
      <w:numPr>
        <w:numId w:val="0"/>
      </w:numPr>
      <w:spacing w:before="120" w:after="120"/>
    </w:pPr>
    <w:rPr>
      <w:rFonts w:ascii="Arial Narrow" w:hAnsi="Arial Narrow"/>
      <w:color w:val="404040"/>
    </w:rPr>
  </w:style>
  <w:style w:type="paragraph" w:customStyle="1" w:styleId="BoxHeading-CaseStudy">
    <w:name w:val="Box Heading - Case Study"/>
    <w:basedOn w:val="BoxHeading-KeyIssues"/>
    <w:rsid w:val="00824E36"/>
  </w:style>
  <w:style w:type="paragraph" w:customStyle="1" w:styleId="FigureMainHeading">
    <w:name w:val="Figure Main Heading"/>
    <w:basedOn w:val="TableMainHeading"/>
    <w:rsid w:val="00FE6924"/>
    <w:pPr>
      <w:keepNext/>
      <w:jc w:val="center"/>
    </w:pPr>
  </w:style>
  <w:style w:type="paragraph" w:customStyle="1" w:styleId="Source">
    <w:name w:val="Source"/>
    <w:basedOn w:val="Normal"/>
    <w:rsid w:val="00E967AD"/>
    <w:pPr>
      <w:spacing w:before="60" w:after="60" w:line="240" w:lineRule="auto"/>
    </w:pPr>
    <w:rPr>
      <w:rFonts w:ascii="Arial Narrow" w:hAnsi="Arial Narrow"/>
      <w:caps/>
      <w:sz w:val="16"/>
    </w:rPr>
  </w:style>
  <w:style w:type="paragraph" w:customStyle="1" w:styleId="BoxHeading-Box">
    <w:name w:val="Box Heading - Box"/>
    <w:basedOn w:val="BoxHeading-CaseStudy"/>
    <w:rsid w:val="00626360"/>
    <w:pPr>
      <w:tabs>
        <w:tab w:val="left" w:pos="1186"/>
      </w:tabs>
      <w:ind w:left="1186" w:hanging="1186"/>
    </w:pPr>
    <w:rPr>
      <w:color w:val="auto"/>
      <w:sz w:val="24"/>
    </w:rPr>
  </w:style>
  <w:style w:type="paragraph" w:customStyle="1" w:styleId="BoxHeadingSub-Box">
    <w:name w:val="Box Heading Sub - Box"/>
    <w:basedOn w:val="BoxHeading-Box"/>
    <w:rsid w:val="00165550"/>
    <w:pPr>
      <w:spacing w:before="240" w:after="0"/>
      <w:ind w:left="1185" w:hanging="1185"/>
    </w:pPr>
    <w:rPr>
      <w:caps w:val="0"/>
      <w:color w:val="404040"/>
      <w:sz w:val="21"/>
    </w:rPr>
  </w:style>
  <w:style w:type="table" w:customStyle="1" w:styleId="Box">
    <w:name w:val="Box #"/>
    <w:basedOn w:val="TableNormal"/>
    <w:uiPriority w:val="99"/>
    <w:rsid w:val="007C644F"/>
    <w:pPr>
      <w:spacing w:before="120" w:after="120"/>
    </w:pPr>
    <w:rPr>
      <w:rFonts w:ascii="Calibri" w:hAnsi="Calibri"/>
    </w:rPr>
    <w:tblPr>
      <w:tblBorders>
        <w:top w:val="single" w:sz="12" w:space="0" w:color="28467D"/>
        <w:left w:val="single" w:sz="12" w:space="0" w:color="28467D"/>
        <w:bottom w:val="single" w:sz="12" w:space="0" w:color="28467D"/>
        <w:right w:val="single" w:sz="12" w:space="0" w:color="28467D"/>
      </w:tblBorders>
    </w:tblPr>
    <w:tcPr>
      <w:shd w:val="clear" w:color="auto" w:fill="F0B6B9"/>
      <w:tcMar>
        <w:left w:w="198" w:type="dxa"/>
        <w:right w:w="198" w:type="dxa"/>
      </w:tcMar>
    </w:tcPr>
  </w:style>
  <w:style w:type="paragraph" w:customStyle="1" w:styleId="BoxHeading-Boxcont">
    <w:name w:val="Box Heading - Box (cont)"/>
    <w:basedOn w:val="BoxHeading-Box"/>
    <w:rsid w:val="009D022F"/>
  </w:style>
  <w:style w:type="paragraph" w:customStyle="1" w:styleId="AlphaParagraph">
    <w:name w:val="Alpha Paragraph"/>
    <w:basedOn w:val="Normal"/>
    <w:rsid w:val="009D47B7"/>
    <w:pPr>
      <w:numPr>
        <w:numId w:val="5"/>
      </w:numPr>
    </w:pPr>
  </w:style>
  <w:style w:type="paragraph" w:customStyle="1" w:styleId="RomanParagraph">
    <w:name w:val="Roman Paragraph"/>
    <w:basedOn w:val="OutlineNumbered1"/>
    <w:rsid w:val="004E04F0"/>
    <w:pPr>
      <w:numPr>
        <w:numId w:val="6"/>
      </w:numPr>
      <w:tabs>
        <w:tab w:val="left" w:pos="425"/>
      </w:tabs>
      <w:ind w:left="425" w:hanging="425"/>
    </w:pPr>
  </w:style>
  <w:style w:type="paragraph" w:customStyle="1" w:styleId="RomanParagraph-Indent">
    <w:name w:val="Roman Paragraph - Indent"/>
    <w:basedOn w:val="RomanParagraph"/>
    <w:rsid w:val="004E04F0"/>
    <w:pPr>
      <w:tabs>
        <w:tab w:val="clear" w:pos="425"/>
        <w:tab w:val="left" w:pos="851"/>
      </w:tabs>
      <w:ind w:left="850"/>
    </w:pPr>
  </w:style>
  <w:style w:type="paragraph" w:customStyle="1" w:styleId="TableTextLeft-Bullet">
    <w:name w:val="Table Text Left - Bullet"/>
    <w:basedOn w:val="TableTextLeft"/>
    <w:rsid w:val="00037582"/>
    <w:pPr>
      <w:numPr>
        <w:numId w:val="7"/>
      </w:numPr>
      <w:tabs>
        <w:tab w:val="clear" w:pos="425"/>
        <w:tab w:val="num" w:pos="284"/>
      </w:tabs>
      <w:ind w:left="284" w:hanging="284"/>
    </w:pPr>
  </w:style>
  <w:style w:type="table" w:customStyle="1" w:styleId="KeyPoints">
    <w:name w:val="Key Points"/>
    <w:basedOn w:val="TableNormal"/>
    <w:uiPriority w:val="99"/>
    <w:rsid w:val="007C644F"/>
    <w:pPr>
      <w:spacing w:before="120" w:after="120" w:line="240" w:lineRule="auto"/>
    </w:pPr>
    <w:rPr>
      <w:rFonts w:ascii="Calibri" w:hAnsi="Calibri"/>
      <w:color w:val="404040"/>
    </w:rPr>
    <w:tblPr>
      <w:tblBorders>
        <w:top w:val="single" w:sz="12" w:space="0" w:color="28467D"/>
        <w:left w:val="single" w:sz="12" w:space="0" w:color="28467D"/>
        <w:bottom w:val="single" w:sz="12" w:space="0" w:color="28467D"/>
        <w:right w:val="single" w:sz="12" w:space="0" w:color="28467D"/>
      </w:tblBorders>
    </w:tblPr>
    <w:tcPr>
      <w:shd w:val="clear" w:color="auto" w:fill="FFD3C1"/>
      <w:tcMar>
        <w:left w:w="198" w:type="dxa"/>
        <w:right w:w="198" w:type="dxa"/>
      </w:tcMar>
    </w:tcPr>
  </w:style>
  <w:style w:type="table" w:customStyle="1" w:styleId="Observation">
    <w:name w:val="Observation"/>
    <w:basedOn w:val="TableNormal"/>
    <w:uiPriority w:val="99"/>
    <w:rsid w:val="007C644F"/>
    <w:pPr>
      <w:spacing w:before="120" w:after="120" w:line="240" w:lineRule="auto"/>
    </w:pPr>
    <w:tblPr>
      <w:tblBorders>
        <w:top w:val="single" w:sz="12" w:space="0" w:color="78181C"/>
        <w:left w:val="single" w:sz="12" w:space="0" w:color="78181C"/>
        <w:bottom w:val="single" w:sz="12" w:space="0" w:color="78181C"/>
        <w:right w:val="single" w:sz="12" w:space="0" w:color="78181C"/>
      </w:tblBorders>
    </w:tblPr>
    <w:tcPr>
      <w:shd w:val="clear" w:color="auto" w:fill="E1F1FF"/>
      <w:tcMar>
        <w:left w:w="198" w:type="dxa"/>
        <w:right w:w="198" w:type="dxa"/>
      </w:tcMar>
    </w:tcPr>
  </w:style>
  <w:style w:type="paragraph" w:customStyle="1" w:styleId="Heading1-ExecSum">
    <w:name w:val="Heading 1 - ExecSum"/>
    <w:basedOn w:val="Normal"/>
    <w:rsid w:val="005825AB"/>
    <w:pPr>
      <w:spacing w:after="360" w:line="240" w:lineRule="auto"/>
      <w:outlineLvl w:val="0"/>
    </w:pPr>
    <w:rPr>
      <w:rFonts w:ascii="Arial Narrow" w:hAnsi="Arial Narrow"/>
      <w:b/>
      <w:caps/>
      <w:sz w:val="72"/>
    </w:rPr>
  </w:style>
  <w:style w:type="paragraph" w:customStyle="1" w:styleId="PullQuote">
    <w:name w:val="Pull Quote"/>
    <w:basedOn w:val="Normal"/>
    <w:rsid w:val="00945D46"/>
    <w:pPr>
      <w:spacing w:after="180"/>
      <w:jc w:val="center"/>
    </w:pPr>
    <w:rPr>
      <w:b/>
      <w:i/>
      <w:iCs/>
      <w:color w:val="0082A6" w:themeColor="text1" w:themeTint="BF"/>
      <w:sz w:val="24"/>
      <w:szCs w:val="24"/>
    </w:rPr>
  </w:style>
  <w:style w:type="paragraph" w:customStyle="1" w:styleId="HeaderEven">
    <w:name w:val="Header Even"/>
    <w:basedOn w:val="FooterEven"/>
    <w:rsid w:val="005825AB"/>
    <w:rPr>
      <w:caps/>
    </w:rPr>
  </w:style>
  <w:style w:type="paragraph" w:customStyle="1" w:styleId="HeaderOdd">
    <w:name w:val="Header Odd"/>
    <w:basedOn w:val="HeaderEven"/>
    <w:rsid w:val="00037582"/>
    <w:pPr>
      <w:tabs>
        <w:tab w:val="clear" w:pos="4513"/>
        <w:tab w:val="clear" w:pos="9026"/>
      </w:tabs>
      <w:jc w:val="right"/>
    </w:pPr>
  </w:style>
  <w:style w:type="paragraph" w:customStyle="1" w:styleId="BoxNumbering">
    <w:name w:val="Box Numbering"/>
    <w:basedOn w:val="OutlineNumbered1"/>
    <w:rsid w:val="00AC4BFE"/>
    <w:pPr>
      <w:numPr>
        <w:numId w:val="8"/>
      </w:numPr>
      <w:tabs>
        <w:tab w:val="left" w:pos="284"/>
      </w:tabs>
      <w:spacing w:before="120" w:after="120"/>
      <w:ind w:left="284" w:hanging="284"/>
    </w:pPr>
    <w:rPr>
      <w:rFonts w:ascii="Arial Narrow" w:hAnsi="Arial Narrow"/>
      <w:color w:val="404040"/>
    </w:rPr>
  </w:style>
  <w:style w:type="character" w:customStyle="1" w:styleId="Heading6Char">
    <w:name w:val="Heading 6 Char"/>
    <w:basedOn w:val="DefaultParagraphFont"/>
    <w:link w:val="Heading6"/>
    <w:uiPriority w:val="9"/>
    <w:rsid w:val="008F2DDF"/>
    <w:rPr>
      <w:rFonts w:ascii="Arial Narrow" w:eastAsiaTheme="majorEastAsia" w:hAnsi="Arial Narrow" w:cstheme="majorBidi"/>
      <w:i/>
      <w:iCs/>
      <w:color w:val="3B3B3B"/>
    </w:rPr>
  </w:style>
  <w:style w:type="paragraph" w:customStyle="1" w:styleId="RecomendationsNumbered1">
    <w:name w:val="Recomendations Numbered 1"/>
    <w:qFormat/>
    <w:rsid w:val="00E46246"/>
    <w:pPr>
      <w:numPr>
        <w:numId w:val="20"/>
      </w:numPr>
      <w:tabs>
        <w:tab w:val="left" w:pos="425"/>
      </w:tabs>
      <w:spacing w:before="240" w:after="120" w:line="240" w:lineRule="auto"/>
      <w:ind w:left="425" w:hanging="425"/>
    </w:pPr>
    <w:rPr>
      <w:rFonts w:ascii="Calibri" w:hAnsi="Calibri"/>
      <w:b/>
      <w:caps/>
      <w:color w:val="292929"/>
      <w:spacing w:val="-8"/>
    </w:rPr>
  </w:style>
  <w:style w:type="table" w:styleId="LightList-Accent5">
    <w:name w:val="Light List Accent 5"/>
    <w:basedOn w:val="TableNormal"/>
    <w:uiPriority w:val="61"/>
    <w:rsid w:val="00C208C1"/>
    <w:pPr>
      <w:spacing w:after="0" w:line="240" w:lineRule="auto"/>
    </w:pPr>
    <w:tblPr>
      <w:tblStyleRowBandSize w:val="1"/>
      <w:tblStyleColBandSize w:val="1"/>
      <w:tblBorders>
        <w:top w:val="single" w:sz="8" w:space="0" w:color="DDECE9" w:themeColor="accent5"/>
        <w:left w:val="single" w:sz="8" w:space="0" w:color="DDECE9" w:themeColor="accent5"/>
        <w:bottom w:val="single" w:sz="8" w:space="0" w:color="DDECE9" w:themeColor="accent5"/>
        <w:right w:val="single" w:sz="8" w:space="0" w:color="DDECE9" w:themeColor="accent5"/>
      </w:tblBorders>
    </w:tblPr>
    <w:tblStylePr w:type="firstRow">
      <w:pPr>
        <w:spacing w:before="0" w:after="0" w:line="240" w:lineRule="auto"/>
      </w:pPr>
      <w:rPr>
        <w:b/>
        <w:bCs/>
        <w:color w:val="D6E1E1" w:themeColor="background1"/>
      </w:rPr>
      <w:tblPr/>
      <w:tcPr>
        <w:shd w:val="clear" w:color="auto" w:fill="DDECE9" w:themeFill="accent5"/>
      </w:tcPr>
    </w:tblStylePr>
    <w:tblStylePr w:type="lastRow">
      <w:pPr>
        <w:spacing w:before="0" w:after="0" w:line="240" w:lineRule="auto"/>
      </w:pPr>
      <w:rPr>
        <w:b/>
        <w:bCs/>
      </w:rPr>
      <w:tblPr/>
      <w:tcPr>
        <w:tcBorders>
          <w:top w:val="double" w:sz="6" w:space="0" w:color="DDECE9" w:themeColor="accent5"/>
          <w:left w:val="single" w:sz="8" w:space="0" w:color="DDECE9" w:themeColor="accent5"/>
          <w:bottom w:val="single" w:sz="8" w:space="0" w:color="DDECE9" w:themeColor="accent5"/>
          <w:right w:val="single" w:sz="8" w:space="0" w:color="DDECE9" w:themeColor="accent5"/>
        </w:tcBorders>
      </w:tcPr>
    </w:tblStylePr>
    <w:tblStylePr w:type="firstCol">
      <w:rPr>
        <w:b/>
        <w:bCs/>
      </w:rPr>
    </w:tblStylePr>
    <w:tblStylePr w:type="lastCol">
      <w:rPr>
        <w:b/>
        <w:bCs/>
      </w:rPr>
    </w:tblStylePr>
    <w:tblStylePr w:type="band1Vert">
      <w:tblPr/>
      <w:tcPr>
        <w:tcBorders>
          <w:top w:val="single" w:sz="8" w:space="0" w:color="DDECE9" w:themeColor="accent5"/>
          <w:left w:val="single" w:sz="8" w:space="0" w:color="DDECE9" w:themeColor="accent5"/>
          <w:bottom w:val="single" w:sz="8" w:space="0" w:color="DDECE9" w:themeColor="accent5"/>
          <w:right w:val="single" w:sz="8" w:space="0" w:color="DDECE9" w:themeColor="accent5"/>
        </w:tcBorders>
      </w:tcPr>
    </w:tblStylePr>
    <w:tblStylePr w:type="band1Horz">
      <w:tblPr/>
      <w:tcPr>
        <w:tcBorders>
          <w:top w:val="single" w:sz="8" w:space="0" w:color="DDECE9" w:themeColor="accent5"/>
          <w:left w:val="single" w:sz="8" w:space="0" w:color="DDECE9" w:themeColor="accent5"/>
          <w:bottom w:val="single" w:sz="8" w:space="0" w:color="DDECE9" w:themeColor="accent5"/>
          <w:right w:val="single" w:sz="8" w:space="0" w:color="DDECE9" w:themeColor="accent5"/>
        </w:tcBorders>
      </w:tcPr>
    </w:tblStylePr>
  </w:style>
  <w:style w:type="table" w:styleId="LightList-Accent2">
    <w:name w:val="Light List Accent 2"/>
    <w:basedOn w:val="TableNormal"/>
    <w:uiPriority w:val="61"/>
    <w:rsid w:val="00C208C1"/>
    <w:pPr>
      <w:spacing w:after="0" w:line="240" w:lineRule="auto"/>
    </w:pPr>
    <w:tblPr>
      <w:tblStyleRowBandSize w:val="1"/>
      <w:tblStyleColBandSize w:val="1"/>
      <w:tblBorders>
        <w:top w:val="single" w:sz="8" w:space="0" w:color="88B9B6" w:themeColor="accent2"/>
        <w:left w:val="single" w:sz="8" w:space="0" w:color="88B9B6" w:themeColor="accent2"/>
        <w:bottom w:val="single" w:sz="8" w:space="0" w:color="88B9B6" w:themeColor="accent2"/>
        <w:right w:val="single" w:sz="8" w:space="0" w:color="88B9B6" w:themeColor="accent2"/>
      </w:tblBorders>
    </w:tblPr>
    <w:tblStylePr w:type="firstRow">
      <w:pPr>
        <w:spacing w:before="0" w:after="0" w:line="240" w:lineRule="auto"/>
      </w:pPr>
      <w:rPr>
        <w:b/>
        <w:bCs/>
        <w:color w:val="D6E1E1" w:themeColor="background1"/>
      </w:rPr>
      <w:tblPr/>
      <w:tcPr>
        <w:shd w:val="clear" w:color="auto" w:fill="88B9B6" w:themeFill="accent2"/>
      </w:tcPr>
    </w:tblStylePr>
    <w:tblStylePr w:type="lastRow">
      <w:pPr>
        <w:spacing w:before="0" w:after="0" w:line="240" w:lineRule="auto"/>
      </w:pPr>
      <w:rPr>
        <w:b/>
        <w:bCs/>
      </w:rPr>
      <w:tblPr/>
      <w:tcPr>
        <w:tcBorders>
          <w:top w:val="double" w:sz="6" w:space="0" w:color="88B9B6" w:themeColor="accent2"/>
          <w:left w:val="single" w:sz="8" w:space="0" w:color="88B9B6" w:themeColor="accent2"/>
          <w:bottom w:val="single" w:sz="8" w:space="0" w:color="88B9B6" w:themeColor="accent2"/>
          <w:right w:val="single" w:sz="8" w:space="0" w:color="88B9B6" w:themeColor="accent2"/>
        </w:tcBorders>
      </w:tcPr>
    </w:tblStylePr>
    <w:tblStylePr w:type="firstCol">
      <w:rPr>
        <w:b/>
        <w:bCs/>
      </w:rPr>
    </w:tblStylePr>
    <w:tblStylePr w:type="lastCol">
      <w:rPr>
        <w:b/>
        <w:bCs/>
      </w:rPr>
    </w:tblStylePr>
    <w:tblStylePr w:type="band1Vert">
      <w:tblPr/>
      <w:tcPr>
        <w:tcBorders>
          <w:top w:val="single" w:sz="8" w:space="0" w:color="88B9B6" w:themeColor="accent2"/>
          <w:left w:val="single" w:sz="8" w:space="0" w:color="88B9B6" w:themeColor="accent2"/>
          <w:bottom w:val="single" w:sz="8" w:space="0" w:color="88B9B6" w:themeColor="accent2"/>
          <w:right w:val="single" w:sz="8" w:space="0" w:color="88B9B6" w:themeColor="accent2"/>
        </w:tcBorders>
      </w:tcPr>
    </w:tblStylePr>
    <w:tblStylePr w:type="band1Horz">
      <w:tblPr/>
      <w:tcPr>
        <w:tcBorders>
          <w:top w:val="single" w:sz="8" w:space="0" w:color="88B9B6" w:themeColor="accent2"/>
          <w:left w:val="single" w:sz="8" w:space="0" w:color="88B9B6" w:themeColor="accent2"/>
          <w:bottom w:val="single" w:sz="8" w:space="0" w:color="88B9B6" w:themeColor="accent2"/>
          <w:right w:val="single" w:sz="8" w:space="0" w:color="88B9B6" w:themeColor="accent2"/>
        </w:tcBorders>
      </w:tcPr>
    </w:tblStylePr>
  </w:style>
  <w:style w:type="character" w:styleId="Emphasis">
    <w:name w:val="Emphasis"/>
    <w:basedOn w:val="DefaultParagraphFont"/>
    <w:uiPriority w:val="20"/>
    <w:qFormat/>
    <w:rsid w:val="00C208C1"/>
    <w:rPr>
      <w:i/>
      <w:iCs/>
    </w:rPr>
  </w:style>
  <w:style w:type="paragraph" w:customStyle="1" w:styleId="Classification">
    <w:name w:val="Classification"/>
    <w:basedOn w:val="Normal"/>
    <w:rsid w:val="007A5D62"/>
    <w:pPr>
      <w:keepNext/>
      <w:spacing w:after="0" w:line="240" w:lineRule="auto"/>
      <w:jc w:val="center"/>
    </w:pPr>
    <w:rPr>
      <w:rFonts w:ascii="Arial" w:eastAsia="Times New Roman" w:hAnsi="Arial" w:cs="Times New Roman"/>
      <w:b/>
      <w:smallCaps/>
      <w:sz w:val="24"/>
      <w:szCs w:val="20"/>
      <w:lang w:eastAsia="en-AU"/>
    </w:rPr>
  </w:style>
  <w:style w:type="paragraph" w:customStyle="1" w:styleId="FileProperties">
    <w:name w:val="File Properties"/>
    <w:basedOn w:val="Normal"/>
    <w:rsid w:val="007A5D62"/>
    <w:pPr>
      <w:spacing w:line="260" w:lineRule="exact"/>
    </w:pPr>
    <w:rPr>
      <w:rFonts w:ascii="Book Antiqua" w:eastAsia="Times New Roman" w:hAnsi="Book Antiqua" w:cs="Times New Roman"/>
      <w:i/>
      <w:sz w:val="20"/>
      <w:szCs w:val="20"/>
      <w:lang w:eastAsia="en-AU"/>
    </w:rPr>
  </w:style>
  <w:style w:type="character" w:customStyle="1" w:styleId="FramedHeader">
    <w:name w:val="Framed Header"/>
    <w:basedOn w:val="DefaultParagraphFont"/>
    <w:rsid w:val="007A5D62"/>
    <w:rPr>
      <w:rFonts w:ascii="Book Antiqua" w:hAnsi="Book Antiqua"/>
      <w:i/>
      <w:dstrike w:val="0"/>
      <w:color w:val="auto"/>
      <w:sz w:val="20"/>
      <w:vertAlign w:val="baseline"/>
    </w:rPr>
  </w:style>
  <w:style w:type="paragraph" w:customStyle="1" w:styleId="Normal-Indent">
    <w:name w:val="Normal - Indent"/>
    <w:basedOn w:val="Normal"/>
    <w:rsid w:val="00E46246"/>
    <w:pPr>
      <w:tabs>
        <w:tab w:val="left" w:pos="425"/>
      </w:tabs>
      <w:ind w:left="425"/>
    </w:pPr>
  </w:style>
  <w:style w:type="paragraph" w:customStyle="1" w:styleId="OutlineNumbered1-Bold">
    <w:name w:val="Outline Numbered 1 - Bold"/>
    <w:basedOn w:val="OutlineNumbered1"/>
    <w:rsid w:val="00E46246"/>
    <w:pPr>
      <w:numPr>
        <w:numId w:val="2"/>
      </w:numPr>
    </w:pPr>
    <w:rPr>
      <w:b/>
    </w:rPr>
  </w:style>
  <w:style w:type="paragraph" w:customStyle="1" w:styleId="ChartGraphic">
    <w:name w:val="Chart Graphic"/>
    <w:basedOn w:val="Normal"/>
    <w:next w:val="Normal"/>
    <w:link w:val="ChartGraphicChar"/>
    <w:rsid w:val="002D4A85"/>
    <w:pPr>
      <w:spacing w:after="0" w:line="240" w:lineRule="auto"/>
      <w:jc w:val="center"/>
    </w:pPr>
    <w:rPr>
      <w:sz w:val="20"/>
    </w:rPr>
  </w:style>
  <w:style w:type="character" w:customStyle="1" w:styleId="ChartGraphicChar">
    <w:name w:val="Chart Graphic Char"/>
    <w:basedOn w:val="DefaultParagraphFont"/>
    <w:link w:val="ChartGraphic"/>
    <w:rsid w:val="002D4A85"/>
    <w:rPr>
      <w:rFonts w:ascii="Calibri" w:hAnsi="Calibri"/>
      <w:sz w:val="20"/>
    </w:rPr>
  </w:style>
  <w:style w:type="character" w:customStyle="1" w:styleId="TextChar">
    <w:name w:val="Text Char"/>
    <w:basedOn w:val="DefaultParagraphFont"/>
    <w:link w:val="Text"/>
    <w:locked/>
    <w:rsid w:val="00CE7B07"/>
  </w:style>
  <w:style w:type="paragraph" w:customStyle="1" w:styleId="Text">
    <w:name w:val="Text"/>
    <w:basedOn w:val="Normal"/>
    <w:link w:val="TextChar"/>
    <w:rsid w:val="00CE7B07"/>
    <w:pPr>
      <w:spacing w:after="0" w:line="240" w:lineRule="auto"/>
    </w:pPr>
    <w:rPr>
      <w:rFonts w:asciiTheme="minorHAnsi" w:hAnsiTheme="minorHAnsi"/>
    </w:rPr>
  </w:style>
  <w:style w:type="paragraph" w:styleId="Bibliography">
    <w:name w:val="Bibliography"/>
    <w:basedOn w:val="Normal"/>
    <w:next w:val="Normal"/>
    <w:uiPriority w:val="37"/>
    <w:semiHidden/>
    <w:unhideWhenUsed/>
    <w:rsid w:val="004F7149"/>
  </w:style>
  <w:style w:type="paragraph" w:styleId="BlockText">
    <w:name w:val="Block Text"/>
    <w:basedOn w:val="Normal"/>
    <w:uiPriority w:val="99"/>
    <w:semiHidden/>
    <w:unhideWhenUsed/>
    <w:rsid w:val="004F7149"/>
    <w:pPr>
      <w:pBdr>
        <w:top w:val="single" w:sz="2" w:space="10" w:color="6C97A4" w:themeColor="accent1" w:shadow="1" w:frame="1"/>
        <w:left w:val="single" w:sz="2" w:space="10" w:color="6C97A4" w:themeColor="accent1" w:shadow="1" w:frame="1"/>
        <w:bottom w:val="single" w:sz="2" w:space="10" w:color="6C97A4" w:themeColor="accent1" w:shadow="1" w:frame="1"/>
        <w:right w:val="single" w:sz="2" w:space="10" w:color="6C97A4" w:themeColor="accent1" w:shadow="1" w:frame="1"/>
      </w:pBdr>
      <w:ind w:left="1152" w:right="1152"/>
    </w:pPr>
    <w:rPr>
      <w:rFonts w:asciiTheme="minorHAnsi" w:eastAsiaTheme="minorEastAsia" w:hAnsiTheme="minorHAnsi"/>
      <w:i/>
      <w:iCs/>
      <w:color w:val="6C97A4" w:themeColor="accent1"/>
    </w:rPr>
  </w:style>
  <w:style w:type="paragraph" w:styleId="BodyText">
    <w:name w:val="Body Text"/>
    <w:basedOn w:val="Normal"/>
    <w:link w:val="BodyTextChar"/>
    <w:uiPriority w:val="99"/>
    <w:semiHidden/>
    <w:unhideWhenUsed/>
    <w:rsid w:val="004F7149"/>
    <w:pPr>
      <w:spacing w:after="120"/>
    </w:pPr>
  </w:style>
  <w:style w:type="character" w:customStyle="1" w:styleId="BodyTextChar">
    <w:name w:val="Body Text Char"/>
    <w:basedOn w:val="DefaultParagraphFont"/>
    <w:link w:val="BodyText"/>
    <w:uiPriority w:val="99"/>
    <w:semiHidden/>
    <w:rsid w:val="004F7149"/>
    <w:rPr>
      <w:rFonts w:ascii="Calibri" w:hAnsi="Calibri"/>
    </w:rPr>
  </w:style>
  <w:style w:type="paragraph" w:styleId="BodyText2">
    <w:name w:val="Body Text 2"/>
    <w:basedOn w:val="Normal"/>
    <w:link w:val="BodyText2Char"/>
    <w:uiPriority w:val="99"/>
    <w:semiHidden/>
    <w:unhideWhenUsed/>
    <w:rsid w:val="004F7149"/>
    <w:pPr>
      <w:spacing w:after="120" w:line="480" w:lineRule="auto"/>
    </w:pPr>
  </w:style>
  <w:style w:type="character" w:customStyle="1" w:styleId="BodyText2Char">
    <w:name w:val="Body Text 2 Char"/>
    <w:basedOn w:val="DefaultParagraphFont"/>
    <w:link w:val="BodyText2"/>
    <w:uiPriority w:val="99"/>
    <w:semiHidden/>
    <w:rsid w:val="004F7149"/>
    <w:rPr>
      <w:rFonts w:ascii="Calibri" w:hAnsi="Calibri"/>
    </w:rPr>
  </w:style>
  <w:style w:type="paragraph" w:styleId="BodyText3">
    <w:name w:val="Body Text 3"/>
    <w:basedOn w:val="Normal"/>
    <w:link w:val="BodyText3Char"/>
    <w:uiPriority w:val="99"/>
    <w:semiHidden/>
    <w:unhideWhenUsed/>
    <w:rsid w:val="004F7149"/>
    <w:pPr>
      <w:spacing w:after="120"/>
    </w:pPr>
    <w:rPr>
      <w:sz w:val="16"/>
      <w:szCs w:val="16"/>
    </w:rPr>
  </w:style>
  <w:style w:type="character" w:customStyle="1" w:styleId="BodyText3Char">
    <w:name w:val="Body Text 3 Char"/>
    <w:basedOn w:val="DefaultParagraphFont"/>
    <w:link w:val="BodyText3"/>
    <w:uiPriority w:val="99"/>
    <w:semiHidden/>
    <w:rsid w:val="004F7149"/>
    <w:rPr>
      <w:rFonts w:ascii="Calibri" w:hAnsi="Calibri"/>
      <w:sz w:val="16"/>
      <w:szCs w:val="16"/>
    </w:rPr>
  </w:style>
  <w:style w:type="paragraph" w:styleId="BodyTextFirstIndent">
    <w:name w:val="Body Text First Indent"/>
    <w:basedOn w:val="BodyText"/>
    <w:link w:val="BodyTextFirstIndentChar"/>
    <w:uiPriority w:val="99"/>
    <w:semiHidden/>
    <w:unhideWhenUsed/>
    <w:rsid w:val="004F7149"/>
    <w:pPr>
      <w:spacing w:after="200"/>
      <w:ind w:firstLine="360"/>
    </w:pPr>
  </w:style>
  <w:style w:type="character" w:customStyle="1" w:styleId="BodyTextFirstIndentChar">
    <w:name w:val="Body Text First Indent Char"/>
    <w:basedOn w:val="BodyTextChar"/>
    <w:link w:val="BodyTextFirstIndent"/>
    <w:uiPriority w:val="99"/>
    <w:semiHidden/>
    <w:rsid w:val="004F7149"/>
    <w:rPr>
      <w:rFonts w:ascii="Calibri" w:hAnsi="Calibri"/>
    </w:rPr>
  </w:style>
  <w:style w:type="paragraph" w:styleId="BodyTextIndent">
    <w:name w:val="Body Text Indent"/>
    <w:basedOn w:val="Normal"/>
    <w:link w:val="BodyTextIndentChar"/>
    <w:uiPriority w:val="99"/>
    <w:semiHidden/>
    <w:unhideWhenUsed/>
    <w:rsid w:val="004F7149"/>
    <w:pPr>
      <w:spacing w:after="120"/>
      <w:ind w:left="283"/>
    </w:pPr>
  </w:style>
  <w:style w:type="character" w:customStyle="1" w:styleId="BodyTextIndentChar">
    <w:name w:val="Body Text Indent Char"/>
    <w:basedOn w:val="DefaultParagraphFont"/>
    <w:link w:val="BodyTextIndent"/>
    <w:uiPriority w:val="99"/>
    <w:semiHidden/>
    <w:rsid w:val="004F7149"/>
    <w:rPr>
      <w:rFonts w:ascii="Calibri" w:hAnsi="Calibri"/>
    </w:rPr>
  </w:style>
  <w:style w:type="paragraph" w:styleId="BodyTextFirstIndent2">
    <w:name w:val="Body Text First Indent 2"/>
    <w:basedOn w:val="BodyTextIndent"/>
    <w:link w:val="BodyTextFirstIndent2Char"/>
    <w:uiPriority w:val="99"/>
    <w:semiHidden/>
    <w:unhideWhenUsed/>
    <w:rsid w:val="004F7149"/>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4F7149"/>
    <w:rPr>
      <w:rFonts w:ascii="Calibri" w:hAnsi="Calibri"/>
    </w:rPr>
  </w:style>
  <w:style w:type="paragraph" w:styleId="BodyTextIndent2">
    <w:name w:val="Body Text Indent 2"/>
    <w:basedOn w:val="Normal"/>
    <w:link w:val="BodyTextIndent2Char"/>
    <w:uiPriority w:val="99"/>
    <w:semiHidden/>
    <w:unhideWhenUsed/>
    <w:rsid w:val="004F7149"/>
    <w:pPr>
      <w:spacing w:after="120" w:line="480" w:lineRule="auto"/>
      <w:ind w:left="283"/>
    </w:pPr>
  </w:style>
  <w:style w:type="character" w:customStyle="1" w:styleId="BodyTextIndent2Char">
    <w:name w:val="Body Text Indent 2 Char"/>
    <w:basedOn w:val="DefaultParagraphFont"/>
    <w:link w:val="BodyTextIndent2"/>
    <w:uiPriority w:val="99"/>
    <w:semiHidden/>
    <w:rsid w:val="004F7149"/>
    <w:rPr>
      <w:rFonts w:ascii="Calibri" w:hAnsi="Calibri"/>
    </w:rPr>
  </w:style>
  <w:style w:type="paragraph" w:styleId="BodyTextIndent3">
    <w:name w:val="Body Text Indent 3"/>
    <w:basedOn w:val="Normal"/>
    <w:link w:val="BodyTextIndent3Char"/>
    <w:uiPriority w:val="99"/>
    <w:semiHidden/>
    <w:unhideWhenUsed/>
    <w:rsid w:val="004F714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F7149"/>
    <w:rPr>
      <w:rFonts w:ascii="Calibri" w:hAnsi="Calibri"/>
      <w:sz w:val="16"/>
      <w:szCs w:val="16"/>
    </w:rPr>
  </w:style>
  <w:style w:type="paragraph" w:styleId="Caption">
    <w:name w:val="caption"/>
    <w:basedOn w:val="Normal"/>
    <w:next w:val="Normal"/>
    <w:uiPriority w:val="35"/>
    <w:semiHidden/>
    <w:unhideWhenUsed/>
    <w:qFormat/>
    <w:rsid w:val="004F7149"/>
    <w:pPr>
      <w:spacing w:line="240" w:lineRule="auto"/>
    </w:pPr>
    <w:rPr>
      <w:b/>
      <w:bCs/>
      <w:color w:val="6C97A4" w:themeColor="accent1"/>
      <w:sz w:val="18"/>
      <w:szCs w:val="18"/>
    </w:rPr>
  </w:style>
  <w:style w:type="paragraph" w:styleId="Closing">
    <w:name w:val="Closing"/>
    <w:basedOn w:val="Normal"/>
    <w:link w:val="ClosingChar"/>
    <w:uiPriority w:val="99"/>
    <w:semiHidden/>
    <w:unhideWhenUsed/>
    <w:rsid w:val="004F7149"/>
    <w:pPr>
      <w:spacing w:after="0" w:line="240" w:lineRule="auto"/>
      <w:ind w:left="4252"/>
    </w:pPr>
  </w:style>
  <w:style w:type="character" w:customStyle="1" w:styleId="ClosingChar">
    <w:name w:val="Closing Char"/>
    <w:basedOn w:val="DefaultParagraphFont"/>
    <w:link w:val="Closing"/>
    <w:uiPriority w:val="99"/>
    <w:semiHidden/>
    <w:rsid w:val="004F7149"/>
    <w:rPr>
      <w:rFonts w:ascii="Calibri" w:hAnsi="Calibri"/>
    </w:rPr>
  </w:style>
  <w:style w:type="paragraph" w:styleId="Date">
    <w:name w:val="Date"/>
    <w:basedOn w:val="Normal"/>
    <w:next w:val="Normal"/>
    <w:link w:val="DateChar"/>
    <w:uiPriority w:val="99"/>
    <w:semiHidden/>
    <w:unhideWhenUsed/>
    <w:rsid w:val="004F7149"/>
  </w:style>
  <w:style w:type="character" w:customStyle="1" w:styleId="DateChar">
    <w:name w:val="Date Char"/>
    <w:basedOn w:val="DefaultParagraphFont"/>
    <w:link w:val="Date"/>
    <w:uiPriority w:val="99"/>
    <w:semiHidden/>
    <w:rsid w:val="004F7149"/>
    <w:rPr>
      <w:rFonts w:ascii="Calibri" w:hAnsi="Calibri"/>
    </w:rPr>
  </w:style>
  <w:style w:type="paragraph" w:styleId="DocumentMap">
    <w:name w:val="Document Map"/>
    <w:basedOn w:val="Normal"/>
    <w:link w:val="DocumentMapChar"/>
    <w:uiPriority w:val="99"/>
    <w:semiHidden/>
    <w:unhideWhenUsed/>
    <w:rsid w:val="004F714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F7149"/>
    <w:rPr>
      <w:rFonts w:ascii="Tahoma" w:hAnsi="Tahoma" w:cs="Tahoma"/>
      <w:sz w:val="16"/>
      <w:szCs w:val="16"/>
    </w:rPr>
  </w:style>
  <w:style w:type="paragraph" w:styleId="E-mailSignature">
    <w:name w:val="E-mail Signature"/>
    <w:basedOn w:val="Normal"/>
    <w:link w:val="E-mailSignatureChar"/>
    <w:uiPriority w:val="99"/>
    <w:semiHidden/>
    <w:unhideWhenUsed/>
    <w:rsid w:val="004F7149"/>
    <w:pPr>
      <w:spacing w:after="0" w:line="240" w:lineRule="auto"/>
    </w:pPr>
  </w:style>
  <w:style w:type="character" w:customStyle="1" w:styleId="E-mailSignatureChar">
    <w:name w:val="E-mail Signature Char"/>
    <w:basedOn w:val="DefaultParagraphFont"/>
    <w:link w:val="E-mailSignature"/>
    <w:uiPriority w:val="99"/>
    <w:semiHidden/>
    <w:rsid w:val="004F7149"/>
    <w:rPr>
      <w:rFonts w:ascii="Calibri" w:hAnsi="Calibri"/>
    </w:rPr>
  </w:style>
  <w:style w:type="paragraph" w:styleId="EnvelopeAddress">
    <w:name w:val="envelope address"/>
    <w:basedOn w:val="Normal"/>
    <w:uiPriority w:val="99"/>
    <w:semiHidden/>
    <w:unhideWhenUsed/>
    <w:rsid w:val="004F714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F7149"/>
    <w:pPr>
      <w:spacing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rsid w:val="004F7149"/>
    <w:rPr>
      <w:rFonts w:asciiTheme="majorHAnsi" w:eastAsiaTheme="majorEastAsia" w:hAnsiTheme="majorHAnsi" w:cstheme="majorBidi"/>
      <w:i/>
      <w:iCs/>
      <w:color w:val="0082A6" w:themeColor="text1" w:themeTint="BF"/>
    </w:rPr>
  </w:style>
  <w:style w:type="character" w:customStyle="1" w:styleId="Heading8Char">
    <w:name w:val="Heading 8 Char"/>
    <w:basedOn w:val="DefaultParagraphFont"/>
    <w:link w:val="Heading8"/>
    <w:uiPriority w:val="9"/>
    <w:rsid w:val="004F7149"/>
    <w:rPr>
      <w:rFonts w:asciiTheme="majorHAnsi" w:eastAsiaTheme="majorEastAsia" w:hAnsiTheme="majorHAnsi" w:cstheme="majorBidi"/>
      <w:color w:val="0082A6" w:themeColor="text1" w:themeTint="BF"/>
      <w:sz w:val="20"/>
      <w:szCs w:val="20"/>
    </w:rPr>
  </w:style>
  <w:style w:type="character" w:customStyle="1" w:styleId="Heading9Char">
    <w:name w:val="Heading 9 Char"/>
    <w:basedOn w:val="DefaultParagraphFont"/>
    <w:link w:val="Heading9"/>
    <w:uiPriority w:val="9"/>
    <w:semiHidden/>
    <w:rsid w:val="004F7149"/>
    <w:rPr>
      <w:rFonts w:asciiTheme="majorHAnsi" w:eastAsiaTheme="majorEastAsia" w:hAnsiTheme="majorHAnsi" w:cstheme="majorBidi"/>
      <w:i/>
      <w:iCs/>
      <w:color w:val="0082A6" w:themeColor="text1" w:themeTint="BF"/>
      <w:sz w:val="20"/>
      <w:szCs w:val="20"/>
    </w:rPr>
  </w:style>
  <w:style w:type="paragraph" w:styleId="HTMLAddress">
    <w:name w:val="HTML Address"/>
    <w:basedOn w:val="Normal"/>
    <w:link w:val="HTMLAddressChar"/>
    <w:uiPriority w:val="99"/>
    <w:semiHidden/>
    <w:unhideWhenUsed/>
    <w:rsid w:val="004F7149"/>
    <w:pPr>
      <w:spacing w:after="0" w:line="240" w:lineRule="auto"/>
    </w:pPr>
    <w:rPr>
      <w:i/>
      <w:iCs/>
    </w:rPr>
  </w:style>
  <w:style w:type="character" w:customStyle="1" w:styleId="HTMLAddressChar">
    <w:name w:val="HTML Address Char"/>
    <w:basedOn w:val="DefaultParagraphFont"/>
    <w:link w:val="HTMLAddress"/>
    <w:uiPriority w:val="99"/>
    <w:semiHidden/>
    <w:rsid w:val="004F7149"/>
    <w:rPr>
      <w:rFonts w:ascii="Calibri" w:hAnsi="Calibri"/>
      <w:i/>
      <w:iCs/>
    </w:rPr>
  </w:style>
  <w:style w:type="paragraph" w:styleId="HTMLPreformatted">
    <w:name w:val="HTML Preformatted"/>
    <w:basedOn w:val="Normal"/>
    <w:link w:val="HTMLPreformattedChar"/>
    <w:uiPriority w:val="99"/>
    <w:semiHidden/>
    <w:unhideWhenUsed/>
    <w:rsid w:val="004F714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F7149"/>
    <w:rPr>
      <w:rFonts w:ascii="Consolas" w:hAnsi="Consolas"/>
      <w:sz w:val="20"/>
      <w:szCs w:val="20"/>
    </w:rPr>
  </w:style>
  <w:style w:type="paragraph" w:styleId="Index1">
    <w:name w:val="index 1"/>
    <w:basedOn w:val="Normal"/>
    <w:next w:val="Normal"/>
    <w:autoRedefine/>
    <w:uiPriority w:val="99"/>
    <w:semiHidden/>
    <w:unhideWhenUsed/>
    <w:rsid w:val="004F7149"/>
    <w:pPr>
      <w:spacing w:after="0" w:line="240" w:lineRule="auto"/>
      <w:ind w:left="220" w:hanging="220"/>
    </w:pPr>
  </w:style>
  <w:style w:type="paragraph" w:styleId="Index2">
    <w:name w:val="index 2"/>
    <w:basedOn w:val="Normal"/>
    <w:next w:val="Normal"/>
    <w:autoRedefine/>
    <w:uiPriority w:val="99"/>
    <w:semiHidden/>
    <w:unhideWhenUsed/>
    <w:rsid w:val="004F7149"/>
    <w:pPr>
      <w:spacing w:after="0" w:line="240" w:lineRule="auto"/>
      <w:ind w:left="440" w:hanging="220"/>
    </w:pPr>
  </w:style>
  <w:style w:type="paragraph" w:styleId="Index3">
    <w:name w:val="index 3"/>
    <w:basedOn w:val="Normal"/>
    <w:next w:val="Normal"/>
    <w:autoRedefine/>
    <w:uiPriority w:val="99"/>
    <w:semiHidden/>
    <w:unhideWhenUsed/>
    <w:rsid w:val="004F7149"/>
    <w:pPr>
      <w:spacing w:after="0" w:line="240" w:lineRule="auto"/>
      <w:ind w:left="660" w:hanging="220"/>
    </w:pPr>
  </w:style>
  <w:style w:type="paragraph" w:styleId="Index4">
    <w:name w:val="index 4"/>
    <w:basedOn w:val="Normal"/>
    <w:next w:val="Normal"/>
    <w:autoRedefine/>
    <w:uiPriority w:val="99"/>
    <w:semiHidden/>
    <w:unhideWhenUsed/>
    <w:rsid w:val="004F7149"/>
    <w:pPr>
      <w:spacing w:after="0" w:line="240" w:lineRule="auto"/>
      <w:ind w:left="880" w:hanging="220"/>
    </w:pPr>
  </w:style>
  <w:style w:type="paragraph" w:styleId="Index5">
    <w:name w:val="index 5"/>
    <w:basedOn w:val="Normal"/>
    <w:next w:val="Normal"/>
    <w:autoRedefine/>
    <w:uiPriority w:val="99"/>
    <w:semiHidden/>
    <w:unhideWhenUsed/>
    <w:rsid w:val="004F7149"/>
    <w:pPr>
      <w:spacing w:after="0" w:line="240" w:lineRule="auto"/>
      <w:ind w:left="1100" w:hanging="220"/>
    </w:pPr>
  </w:style>
  <w:style w:type="paragraph" w:styleId="Index6">
    <w:name w:val="index 6"/>
    <w:basedOn w:val="Normal"/>
    <w:next w:val="Normal"/>
    <w:autoRedefine/>
    <w:uiPriority w:val="99"/>
    <w:semiHidden/>
    <w:unhideWhenUsed/>
    <w:rsid w:val="004F7149"/>
    <w:pPr>
      <w:spacing w:after="0" w:line="240" w:lineRule="auto"/>
      <w:ind w:left="1320" w:hanging="220"/>
    </w:pPr>
  </w:style>
  <w:style w:type="paragraph" w:styleId="Index7">
    <w:name w:val="index 7"/>
    <w:basedOn w:val="Normal"/>
    <w:next w:val="Normal"/>
    <w:autoRedefine/>
    <w:uiPriority w:val="99"/>
    <w:semiHidden/>
    <w:unhideWhenUsed/>
    <w:rsid w:val="004F7149"/>
    <w:pPr>
      <w:spacing w:after="0" w:line="240" w:lineRule="auto"/>
      <w:ind w:left="1540" w:hanging="220"/>
    </w:pPr>
  </w:style>
  <w:style w:type="paragraph" w:styleId="Index8">
    <w:name w:val="index 8"/>
    <w:basedOn w:val="Normal"/>
    <w:next w:val="Normal"/>
    <w:autoRedefine/>
    <w:uiPriority w:val="99"/>
    <w:semiHidden/>
    <w:unhideWhenUsed/>
    <w:rsid w:val="004F7149"/>
    <w:pPr>
      <w:spacing w:after="0" w:line="240" w:lineRule="auto"/>
      <w:ind w:left="1760" w:hanging="220"/>
    </w:pPr>
  </w:style>
  <w:style w:type="paragraph" w:styleId="Index9">
    <w:name w:val="index 9"/>
    <w:basedOn w:val="Normal"/>
    <w:next w:val="Normal"/>
    <w:autoRedefine/>
    <w:uiPriority w:val="99"/>
    <w:semiHidden/>
    <w:unhideWhenUsed/>
    <w:rsid w:val="004F7149"/>
    <w:pPr>
      <w:spacing w:after="0" w:line="240" w:lineRule="auto"/>
      <w:ind w:left="1980" w:hanging="220"/>
    </w:pPr>
  </w:style>
  <w:style w:type="paragraph" w:styleId="IndexHeading">
    <w:name w:val="index heading"/>
    <w:basedOn w:val="Normal"/>
    <w:next w:val="Index1"/>
    <w:uiPriority w:val="99"/>
    <w:semiHidden/>
    <w:unhideWhenUsed/>
    <w:rsid w:val="004F714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7149"/>
    <w:pPr>
      <w:pBdr>
        <w:bottom w:val="single" w:sz="4" w:space="4" w:color="6C97A4" w:themeColor="accent1"/>
      </w:pBdr>
      <w:spacing w:before="200" w:after="280"/>
      <w:ind w:left="936" w:right="936"/>
    </w:pPr>
    <w:rPr>
      <w:b/>
      <w:bCs/>
      <w:i/>
      <w:iCs/>
      <w:color w:val="6C97A4" w:themeColor="accent1"/>
    </w:rPr>
  </w:style>
  <w:style w:type="character" w:customStyle="1" w:styleId="IntenseQuoteChar">
    <w:name w:val="Intense Quote Char"/>
    <w:basedOn w:val="DefaultParagraphFont"/>
    <w:link w:val="IntenseQuote"/>
    <w:uiPriority w:val="30"/>
    <w:rsid w:val="004F7149"/>
    <w:rPr>
      <w:rFonts w:ascii="Calibri" w:hAnsi="Calibri"/>
      <w:b/>
      <w:bCs/>
      <w:i/>
      <w:iCs/>
      <w:color w:val="6C97A4" w:themeColor="accent1"/>
    </w:rPr>
  </w:style>
  <w:style w:type="paragraph" w:styleId="List">
    <w:name w:val="List"/>
    <w:basedOn w:val="Normal"/>
    <w:uiPriority w:val="99"/>
    <w:semiHidden/>
    <w:unhideWhenUsed/>
    <w:rsid w:val="004F7149"/>
    <w:pPr>
      <w:ind w:left="283" w:hanging="283"/>
      <w:contextualSpacing/>
    </w:pPr>
  </w:style>
  <w:style w:type="paragraph" w:styleId="List2">
    <w:name w:val="List 2"/>
    <w:basedOn w:val="Normal"/>
    <w:uiPriority w:val="99"/>
    <w:semiHidden/>
    <w:unhideWhenUsed/>
    <w:rsid w:val="004F7149"/>
    <w:pPr>
      <w:ind w:left="566" w:hanging="283"/>
      <w:contextualSpacing/>
    </w:pPr>
  </w:style>
  <w:style w:type="paragraph" w:styleId="List3">
    <w:name w:val="List 3"/>
    <w:basedOn w:val="Normal"/>
    <w:uiPriority w:val="99"/>
    <w:semiHidden/>
    <w:unhideWhenUsed/>
    <w:rsid w:val="004F7149"/>
    <w:pPr>
      <w:ind w:left="849" w:hanging="283"/>
      <w:contextualSpacing/>
    </w:pPr>
  </w:style>
  <w:style w:type="paragraph" w:styleId="List4">
    <w:name w:val="List 4"/>
    <w:basedOn w:val="Normal"/>
    <w:uiPriority w:val="99"/>
    <w:semiHidden/>
    <w:unhideWhenUsed/>
    <w:rsid w:val="004F7149"/>
    <w:pPr>
      <w:ind w:left="1132" w:hanging="283"/>
      <w:contextualSpacing/>
    </w:pPr>
  </w:style>
  <w:style w:type="paragraph" w:styleId="List5">
    <w:name w:val="List 5"/>
    <w:basedOn w:val="Normal"/>
    <w:uiPriority w:val="99"/>
    <w:semiHidden/>
    <w:unhideWhenUsed/>
    <w:rsid w:val="004F7149"/>
    <w:pPr>
      <w:ind w:left="1415" w:hanging="283"/>
      <w:contextualSpacing/>
    </w:pPr>
  </w:style>
  <w:style w:type="paragraph" w:styleId="ListBullet">
    <w:name w:val="List Bullet"/>
    <w:basedOn w:val="Normal"/>
    <w:uiPriority w:val="99"/>
    <w:semiHidden/>
    <w:unhideWhenUsed/>
    <w:rsid w:val="004F7149"/>
    <w:pPr>
      <w:numPr>
        <w:numId w:val="10"/>
      </w:numPr>
      <w:contextualSpacing/>
    </w:pPr>
  </w:style>
  <w:style w:type="paragraph" w:styleId="ListBullet2">
    <w:name w:val="List Bullet 2"/>
    <w:basedOn w:val="Normal"/>
    <w:uiPriority w:val="99"/>
    <w:semiHidden/>
    <w:unhideWhenUsed/>
    <w:rsid w:val="004F7149"/>
    <w:pPr>
      <w:numPr>
        <w:numId w:val="11"/>
      </w:numPr>
      <w:contextualSpacing/>
    </w:pPr>
  </w:style>
  <w:style w:type="paragraph" w:styleId="ListBullet3">
    <w:name w:val="List Bullet 3"/>
    <w:basedOn w:val="Normal"/>
    <w:uiPriority w:val="99"/>
    <w:semiHidden/>
    <w:unhideWhenUsed/>
    <w:rsid w:val="004F7149"/>
    <w:pPr>
      <w:numPr>
        <w:numId w:val="12"/>
      </w:numPr>
      <w:contextualSpacing/>
    </w:pPr>
  </w:style>
  <w:style w:type="paragraph" w:styleId="ListBullet4">
    <w:name w:val="List Bullet 4"/>
    <w:basedOn w:val="Normal"/>
    <w:uiPriority w:val="99"/>
    <w:semiHidden/>
    <w:unhideWhenUsed/>
    <w:rsid w:val="004F7149"/>
    <w:pPr>
      <w:numPr>
        <w:numId w:val="13"/>
      </w:numPr>
      <w:contextualSpacing/>
    </w:pPr>
  </w:style>
  <w:style w:type="paragraph" w:styleId="ListBullet5">
    <w:name w:val="List Bullet 5"/>
    <w:basedOn w:val="Normal"/>
    <w:uiPriority w:val="99"/>
    <w:semiHidden/>
    <w:unhideWhenUsed/>
    <w:rsid w:val="004F7149"/>
    <w:pPr>
      <w:tabs>
        <w:tab w:val="num" w:pos="1492"/>
      </w:tabs>
      <w:ind w:left="1492" w:hanging="360"/>
      <w:contextualSpacing/>
    </w:pPr>
  </w:style>
  <w:style w:type="paragraph" w:styleId="ListContinue">
    <w:name w:val="List Continue"/>
    <w:basedOn w:val="Normal"/>
    <w:uiPriority w:val="99"/>
    <w:semiHidden/>
    <w:unhideWhenUsed/>
    <w:rsid w:val="004F7149"/>
    <w:pPr>
      <w:spacing w:after="120"/>
      <w:ind w:left="283"/>
      <w:contextualSpacing/>
    </w:pPr>
  </w:style>
  <w:style w:type="paragraph" w:styleId="ListContinue2">
    <w:name w:val="List Continue 2"/>
    <w:basedOn w:val="Normal"/>
    <w:uiPriority w:val="99"/>
    <w:semiHidden/>
    <w:unhideWhenUsed/>
    <w:rsid w:val="004F7149"/>
    <w:pPr>
      <w:spacing w:after="120"/>
      <w:ind w:left="566"/>
      <w:contextualSpacing/>
    </w:pPr>
  </w:style>
  <w:style w:type="paragraph" w:styleId="ListContinue3">
    <w:name w:val="List Continue 3"/>
    <w:basedOn w:val="Normal"/>
    <w:uiPriority w:val="99"/>
    <w:semiHidden/>
    <w:unhideWhenUsed/>
    <w:rsid w:val="004F7149"/>
    <w:pPr>
      <w:spacing w:after="120"/>
      <w:ind w:left="849"/>
      <w:contextualSpacing/>
    </w:pPr>
  </w:style>
  <w:style w:type="paragraph" w:styleId="ListContinue4">
    <w:name w:val="List Continue 4"/>
    <w:basedOn w:val="Normal"/>
    <w:uiPriority w:val="99"/>
    <w:semiHidden/>
    <w:unhideWhenUsed/>
    <w:rsid w:val="004F7149"/>
    <w:pPr>
      <w:spacing w:after="120"/>
      <w:ind w:left="1132"/>
      <w:contextualSpacing/>
    </w:pPr>
  </w:style>
  <w:style w:type="paragraph" w:styleId="ListContinue5">
    <w:name w:val="List Continue 5"/>
    <w:basedOn w:val="Normal"/>
    <w:uiPriority w:val="99"/>
    <w:semiHidden/>
    <w:unhideWhenUsed/>
    <w:rsid w:val="004F7149"/>
    <w:pPr>
      <w:spacing w:after="120"/>
      <w:ind w:left="1415"/>
      <w:contextualSpacing/>
    </w:pPr>
  </w:style>
  <w:style w:type="paragraph" w:styleId="ListNumber">
    <w:name w:val="List Number"/>
    <w:basedOn w:val="Normal"/>
    <w:uiPriority w:val="99"/>
    <w:semiHidden/>
    <w:unhideWhenUsed/>
    <w:rsid w:val="004F7149"/>
    <w:pPr>
      <w:numPr>
        <w:numId w:val="15"/>
      </w:numPr>
      <w:contextualSpacing/>
    </w:pPr>
  </w:style>
  <w:style w:type="paragraph" w:styleId="ListNumber2">
    <w:name w:val="List Number 2"/>
    <w:basedOn w:val="Normal"/>
    <w:uiPriority w:val="99"/>
    <w:semiHidden/>
    <w:unhideWhenUsed/>
    <w:rsid w:val="004F7149"/>
    <w:pPr>
      <w:numPr>
        <w:numId w:val="16"/>
      </w:numPr>
      <w:contextualSpacing/>
    </w:pPr>
  </w:style>
  <w:style w:type="paragraph" w:styleId="ListNumber3">
    <w:name w:val="List Number 3"/>
    <w:basedOn w:val="Normal"/>
    <w:uiPriority w:val="99"/>
    <w:semiHidden/>
    <w:unhideWhenUsed/>
    <w:rsid w:val="004F7149"/>
    <w:pPr>
      <w:numPr>
        <w:numId w:val="17"/>
      </w:numPr>
      <w:contextualSpacing/>
    </w:pPr>
  </w:style>
  <w:style w:type="paragraph" w:styleId="ListNumber4">
    <w:name w:val="List Number 4"/>
    <w:basedOn w:val="Normal"/>
    <w:uiPriority w:val="99"/>
    <w:semiHidden/>
    <w:unhideWhenUsed/>
    <w:rsid w:val="004F7149"/>
    <w:pPr>
      <w:numPr>
        <w:numId w:val="18"/>
      </w:numPr>
      <w:contextualSpacing/>
    </w:pPr>
  </w:style>
  <w:style w:type="paragraph" w:styleId="ListNumber5">
    <w:name w:val="List Number 5"/>
    <w:basedOn w:val="Normal"/>
    <w:uiPriority w:val="99"/>
    <w:semiHidden/>
    <w:unhideWhenUsed/>
    <w:rsid w:val="004F7149"/>
    <w:pPr>
      <w:numPr>
        <w:numId w:val="19"/>
      </w:numPr>
      <w:contextualSpacing/>
    </w:pPr>
  </w:style>
  <w:style w:type="paragraph" w:styleId="MacroText">
    <w:name w:val="macro"/>
    <w:link w:val="MacroTextChar"/>
    <w:uiPriority w:val="99"/>
    <w:semiHidden/>
    <w:unhideWhenUsed/>
    <w:rsid w:val="004F714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F7149"/>
    <w:rPr>
      <w:rFonts w:ascii="Consolas" w:hAnsi="Consolas"/>
      <w:sz w:val="20"/>
      <w:szCs w:val="20"/>
    </w:rPr>
  </w:style>
  <w:style w:type="paragraph" w:styleId="MessageHeader">
    <w:name w:val="Message Header"/>
    <w:basedOn w:val="Normal"/>
    <w:link w:val="MessageHeaderChar"/>
    <w:uiPriority w:val="99"/>
    <w:semiHidden/>
    <w:unhideWhenUsed/>
    <w:rsid w:val="004F714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F7149"/>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4F7149"/>
    <w:pPr>
      <w:ind w:left="720"/>
    </w:pPr>
  </w:style>
  <w:style w:type="paragraph" w:styleId="NoteHeading">
    <w:name w:val="Note Heading"/>
    <w:basedOn w:val="Normal"/>
    <w:next w:val="Normal"/>
    <w:link w:val="NoteHeadingChar"/>
    <w:uiPriority w:val="99"/>
    <w:semiHidden/>
    <w:unhideWhenUsed/>
    <w:rsid w:val="004F7149"/>
    <w:pPr>
      <w:spacing w:after="0" w:line="240" w:lineRule="auto"/>
    </w:pPr>
  </w:style>
  <w:style w:type="character" w:customStyle="1" w:styleId="NoteHeadingChar">
    <w:name w:val="Note Heading Char"/>
    <w:basedOn w:val="DefaultParagraphFont"/>
    <w:link w:val="NoteHeading"/>
    <w:uiPriority w:val="99"/>
    <w:semiHidden/>
    <w:rsid w:val="004F7149"/>
    <w:rPr>
      <w:rFonts w:ascii="Calibri" w:hAnsi="Calibri"/>
    </w:rPr>
  </w:style>
  <w:style w:type="paragraph" w:styleId="PlainText">
    <w:name w:val="Plain Text"/>
    <w:basedOn w:val="Normal"/>
    <w:link w:val="PlainTextChar"/>
    <w:uiPriority w:val="99"/>
    <w:semiHidden/>
    <w:unhideWhenUsed/>
    <w:rsid w:val="004F714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F7149"/>
    <w:rPr>
      <w:rFonts w:ascii="Consolas" w:hAnsi="Consolas"/>
      <w:sz w:val="21"/>
      <w:szCs w:val="21"/>
    </w:rPr>
  </w:style>
  <w:style w:type="paragraph" w:styleId="Quote">
    <w:name w:val="Quote"/>
    <w:basedOn w:val="Normal"/>
    <w:next w:val="Normal"/>
    <w:link w:val="QuoteChar"/>
    <w:uiPriority w:val="29"/>
    <w:qFormat/>
    <w:rsid w:val="004F7149"/>
    <w:rPr>
      <w:i/>
      <w:iCs/>
      <w:color w:val="002833" w:themeColor="text1"/>
    </w:rPr>
  </w:style>
  <w:style w:type="character" w:customStyle="1" w:styleId="QuoteChar">
    <w:name w:val="Quote Char"/>
    <w:basedOn w:val="DefaultParagraphFont"/>
    <w:link w:val="Quote"/>
    <w:uiPriority w:val="29"/>
    <w:rsid w:val="004F7149"/>
    <w:rPr>
      <w:rFonts w:ascii="Calibri" w:hAnsi="Calibri"/>
      <w:i/>
      <w:iCs/>
      <w:color w:val="002833" w:themeColor="text1"/>
    </w:rPr>
  </w:style>
  <w:style w:type="paragraph" w:styleId="Salutation">
    <w:name w:val="Salutation"/>
    <w:basedOn w:val="Normal"/>
    <w:next w:val="Normal"/>
    <w:link w:val="SalutationChar"/>
    <w:uiPriority w:val="99"/>
    <w:semiHidden/>
    <w:unhideWhenUsed/>
    <w:rsid w:val="004F7149"/>
  </w:style>
  <w:style w:type="character" w:customStyle="1" w:styleId="SalutationChar">
    <w:name w:val="Salutation Char"/>
    <w:basedOn w:val="DefaultParagraphFont"/>
    <w:link w:val="Salutation"/>
    <w:uiPriority w:val="99"/>
    <w:semiHidden/>
    <w:rsid w:val="004F7149"/>
    <w:rPr>
      <w:rFonts w:ascii="Calibri" w:hAnsi="Calibri"/>
    </w:rPr>
  </w:style>
  <w:style w:type="paragraph" w:styleId="Signature">
    <w:name w:val="Signature"/>
    <w:basedOn w:val="Normal"/>
    <w:link w:val="SignatureChar"/>
    <w:uiPriority w:val="99"/>
    <w:semiHidden/>
    <w:unhideWhenUsed/>
    <w:rsid w:val="004F7149"/>
    <w:pPr>
      <w:spacing w:after="0" w:line="240" w:lineRule="auto"/>
      <w:ind w:left="4252"/>
    </w:pPr>
  </w:style>
  <w:style w:type="character" w:customStyle="1" w:styleId="SignatureChar">
    <w:name w:val="Signature Char"/>
    <w:basedOn w:val="DefaultParagraphFont"/>
    <w:link w:val="Signature"/>
    <w:uiPriority w:val="99"/>
    <w:semiHidden/>
    <w:rsid w:val="004F7149"/>
    <w:rPr>
      <w:rFonts w:ascii="Calibri" w:hAnsi="Calibri"/>
    </w:rPr>
  </w:style>
  <w:style w:type="paragraph" w:styleId="TableofAuthorities">
    <w:name w:val="table of authorities"/>
    <w:basedOn w:val="Normal"/>
    <w:next w:val="Normal"/>
    <w:uiPriority w:val="99"/>
    <w:semiHidden/>
    <w:unhideWhenUsed/>
    <w:rsid w:val="004F7149"/>
    <w:pPr>
      <w:spacing w:after="0"/>
      <w:ind w:left="220" w:hanging="220"/>
    </w:pPr>
  </w:style>
  <w:style w:type="paragraph" w:styleId="TableofFigures">
    <w:name w:val="table of figures"/>
    <w:basedOn w:val="Normal"/>
    <w:next w:val="Normal"/>
    <w:uiPriority w:val="99"/>
    <w:semiHidden/>
    <w:unhideWhenUsed/>
    <w:rsid w:val="004F7149"/>
    <w:pPr>
      <w:spacing w:after="0"/>
    </w:pPr>
  </w:style>
  <w:style w:type="paragraph" w:styleId="TOAHeading">
    <w:name w:val="toa heading"/>
    <w:basedOn w:val="Normal"/>
    <w:next w:val="Normal"/>
    <w:uiPriority w:val="99"/>
    <w:semiHidden/>
    <w:unhideWhenUsed/>
    <w:rsid w:val="004F7149"/>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FF0F34"/>
    <w:pPr>
      <w:tabs>
        <w:tab w:val="right" w:leader="dot" w:pos="9016"/>
      </w:tabs>
      <w:spacing w:after="100"/>
      <w:ind w:left="851"/>
    </w:pPr>
    <w:rPr>
      <w:rFonts w:ascii="Arial Narrow" w:hAnsi="Arial Narrow"/>
      <w:noProof/>
    </w:rPr>
  </w:style>
  <w:style w:type="paragraph" w:styleId="TOC5">
    <w:name w:val="toc 5"/>
    <w:basedOn w:val="Normal"/>
    <w:next w:val="Normal"/>
    <w:autoRedefine/>
    <w:uiPriority w:val="39"/>
    <w:unhideWhenUsed/>
    <w:rsid w:val="004F7149"/>
    <w:pPr>
      <w:spacing w:after="100"/>
      <w:ind w:left="880"/>
    </w:pPr>
  </w:style>
  <w:style w:type="paragraph" w:styleId="TOC6">
    <w:name w:val="toc 6"/>
    <w:basedOn w:val="Normal"/>
    <w:next w:val="Normal"/>
    <w:autoRedefine/>
    <w:uiPriority w:val="39"/>
    <w:unhideWhenUsed/>
    <w:rsid w:val="004F7149"/>
    <w:pPr>
      <w:spacing w:after="100"/>
      <w:ind w:left="1100"/>
    </w:pPr>
  </w:style>
  <w:style w:type="paragraph" w:styleId="TOC7">
    <w:name w:val="toc 7"/>
    <w:basedOn w:val="Normal"/>
    <w:next w:val="Normal"/>
    <w:autoRedefine/>
    <w:uiPriority w:val="39"/>
    <w:unhideWhenUsed/>
    <w:rsid w:val="004F7149"/>
    <w:pPr>
      <w:spacing w:after="100"/>
      <w:ind w:left="1320"/>
    </w:pPr>
  </w:style>
  <w:style w:type="paragraph" w:styleId="TOC8">
    <w:name w:val="toc 8"/>
    <w:basedOn w:val="Normal"/>
    <w:next w:val="Normal"/>
    <w:autoRedefine/>
    <w:uiPriority w:val="39"/>
    <w:unhideWhenUsed/>
    <w:rsid w:val="004F7149"/>
    <w:pPr>
      <w:spacing w:after="100"/>
      <w:ind w:left="1540"/>
    </w:pPr>
  </w:style>
  <w:style w:type="paragraph" w:styleId="TOC9">
    <w:name w:val="toc 9"/>
    <w:basedOn w:val="Normal"/>
    <w:next w:val="Normal"/>
    <w:autoRedefine/>
    <w:uiPriority w:val="39"/>
    <w:semiHidden/>
    <w:unhideWhenUsed/>
    <w:rsid w:val="004F7149"/>
    <w:pPr>
      <w:spacing w:after="100"/>
      <w:ind w:left="1760"/>
    </w:pPr>
  </w:style>
  <w:style w:type="paragraph" w:customStyle="1" w:styleId="BoxHeading-Recommendation">
    <w:name w:val="Box Heading - Recommendation"/>
    <w:basedOn w:val="Heading3"/>
    <w:qFormat/>
    <w:rsid w:val="00C3259F"/>
    <w:pPr>
      <w:spacing w:before="0" w:after="0"/>
    </w:pPr>
  </w:style>
  <w:style w:type="paragraph" w:customStyle="1" w:styleId="SubTitle0">
    <w:name w:val="Sub Title"/>
    <w:basedOn w:val="Heading3"/>
    <w:rsid w:val="00B105C2"/>
    <w:pPr>
      <w:spacing w:before="600"/>
      <w:outlineLvl w:val="1"/>
    </w:pPr>
  </w:style>
  <w:style w:type="paragraph" w:customStyle="1" w:styleId="FigureGraphic">
    <w:name w:val="Figure Graphic"/>
    <w:basedOn w:val="TableGraphic"/>
    <w:rsid w:val="008F2DDF"/>
    <w:pPr>
      <w:jc w:val="center"/>
    </w:pPr>
    <w:rPr>
      <w:noProof/>
    </w:rPr>
  </w:style>
  <w:style w:type="paragraph" w:customStyle="1" w:styleId="Style1">
    <w:name w:val="Style1"/>
    <w:basedOn w:val="BoxBullet"/>
    <w:link w:val="Style1Char"/>
    <w:qFormat/>
    <w:rsid w:val="00D87570"/>
    <w:pPr>
      <w:numPr>
        <w:numId w:val="0"/>
      </w:numPr>
    </w:pPr>
  </w:style>
  <w:style w:type="numbering" w:customStyle="1" w:styleId="BulletedList">
    <w:name w:val="Bulleted List"/>
    <w:uiPriority w:val="99"/>
    <w:rsid w:val="00CE7E17"/>
    <w:pPr>
      <w:numPr>
        <w:numId w:val="22"/>
      </w:numPr>
    </w:pPr>
  </w:style>
  <w:style w:type="character" w:customStyle="1" w:styleId="BoxHeading-KeyIssuesChar">
    <w:name w:val="Box Heading - Key Issues Char"/>
    <w:basedOn w:val="DefaultParagraphFont"/>
    <w:link w:val="BoxHeading-KeyIssues"/>
    <w:rsid w:val="000262D8"/>
    <w:rPr>
      <w:rFonts w:ascii="Arial Narrow" w:hAnsi="Arial Narrow"/>
      <w:b/>
      <w:caps/>
      <w:color w:val="404040"/>
      <w:sz w:val="36"/>
    </w:rPr>
  </w:style>
  <w:style w:type="character" w:customStyle="1" w:styleId="BoxBulletChar">
    <w:name w:val="Box Bullet Char"/>
    <w:basedOn w:val="BoxHeading-KeyIssuesChar"/>
    <w:link w:val="BoxBullet"/>
    <w:rsid w:val="00377076"/>
    <w:rPr>
      <w:rFonts w:ascii="Arial Narrow" w:hAnsi="Arial Narrow"/>
      <w:b w:val="0"/>
      <w:caps w:val="0"/>
      <w:color w:val="404040"/>
      <w:sz w:val="36"/>
    </w:rPr>
  </w:style>
  <w:style w:type="character" w:customStyle="1" w:styleId="Style1Char">
    <w:name w:val="Style1 Char"/>
    <w:basedOn w:val="BoxBulletChar"/>
    <w:link w:val="Style1"/>
    <w:rsid w:val="00D87570"/>
    <w:rPr>
      <w:rFonts w:ascii="Arial Narrow" w:hAnsi="Arial Narrow"/>
      <w:b w:val="0"/>
      <w:caps w:val="0"/>
      <w:color w:val="404040"/>
      <w:sz w:val="36"/>
    </w:rPr>
  </w:style>
  <w:style w:type="table" w:customStyle="1" w:styleId="TableGrid1">
    <w:name w:val="Table Grid1"/>
    <w:basedOn w:val="TableNormal"/>
    <w:next w:val="TableGrid"/>
    <w:uiPriority w:val="59"/>
    <w:rsid w:val="00EC0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ase">
    <w:name w:val="Heading Base"/>
    <w:next w:val="Normal"/>
    <w:rsid w:val="0026163E"/>
    <w:pPr>
      <w:keepNext/>
      <w:spacing w:after="0" w:line="240" w:lineRule="auto"/>
    </w:pPr>
    <w:rPr>
      <w:rFonts w:asciiTheme="majorHAnsi" w:eastAsia="Times New Roman" w:hAnsiTheme="majorHAnsi" w:cs="Times New Roman"/>
      <w:color w:val="6C97A4" w:themeColor="accent1"/>
      <w:sz w:val="20"/>
      <w:szCs w:val="20"/>
      <w:lang w:eastAsia="en-AU"/>
    </w:rPr>
  </w:style>
  <w:style w:type="paragraph" w:customStyle="1" w:styleId="OneLevelNumberedParagraph">
    <w:name w:val="One Level Numbered Paragraph"/>
    <w:basedOn w:val="Normal"/>
    <w:rsid w:val="0026163E"/>
    <w:pPr>
      <w:numPr>
        <w:numId w:val="23"/>
      </w:numPr>
      <w:tabs>
        <w:tab w:val="clear" w:pos="520"/>
        <w:tab w:val="num" w:pos="284"/>
      </w:tabs>
      <w:spacing w:line="260" w:lineRule="exact"/>
      <w:ind w:left="284" w:hanging="284"/>
    </w:pPr>
    <w:rPr>
      <w:rFonts w:asciiTheme="minorHAnsi" w:eastAsia="Times New Roman" w:hAnsiTheme="minorHAnsi" w:cs="Times New Roman"/>
      <w:szCs w:val="20"/>
      <w:lang w:eastAsia="en-AU"/>
    </w:rPr>
  </w:style>
  <w:style w:type="numbering" w:customStyle="1" w:styleId="OneLevelList">
    <w:name w:val="OneLevelList"/>
    <w:uiPriority w:val="99"/>
    <w:rsid w:val="0026163E"/>
    <w:pPr>
      <w:numPr>
        <w:numId w:val="24"/>
      </w:numPr>
    </w:pPr>
  </w:style>
  <w:style w:type="paragraph" w:customStyle="1" w:styleId="Style2">
    <w:name w:val="Style2"/>
    <w:basedOn w:val="Dash"/>
    <w:link w:val="Style2Char"/>
    <w:qFormat/>
    <w:rsid w:val="0026163E"/>
    <w:pPr>
      <w:numPr>
        <w:numId w:val="14"/>
      </w:numPr>
      <w:tabs>
        <w:tab w:val="num" w:pos="1040"/>
      </w:tabs>
      <w:spacing w:after="200" w:line="276" w:lineRule="auto"/>
      <w:ind w:left="1040" w:hanging="520"/>
    </w:pPr>
    <w:rPr>
      <w:rFonts w:ascii="Times New Roman" w:eastAsia="Times New Roman" w:hAnsi="Times New Roman" w:cs="Times New Roman"/>
      <w:sz w:val="24"/>
      <w:szCs w:val="24"/>
      <w:lang w:eastAsia="en-AU"/>
    </w:rPr>
  </w:style>
  <w:style w:type="character" w:customStyle="1" w:styleId="Style2Char">
    <w:name w:val="Style2 Char"/>
    <w:basedOn w:val="DashChar"/>
    <w:link w:val="Style2"/>
    <w:rsid w:val="0026163E"/>
    <w:rPr>
      <w:rFonts w:ascii="Times New Roman" w:eastAsia="Times New Roman" w:hAnsi="Times New Roman" w:cs="Times New Roman"/>
      <w:sz w:val="24"/>
      <w:szCs w:val="24"/>
      <w:lang w:eastAsia="en-AU"/>
    </w:rPr>
  </w:style>
  <w:style w:type="paragraph" w:customStyle="1" w:styleId="Style3">
    <w:name w:val="Style3"/>
    <w:basedOn w:val="DoubleDot"/>
    <w:link w:val="Style3Char"/>
    <w:qFormat/>
    <w:rsid w:val="0063312F"/>
    <w:pPr>
      <w:numPr>
        <w:ilvl w:val="0"/>
        <w:numId w:val="0"/>
      </w:numPr>
      <w:tabs>
        <w:tab w:val="num" w:pos="1492"/>
      </w:tabs>
      <w:spacing w:line="260" w:lineRule="exact"/>
      <w:ind w:left="1492" w:hanging="360"/>
    </w:pPr>
    <w:rPr>
      <w:rFonts w:eastAsia="Times New Roman" w:cs="Times New Roman"/>
      <w:i/>
      <w:sz w:val="24"/>
      <w:szCs w:val="24"/>
      <w:lang w:eastAsia="en-AU"/>
    </w:rPr>
  </w:style>
  <w:style w:type="character" w:customStyle="1" w:styleId="Style3Char">
    <w:name w:val="Style3 Char"/>
    <w:basedOn w:val="DoubleDotChar"/>
    <w:link w:val="Style3"/>
    <w:rsid w:val="003A09C2"/>
    <w:rPr>
      <w:rFonts w:ascii="Calibri" w:eastAsia="Times New Roman" w:hAnsi="Calibri" w:cs="Times New Roman"/>
      <w:i/>
      <w:sz w:val="24"/>
      <w:szCs w:val="24"/>
      <w:lang w:eastAsia="en-AU"/>
    </w:rPr>
  </w:style>
  <w:style w:type="paragraph" w:customStyle="1" w:styleId="Style4">
    <w:name w:val="Style4"/>
    <w:basedOn w:val="Heading7"/>
    <w:link w:val="Style4Char"/>
    <w:qFormat/>
    <w:rsid w:val="008063AD"/>
    <w:pPr>
      <w:keepNext w:val="0"/>
      <w:keepLines w:val="0"/>
      <w:spacing w:after="240"/>
      <w:ind w:left="425" w:right="425"/>
      <w:outlineLvl w:val="9"/>
    </w:pPr>
    <w:rPr>
      <w:rFonts w:ascii="Arial" w:hAnsi="Arial"/>
      <w:i w:val="0"/>
      <w:sz w:val="21"/>
    </w:rPr>
  </w:style>
  <w:style w:type="character" w:customStyle="1" w:styleId="Style4Char">
    <w:name w:val="Style4 Char"/>
    <w:basedOn w:val="Heading7Char"/>
    <w:link w:val="Style4"/>
    <w:rsid w:val="008063AD"/>
    <w:rPr>
      <w:rFonts w:ascii="Arial" w:eastAsiaTheme="majorEastAsia" w:hAnsi="Arial" w:cstheme="majorBidi"/>
      <w:i w:val="0"/>
      <w:iCs/>
      <w:color w:val="0082A6" w:themeColor="text1" w:themeTint="BF"/>
      <w:sz w:val="21"/>
    </w:rPr>
  </w:style>
  <w:style w:type="character" w:styleId="IntenseEmphasis">
    <w:name w:val="Intense Emphasis"/>
    <w:basedOn w:val="DefaultParagraphFont"/>
    <w:uiPriority w:val="21"/>
    <w:qFormat/>
    <w:rsid w:val="00522C44"/>
    <w:rPr>
      <w:b/>
      <w:bCs/>
      <w:i/>
      <w:iCs/>
      <w:color w:val="6C97A4" w:themeColor="accent1"/>
    </w:rPr>
  </w:style>
  <w:style w:type="paragraph" w:customStyle="1" w:styleId="Style5">
    <w:name w:val="Style5"/>
    <w:basedOn w:val="Bullet"/>
    <w:link w:val="Style5Char"/>
    <w:qFormat/>
    <w:rsid w:val="005374BC"/>
    <w:pPr>
      <w:spacing w:before="120"/>
    </w:pPr>
    <w:rPr>
      <w:rFonts w:ascii="Arial Narrow" w:hAnsi="Arial Narrow"/>
      <w:color w:val="404040"/>
    </w:rPr>
  </w:style>
  <w:style w:type="character" w:customStyle="1" w:styleId="Style5Char">
    <w:name w:val="Style5 Char"/>
    <w:basedOn w:val="BulletChar"/>
    <w:link w:val="Style5"/>
    <w:rsid w:val="005374BC"/>
    <w:rPr>
      <w:rFonts w:ascii="Arial Narrow" w:hAnsi="Arial Narrow"/>
      <w:color w:val="404040"/>
    </w:rPr>
  </w:style>
  <w:style w:type="paragraph" w:customStyle="1" w:styleId="Style6">
    <w:name w:val="Style6"/>
    <w:basedOn w:val="Bullet"/>
    <w:link w:val="Style6Char"/>
    <w:qFormat/>
    <w:rsid w:val="008107DB"/>
    <w:pPr>
      <w:numPr>
        <w:numId w:val="0"/>
      </w:numPr>
      <w:spacing w:before="120"/>
    </w:pPr>
    <w:rPr>
      <w:rFonts w:ascii="Arial Narrow" w:hAnsi="Arial Narrow"/>
      <w:color w:val="404040"/>
    </w:rPr>
  </w:style>
  <w:style w:type="character" w:customStyle="1" w:styleId="Style6Char">
    <w:name w:val="Style6 Char"/>
    <w:basedOn w:val="BulletChar"/>
    <w:link w:val="Style6"/>
    <w:rsid w:val="008107DB"/>
    <w:rPr>
      <w:rFonts w:ascii="Arial Narrow" w:hAnsi="Arial Narrow"/>
      <w:color w:val="404040"/>
    </w:rPr>
  </w:style>
  <w:style w:type="paragraph" w:customStyle="1" w:styleId="Style7">
    <w:name w:val="Style7"/>
    <w:basedOn w:val="Bullet"/>
    <w:link w:val="Style7Char"/>
    <w:qFormat/>
    <w:rsid w:val="00FF34CB"/>
    <w:rPr>
      <w:rFonts w:asciiTheme="majorHAnsi" w:hAnsiTheme="majorHAnsi"/>
      <w:color w:val="0082A6" w:themeColor="text1" w:themeTint="BF"/>
    </w:rPr>
  </w:style>
  <w:style w:type="character" w:customStyle="1" w:styleId="Style7Char">
    <w:name w:val="Style7 Char"/>
    <w:basedOn w:val="BulletChar"/>
    <w:link w:val="Style7"/>
    <w:rsid w:val="00FF34CB"/>
    <w:rPr>
      <w:rFonts w:asciiTheme="majorHAnsi" w:hAnsiTheme="majorHAnsi"/>
      <w:color w:val="0082A6" w:themeColor="text1" w:themeTint="BF"/>
    </w:rPr>
  </w:style>
  <w:style w:type="character" w:styleId="PageNumber">
    <w:name w:val="page number"/>
    <w:rsid w:val="00A96BEF"/>
    <w:rPr>
      <w:lang w:val="de-DE"/>
    </w:rPr>
  </w:style>
  <w:style w:type="paragraph" w:customStyle="1" w:styleId="Style8">
    <w:name w:val="Style8"/>
    <w:basedOn w:val="Bullet"/>
    <w:link w:val="Style8Char"/>
    <w:qFormat/>
    <w:rsid w:val="006F5136"/>
    <w:pPr>
      <w:numPr>
        <w:numId w:val="0"/>
      </w:numPr>
      <w:spacing w:before="120"/>
    </w:pPr>
    <w:rPr>
      <w:rFonts w:ascii="Arial Narrow" w:hAnsi="Arial Narrow"/>
      <w:color w:val="404040"/>
    </w:rPr>
  </w:style>
  <w:style w:type="character" w:customStyle="1" w:styleId="Style8Char">
    <w:name w:val="Style8 Char"/>
    <w:basedOn w:val="BulletChar"/>
    <w:link w:val="Style8"/>
    <w:rsid w:val="006F5136"/>
    <w:rPr>
      <w:rFonts w:ascii="Arial Narrow" w:hAnsi="Arial Narrow"/>
      <w:color w:val="404040"/>
    </w:rPr>
  </w:style>
  <w:style w:type="paragraph" w:customStyle="1" w:styleId="Style9">
    <w:name w:val="Style9"/>
    <w:basedOn w:val="Style4"/>
    <w:link w:val="Style9Char"/>
    <w:qFormat/>
    <w:rsid w:val="004D0EF5"/>
    <w:pPr>
      <w:numPr>
        <w:numId w:val="25"/>
      </w:numPr>
    </w:pPr>
    <w:rPr>
      <w:rFonts w:ascii="Arial Narrow" w:hAnsi="Arial Narrow"/>
    </w:rPr>
  </w:style>
  <w:style w:type="character" w:customStyle="1" w:styleId="Style9Char">
    <w:name w:val="Style9 Char"/>
    <w:basedOn w:val="Style4Char"/>
    <w:link w:val="Style9"/>
    <w:rsid w:val="004D0EF5"/>
    <w:rPr>
      <w:rFonts w:ascii="Arial Narrow" w:eastAsiaTheme="majorEastAsia" w:hAnsi="Arial Narrow" w:cstheme="majorBidi"/>
      <w:i w:val="0"/>
      <w:iCs/>
      <w:color w:val="0082A6" w:themeColor="text1" w:themeTint="BF"/>
      <w:sz w:val="21"/>
    </w:rPr>
  </w:style>
  <w:style w:type="paragraph" w:customStyle="1" w:styleId="Normal-SummaryIntro">
    <w:name w:val="Normal - Summary Intro"/>
    <w:basedOn w:val="Normal"/>
    <w:rsid w:val="002B1FE9"/>
    <w:pPr>
      <w:spacing w:line="316" w:lineRule="exact"/>
    </w:pPr>
    <w:rPr>
      <w:rFonts w:ascii="Arial Narrow" w:hAnsi="Arial Narrow"/>
      <w:spacing w:val="-2"/>
      <w:sz w:val="27"/>
      <w:szCs w:val="27"/>
    </w:rPr>
  </w:style>
  <w:style w:type="paragraph" w:customStyle="1" w:styleId="Normal-ColumnText">
    <w:name w:val="Normal - Column Text"/>
    <w:basedOn w:val="Normal"/>
    <w:rsid w:val="00512768"/>
    <w:pPr>
      <w:spacing w:after="200" w:line="260" w:lineRule="exact"/>
    </w:pPr>
    <w:rPr>
      <w:rFonts w:ascii="Arial Narrow" w:hAnsi="Arial Narrow"/>
      <w:spacing w:val="-2"/>
    </w:rPr>
  </w:style>
  <w:style w:type="paragraph" w:customStyle="1" w:styleId="Normal-SummaryFeatureTitle">
    <w:name w:val="Normal - Summary Feature Title"/>
    <w:basedOn w:val="Normal"/>
    <w:rsid w:val="0094620C"/>
    <w:pPr>
      <w:spacing w:after="440" w:line="240" w:lineRule="auto"/>
      <w:jc w:val="left"/>
    </w:pPr>
    <w:rPr>
      <w:b/>
      <w:color w:val="FFFFFF"/>
      <w:sz w:val="44"/>
      <w:szCs w:val="20"/>
    </w:rPr>
  </w:style>
  <w:style w:type="paragraph" w:customStyle="1" w:styleId="Normal-SummaryFeatureTitleSub">
    <w:name w:val="Normal - Summary Feature Title Sub"/>
    <w:basedOn w:val="Normal-SummaryFeatureTitle"/>
    <w:rsid w:val="008E2D7B"/>
    <w:pPr>
      <w:spacing w:after="360"/>
    </w:pPr>
    <w:rPr>
      <w:caps/>
      <w:sz w:val="36"/>
    </w:rPr>
  </w:style>
  <w:style w:type="paragraph" w:customStyle="1" w:styleId="Normal-SummaryFeatureNormalText">
    <w:name w:val="Normal - Summary Feature Normal Text"/>
    <w:basedOn w:val="Normal-SummaryFeatureTitleSub"/>
    <w:rsid w:val="008E2D7B"/>
    <w:pPr>
      <w:spacing w:after="240"/>
    </w:pPr>
    <w:rPr>
      <w:b w:val="0"/>
      <w:caps w:val="0"/>
      <w:sz w:val="26"/>
    </w:rPr>
  </w:style>
  <w:style w:type="paragraph" w:customStyle="1" w:styleId="Normal-SummaryFeatureNormal-Bullet">
    <w:name w:val="Normal - Summary Feature Normal - Bullet"/>
    <w:basedOn w:val="Normal-SummaryFeatureNormalText"/>
    <w:rsid w:val="00B92083"/>
    <w:pPr>
      <w:numPr>
        <w:numId w:val="28"/>
      </w:numPr>
      <w:tabs>
        <w:tab w:val="left" w:pos="425"/>
      </w:tabs>
      <w:spacing w:line="280" w:lineRule="exact"/>
      <w:ind w:left="425" w:hanging="425"/>
    </w:pPr>
  </w:style>
  <w:style w:type="paragraph" w:customStyle="1" w:styleId="BoxText-White">
    <w:name w:val="Box Text - White"/>
    <w:basedOn w:val="BoxText"/>
    <w:rsid w:val="00A32E24"/>
    <w:pPr>
      <w:ind w:left="57" w:right="113"/>
    </w:pPr>
    <w:rPr>
      <w:color w:val="FFFFFF"/>
      <w:sz w:val="23"/>
    </w:rPr>
  </w:style>
  <w:style w:type="paragraph" w:customStyle="1" w:styleId="BoxBullet-White">
    <w:name w:val="Box Bullet - White"/>
    <w:basedOn w:val="BoxBullet"/>
    <w:rsid w:val="00A32E24"/>
    <w:pPr>
      <w:tabs>
        <w:tab w:val="left" w:pos="482"/>
      </w:tabs>
      <w:ind w:left="482" w:right="113" w:hanging="425"/>
    </w:pPr>
    <w:rPr>
      <w:color w:val="FFFFFF"/>
      <w:sz w:val="23"/>
    </w:rPr>
  </w:style>
  <w:style w:type="paragraph" w:customStyle="1" w:styleId="PullGraphic">
    <w:name w:val="Pull Graphic"/>
    <w:basedOn w:val="Normal"/>
    <w:rsid w:val="004B57F7"/>
    <w:rPr>
      <w:rFonts w:asciiTheme="minorHAnsi" w:hAnsiTheme="minorHAnsi"/>
      <w:noProof/>
      <w:lang w:eastAsia="en-AU"/>
    </w:rPr>
  </w:style>
  <w:style w:type="paragraph" w:customStyle="1" w:styleId="FigureMainHeading-Sub">
    <w:name w:val="Figure Main Heading - Sub"/>
    <w:basedOn w:val="FigureMainHeading"/>
    <w:rsid w:val="00C64A53"/>
    <w:rPr>
      <w:caps w:val="0"/>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240">
      <w:bodyDiv w:val="1"/>
      <w:marLeft w:val="0"/>
      <w:marRight w:val="0"/>
      <w:marTop w:val="0"/>
      <w:marBottom w:val="0"/>
      <w:divBdr>
        <w:top w:val="none" w:sz="0" w:space="0" w:color="auto"/>
        <w:left w:val="none" w:sz="0" w:space="0" w:color="auto"/>
        <w:bottom w:val="none" w:sz="0" w:space="0" w:color="auto"/>
        <w:right w:val="none" w:sz="0" w:space="0" w:color="auto"/>
      </w:divBdr>
      <w:divsChild>
        <w:div w:id="940651918">
          <w:marLeft w:val="274"/>
          <w:marRight w:val="0"/>
          <w:marTop w:val="0"/>
          <w:marBottom w:val="0"/>
          <w:divBdr>
            <w:top w:val="none" w:sz="0" w:space="0" w:color="auto"/>
            <w:left w:val="none" w:sz="0" w:space="0" w:color="auto"/>
            <w:bottom w:val="none" w:sz="0" w:space="0" w:color="auto"/>
            <w:right w:val="none" w:sz="0" w:space="0" w:color="auto"/>
          </w:divBdr>
        </w:div>
        <w:div w:id="1521550716">
          <w:marLeft w:val="274"/>
          <w:marRight w:val="0"/>
          <w:marTop w:val="0"/>
          <w:marBottom w:val="0"/>
          <w:divBdr>
            <w:top w:val="none" w:sz="0" w:space="0" w:color="auto"/>
            <w:left w:val="none" w:sz="0" w:space="0" w:color="auto"/>
            <w:bottom w:val="none" w:sz="0" w:space="0" w:color="auto"/>
            <w:right w:val="none" w:sz="0" w:space="0" w:color="auto"/>
          </w:divBdr>
        </w:div>
      </w:divsChild>
    </w:div>
    <w:div w:id="5257788">
      <w:bodyDiv w:val="1"/>
      <w:marLeft w:val="0"/>
      <w:marRight w:val="0"/>
      <w:marTop w:val="0"/>
      <w:marBottom w:val="0"/>
      <w:divBdr>
        <w:top w:val="none" w:sz="0" w:space="0" w:color="auto"/>
        <w:left w:val="none" w:sz="0" w:space="0" w:color="auto"/>
        <w:bottom w:val="none" w:sz="0" w:space="0" w:color="auto"/>
        <w:right w:val="none" w:sz="0" w:space="0" w:color="auto"/>
      </w:divBdr>
    </w:div>
    <w:div w:id="215170977">
      <w:bodyDiv w:val="1"/>
      <w:marLeft w:val="0"/>
      <w:marRight w:val="0"/>
      <w:marTop w:val="0"/>
      <w:marBottom w:val="0"/>
      <w:divBdr>
        <w:top w:val="none" w:sz="0" w:space="0" w:color="auto"/>
        <w:left w:val="none" w:sz="0" w:space="0" w:color="auto"/>
        <w:bottom w:val="none" w:sz="0" w:space="0" w:color="auto"/>
        <w:right w:val="none" w:sz="0" w:space="0" w:color="auto"/>
      </w:divBdr>
    </w:div>
    <w:div w:id="249893573">
      <w:bodyDiv w:val="1"/>
      <w:marLeft w:val="0"/>
      <w:marRight w:val="0"/>
      <w:marTop w:val="0"/>
      <w:marBottom w:val="0"/>
      <w:divBdr>
        <w:top w:val="none" w:sz="0" w:space="0" w:color="auto"/>
        <w:left w:val="none" w:sz="0" w:space="0" w:color="auto"/>
        <w:bottom w:val="none" w:sz="0" w:space="0" w:color="auto"/>
        <w:right w:val="none" w:sz="0" w:space="0" w:color="auto"/>
      </w:divBdr>
    </w:div>
    <w:div w:id="257518901">
      <w:bodyDiv w:val="1"/>
      <w:marLeft w:val="0"/>
      <w:marRight w:val="0"/>
      <w:marTop w:val="0"/>
      <w:marBottom w:val="0"/>
      <w:divBdr>
        <w:top w:val="none" w:sz="0" w:space="0" w:color="auto"/>
        <w:left w:val="none" w:sz="0" w:space="0" w:color="auto"/>
        <w:bottom w:val="none" w:sz="0" w:space="0" w:color="auto"/>
        <w:right w:val="none" w:sz="0" w:space="0" w:color="auto"/>
      </w:divBdr>
      <w:divsChild>
        <w:div w:id="151409363">
          <w:marLeft w:val="0"/>
          <w:marRight w:val="0"/>
          <w:marTop w:val="0"/>
          <w:marBottom w:val="0"/>
          <w:divBdr>
            <w:top w:val="none" w:sz="0" w:space="0" w:color="auto"/>
            <w:left w:val="none" w:sz="0" w:space="0" w:color="auto"/>
            <w:bottom w:val="none" w:sz="0" w:space="0" w:color="auto"/>
            <w:right w:val="none" w:sz="0" w:space="0" w:color="auto"/>
          </w:divBdr>
          <w:divsChild>
            <w:div w:id="1172916826">
              <w:marLeft w:val="0"/>
              <w:marRight w:val="0"/>
              <w:marTop w:val="0"/>
              <w:marBottom w:val="0"/>
              <w:divBdr>
                <w:top w:val="none" w:sz="0" w:space="0" w:color="auto"/>
                <w:left w:val="none" w:sz="0" w:space="0" w:color="auto"/>
                <w:bottom w:val="none" w:sz="0" w:space="0" w:color="auto"/>
                <w:right w:val="none" w:sz="0" w:space="0" w:color="auto"/>
              </w:divBdr>
              <w:divsChild>
                <w:div w:id="285934057">
                  <w:marLeft w:val="0"/>
                  <w:marRight w:val="0"/>
                  <w:marTop w:val="0"/>
                  <w:marBottom w:val="0"/>
                  <w:divBdr>
                    <w:top w:val="none" w:sz="0" w:space="0" w:color="auto"/>
                    <w:left w:val="none" w:sz="0" w:space="0" w:color="auto"/>
                    <w:bottom w:val="none" w:sz="0" w:space="0" w:color="auto"/>
                    <w:right w:val="none" w:sz="0" w:space="0" w:color="auto"/>
                  </w:divBdr>
                  <w:divsChild>
                    <w:div w:id="1800882442">
                      <w:marLeft w:val="0"/>
                      <w:marRight w:val="0"/>
                      <w:marTop w:val="0"/>
                      <w:marBottom w:val="0"/>
                      <w:divBdr>
                        <w:top w:val="none" w:sz="0" w:space="0" w:color="auto"/>
                        <w:left w:val="none" w:sz="0" w:space="0" w:color="auto"/>
                        <w:bottom w:val="none" w:sz="0" w:space="0" w:color="auto"/>
                        <w:right w:val="none" w:sz="0" w:space="0" w:color="auto"/>
                      </w:divBdr>
                      <w:divsChild>
                        <w:div w:id="1852181908">
                          <w:marLeft w:val="0"/>
                          <w:marRight w:val="0"/>
                          <w:marTop w:val="0"/>
                          <w:marBottom w:val="0"/>
                          <w:divBdr>
                            <w:top w:val="none" w:sz="0" w:space="0" w:color="auto"/>
                            <w:left w:val="none" w:sz="0" w:space="0" w:color="auto"/>
                            <w:bottom w:val="none" w:sz="0" w:space="0" w:color="auto"/>
                            <w:right w:val="none" w:sz="0" w:space="0" w:color="auto"/>
                          </w:divBdr>
                          <w:divsChild>
                            <w:div w:id="478636">
                              <w:marLeft w:val="0"/>
                              <w:marRight w:val="0"/>
                              <w:marTop w:val="0"/>
                              <w:marBottom w:val="0"/>
                              <w:divBdr>
                                <w:top w:val="none" w:sz="0" w:space="0" w:color="auto"/>
                                <w:left w:val="none" w:sz="0" w:space="0" w:color="auto"/>
                                <w:bottom w:val="none" w:sz="0" w:space="0" w:color="auto"/>
                                <w:right w:val="none" w:sz="0" w:space="0" w:color="auto"/>
                              </w:divBdr>
                              <w:divsChild>
                                <w:div w:id="361784000">
                                  <w:marLeft w:val="0"/>
                                  <w:marRight w:val="0"/>
                                  <w:marTop w:val="0"/>
                                  <w:marBottom w:val="0"/>
                                  <w:divBdr>
                                    <w:top w:val="none" w:sz="0" w:space="0" w:color="auto"/>
                                    <w:left w:val="none" w:sz="0" w:space="0" w:color="auto"/>
                                    <w:bottom w:val="none" w:sz="0" w:space="0" w:color="auto"/>
                                    <w:right w:val="none" w:sz="0" w:space="0" w:color="auto"/>
                                  </w:divBdr>
                                  <w:divsChild>
                                    <w:div w:id="584262108">
                                      <w:marLeft w:val="0"/>
                                      <w:marRight w:val="0"/>
                                      <w:marTop w:val="0"/>
                                      <w:marBottom w:val="0"/>
                                      <w:divBdr>
                                        <w:top w:val="none" w:sz="0" w:space="0" w:color="auto"/>
                                        <w:left w:val="none" w:sz="0" w:space="0" w:color="auto"/>
                                        <w:bottom w:val="none" w:sz="0" w:space="0" w:color="auto"/>
                                        <w:right w:val="none" w:sz="0" w:space="0" w:color="auto"/>
                                      </w:divBdr>
                                      <w:divsChild>
                                        <w:div w:id="1153521517">
                                          <w:marLeft w:val="0"/>
                                          <w:marRight w:val="0"/>
                                          <w:marTop w:val="600"/>
                                          <w:marBottom w:val="600"/>
                                          <w:divBdr>
                                            <w:top w:val="none" w:sz="0" w:space="0" w:color="auto"/>
                                            <w:left w:val="none" w:sz="0" w:space="0" w:color="auto"/>
                                            <w:bottom w:val="none" w:sz="0" w:space="0" w:color="auto"/>
                                            <w:right w:val="none" w:sz="0" w:space="0" w:color="auto"/>
                                          </w:divBdr>
                                          <w:divsChild>
                                            <w:div w:id="2014718964">
                                              <w:marLeft w:val="0"/>
                                              <w:marRight w:val="0"/>
                                              <w:marTop w:val="0"/>
                                              <w:marBottom w:val="0"/>
                                              <w:divBdr>
                                                <w:top w:val="none" w:sz="0" w:space="0" w:color="auto"/>
                                                <w:left w:val="none" w:sz="0" w:space="0" w:color="auto"/>
                                                <w:bottom w:val="none" w:sz="0" w:space="0" w:color="auto"/>
                                                <w:right w:val="none" w:sz="0" w:space="0" w:color="auto"/>
                                              </w:divBdr>
                                              <w:divsChild>
                                                <w:div w:id="928581452">
                                                  <w:marLeft w:val="0"/>
                                                  <w:marRight w:val="0"/>
                                                  <w:marTop w:val="0"/>
                                                  <w:marBottom w:val="0"/>
                                                  <w:divBdr>
                                                    <w:top w:val="none" w:sz="0" w:space="0" w:color="auto"/>
                                                    <w:left w:val="none" w:sz="0" w:space="0" w:color="auto"/>
                                                    <w:bottom w:val="none" w:sz="0" w:space="0" w:color="auto"/>
                                                    <w:right w:val="none" w:sz="0" w:space="0" w:color="auto"/>
                                                  </w:divBdr>
                                                  <w:divsChild>
                                                    <w:div w:id="1384720118">
                                                      <w:marLeft w:val="0"/>
                                                      <w:marRight w:val="0"/>
                                                      <w:marTop w:val="0"/>
                                                      <w:marBottom w:val="0"/>
                                                      <w:divBdr>
                                                        <w:top w:val="none" w:sz="0" w:space="0" w:color="auto"/>
                                                        <w:left w:val="none" w:sz="0" w:space="0" w:color="auto"/>
                                                        <w:bottom w:val="none" w:sz="0" w:space="0" w:color="auto"/>
                                                        <w:right w:val="none" w:sz="0" w:space="0" w:color="auto"/>
                                                      </w:divBdr>
                                                      <w:divsChild>
                                                        <w:div w:id="1631207460">
                                                          <w:marLeft w:val="0"/>
                                                          <w:marRight w:val="0"/>
                                                          <w:marTop w:val="0"/>
                                                          <w:marBottom w:val="0"/>
                                                          <w:divBdr>
                                                            <w:top w:val="none" w:sz="0" w:space="0" w:color="auto"/>
                                                            <w:left w:val="none" w:sz="0" w:space="0" w:color="auto"/>
                                                            <w:bottom w:val="none" w:sz="0" w:space="0" w:color="auto"/>
                                                            <w:right w:val="none" w:sz="0" w:space="0" w:color="auto"/>
                                                          </w:divBdr>
                                                          <w:divsChild>
                                                            <w:div w:id="141235804">
                                                              <w:marLeft w:val="0"/>
                                                              <w:marRight w:val="0"/>
                                                              <w:marTop w:val="0"/>
                                                              <w:marBottom w:val="0"/>
                                                              <w:divBdr>
                                                                <w:top w:val="none" w:sz="0" w:space="0" w:color="auto"/>
                                                                <w:left w:val="none" w:sz="0" w:space="0" w:color="auto"/>
                                                                <w:bottom w:val="none" w:sz="0" w:space="0" w:color="auto"/>
                                                                <w:right w:val="none" w:sz="0" w:space="0" w:color="auto"/>
                                                              </w:divBdr>
                                                              <w:divsChild>
                                                                <w:div w:id="2102869940">
                                                                  <w:marLeft w:val="0"/>
                                                                  <w:marRight w:val="0"/>
                                                                  <w:marTop w:val="0"/>
                                                                  <w:marBottom w:val="0"/>
                                                                  <w:divBdr>
                                                                    <w:top w:val="none" w:sz="0" w:space="0" w:color="auto"/>
                                                                    <w:left w:val="none" w:sz="0" w:space="0" w:color="auto"/>
                                                                    <w:bottom w:val="none" w:sz="0" w:space="0" w:color="auto"/>
                                                                    <w:right w:val="none" w:sz="0" w:space="0" w:color="auto"/>
                                                                  </w:divBdr>
                                                                  <w:divsChild>
                                                                    <w:div w:id="535512002">
                                                                      <w:marLeft w:val="0"/>
                                                                      <w:marRight w:val="0"/>
                                                                      <w:marTop w:val="0"/>
                                                                      <w:marBottom w:val="0"/>
                                                                      <w:divBdr>
                                                                        <w:top w:val="none" w:sz="0" w:space="0" w:color="auto"/>
                                                                        <w:left w:val="none" w:sz="0" w:space="0" w:color="auto"/>
                                                                        <w:bottom w:val="none" w:sz="0" w:space="0" w:color="auto"/>
                                                                        <w:right w:val="none" w:sz="0" w:space="0" w:color="auto"/>
                                                                      </w:divBdr>
                                                                      <w:divsChild>
                                                                        <w:div w:id="1959212513">
                                                                          <w:marLeft w:val="0"/>
                                                                          <w:marRight w:val="0"/>
                                                                          <w:marTop w:val="0"/>
                                                                          <w:marBottom w:val="0"/>
                                                                          <w:divBdr>
                                                                            <w:top w:val="none" w:sz="0" w:space="0" w:color="auto"/>
                                                                            <w:left w:val="none" w:sz="0" w:space="0" w:color="auto"/>
                                                                            <w:bottom w:val="none" w:sz="0" w:space="0" w:color="auto"/>
                                                                            <w:right w:val="none" w:sz="0" w:space="0" w:color="auto"/>
                                                                          </w:divBdr>
                                                                          <w:divsChild>
                                                                            <w:div w:id="47502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9385396">
      <w:bodyDiv w:val="1"/>
      <w:marLeft w:val="0"/>
      <w:marRight w:val="0"/>
      <w:marTop w:val="0"/>
      <w:marBottom w:val="0"/>
      <w:divBdr>
        <w:top w:val="none" w:sz="0" w:space="0" w:color="auto"/>
        <w:left w:val="none" w:sz="0" w:space="0" w:color="auto"/>
        <w:bottom w:val="none" w:sz="0" w:space="0" w:color="auto"/>
        <w:right w:val="none" w:sz="0" w:space="0" w:color="auto"/>
      </w:divBdr>
    </w:div>
    <w:div w:id="407651923">
      <w:bodyDiv w:val="1"/>
      <w:marLeft w:val="0"/>
      <w:marRight w:val="0"/>
      <w:marTop w:val="0"/>
      <w:marBottom w:val="0"/>
      <w:divBdr>
        <w:top w:val="none" w:sz="0" w:space="0" w:color="auto"/>
        <w:left w:val="none" w:sz="0" w:space="0" w:color="auto"/>
        <w:bottom w:val="none" w:sz="0" w:space="0" w:color="auto"/>
        <w:right w:val="none" w:sz="0" w:space="0" w:color="auto"/>
      </w:divBdr>
      <w:divsChild>
        <w:div w:id="1296450415">
          <w:marLeft w:val="0"/>
          <w:marRight w:val="0"/>
          <w:marTop w:val="0"/>
          <w:marBottom w:val="0"/>
          <w:divBdr>
            <w:top w:val="none" w:sz="0" w:space="0" w:color="auto"/>
            <w:left w:val="none" w:sz="0" w:space="0" w:color="auto"/>
            <w:bottom w:val="none" w:sz="0" w:space="0" w:color="auto"/>
            <w:right w:val="none" w:sz="0" w:space="0" w:color="auto"/>
          </w:divBdr>
          <w:divsChild>
            <w:div w:id="276181761">
              <w:marLeft w:val="0"/>
              <w:marRight w:val="0"/>
              <w:marTop w:val="0"/>
              <w:marBottom w:val="0"/>
              <w:divBdr>
                <w:top w:val="none" w:sz="0" w:space="0" w:color="auto"/>
                <w:left w:val="none" w:sz="0" w:space="0" w:color="auto"/>
                <w:bottom w:val="none" w:sz="0" w:space="0" w:color="auto"/>
                <w:right w:val="none" w:sz="0" w:space="0" w:color="auto"/>
              </w:divBdr>
              <w:divsChild>
                <w:div w:id="723218594">
                  <w:marLeft w:val="0"/>
                  <w:marRight w:val="0"/>
                  <w:marTop w:val="0"/>
                  <w:marBottom w:val="0"/>
                  <w:divBdr>
                    <w:top w:val="none" w:sz="0" w:space="0" w:color="auto"/>
                    <w:left w:val="none" w:sz="0" w:space="0" w:color="auto"/>
                    <w:bottom w:val="none" w:sz="0" w:space="0" w:color="auto"/>
                    <w:right w:val="none" w:sz="0" w:space="0" w:color="auto"/>
                  </w:divBdr>
                  <w:divsChild>
                    <w:div w:id="2082285091">
                      <w:marLeft w:val="0"/>
                      <w:marRight w:val="0"/>
                      <w:marTop w:val="0"/>
                      <w:marBottom w:val="0"/>
                      <w:divBdr>
                        <w:top w:val="none" w:sz="0" w:space="0" w:color="auto"/>
                        <w:left w:val="none" w:sz="0" w:space="0" w:color="auto"/>
                        <w:bottom w:val="none" w:sz="0" w:space="0" w:color="auto"/>
                        <w:right w:val="none" w:sz="0" w:space="0" w:color="auto"/>
                      </w:divBdr>
                      <w:divsChild>
                        <w:div w:id="1558660484">
                          <w:marLeft w:val="0"/>
                          <w:marRight w:val="0"/>
                          <w:marTop w:val="0"/>
                          <w:marBottom w:val="0"/>
                          <w:divBdr>
                            <w:top w:val="none" w:sz="0" w:space="0" w:color="auto"/>
                            <w:left w:val="none" w:sz="0" w:space="0" w:color="auto"/>
                            <w:bottom w:val="none" w:sz="0" w:space="0" w:color="auto"/>
                            <w:right w:val="none" w:sz="0" w:space="0" w:color="auto"/>
                          </w:divBdr>
                          <w:divsChild>
                            <w:div w:id="75907035">
                              <w:marLeft w:val="0"/>
                              <w:marRight w:val="0"/>
                              <w:marTop w:val="0"/>
                              <w:marBottom w:val="0"/>
                              <w:divBdr>
                                <w:top w:val="none" w:sz="0" w:space="0" w:color="auto"/>
                                <w:left w:val="none" w:sz="0" w:space="0" w:color="auto"/>
                                <w:bottom w:val="none" w:sz="0" w:space="0" w:color="auto"/>
                                <w:right w:val="none" w:sz="0" w:space="0" w:color="auto"/>
                              </w:divBdr>
                              <w:divsChild>
                                <w:div w:id="567301239">
                                  <w:marLeft w:val="0"/>
                                  <w:marRight w:val="0"/>
                                  <w:marTop w:val="0"/>
                                  <w:marBottom w:val="0"/>
                                  <w:divBdr>
                                    <w:top w:val="none" w:sz="0" w:space="0" w:color="auto"/>
                                    <w:left w:val="none" w:sz="0" w:space="0" w:color="auto"/>
                                    <w:bottom w:val="none" w:sz="0" w:space="0" w:color="auto"/>
                                    <w:right w:val="none" w:sz="0" w:space="0" w:color="auto"/>
                                  </w:divBdr>
                                  <w:divsChild>
                                    <w:div w:id="1471283421">
                                      <w:marLeft w:val="0"/>
                                      <w:marRight w:val="0"/>
                                      <w:marTop w:val="0"/>
                                      <w:marBottom w:val="0"/>
                                      <w:divBdr>
                                        <w:top w:val="none" w:sz="0" w:space="0" w:color="auto"/>
                                        <w:left w:val="none" w:sz="0" w:space="0" w:color="auto"/>
                                        <w:bottom w:val="none" w:sz="0" w:space="0" w:color="auto"/>
                                        <w:right w:val="none" w:sz="0" w:space="0" w:color="auto"/>
                                      </w:divBdr>
                                      <w:divsChild>
                                        <w:div w:id="318073018">
                                          <w:marLeft w:val="0"/>
                                          <w:marRight w:val="0"/>
                                          <w:marTop w:val="600"/>
                                          <w:marBottom w:val="600"/>
                                          <w:divBdr>
                                            <w:top w:val="none" w:sz="0" w:space="0" w:color="auto"/>
                                            <w:left w:val="none" w:sz="0" w:space="0" w:color="auto"/>
                                            <w:bottom w:val="none" w:sz="0" w:space="0" w:color="auto"/>
                                            <w:right w:val="none" w:sz="0" w:space="0" w:color="auto"/>
                                          </w:divBdr>
                                          <w:divsChild>
                                            <w:div w:id="1788313526">
                                              <w:marLeft w:val="0"/>
                                              <w:marRight w:val="0"/>
                                              <w:marTop w:val="0"/>
                                              <w:marBottom w:val="0"/>
                                              <w:divBdr>
                                                <w:top w:val="none" w:sz="0" w:space="0" w:color="auto"/>
                                                <w:left w:val="none" w:sz="0" w:space="0" w:color="auto"/>
                                                <w:bottom w:val="none" w:sz="0" w:space="0" w:color="auto"/>
                                                <w:right w:val="none" w:sz="0" w:space="0" w:color="auto"/>
                                              </w:divBdr>
                                              <w:divsChild>
                                                <w:div w:id="775253179">
                                                  <w:marLeft w:val="0"/>
                                                  <w:marRight w:val="0"/>
                                                  <w:marTop w:val="0"/>
                                                  <w:marBottom w:val="0"/>
                                                  <w:divBdr>
                                                    <w:top w:val="none" w:sz="0" w:space="0" w:color="auto"/>
                                                    <w:left w:val="none" w:sz="0" w:space="0" w:color="auto"/>
                                                    <w:bottom w:val="none" w:sz="0" w:space="0" w:color="auto"/>
                                                    <w:right w:val="none" w:sz="0" w:space="0" w:color="auto"/>
                                                  </w:divBdr>
                                                  <w:divsChild>
                                                    <w:div w:id="386301652">
                                                      <w:marLeft w:val="0"/>
                                                      <w:marRight w:val="0"/>
                                                      <w:marTop w:val="0"/>
                                                      <w:marBottom w:val="0"/>
                                                      <w:divBdr>
                                                        <w:top w:val="none" w:sz="0" w:space="0" w:color="auto"/>
                                                        <w:left w:val="none" w:sz="0" w:space="0" w:color="auto"/>
                                                        <w:bottom w:val="none" w:sz="0" w:space="0" w:color="auto"/>
                                                        <w:right w:val="none" w:sz="0" w:space="0" w:color="auto"/>
                                                      </w:divBdr>
                                                      <w:divsChild>
                                                        <w:div w:id="1633513987">
                                                          <w:marLeft w:val="0"/>
                                                          <w:marRight w:val="0"/>
                                                          <w:marTop w:val="0"/>
                                                          <w:marBottom w:val="0"/>
                                                          <w:divBdr>
                                                            <w:top w:val="none" w:sz="0" w:space="0" w:color="auto"/>
                                                            <w:left w:val="none" w:sz="0" w:space="0" w:color="auto"/>
                                                            <w:bottom w:val="none" w:sz="0" w:space="0" w:color="auto"/>
                                                            <w:right w:val="none" w:sz="0" w:space="0" w:color="auto"/>
                                                          </w:divBdr>
                                                          <w:divsChild>
                                                            <w:div w:id="1509128436">
                                                              <w:marLeft w:val="0"/>
                                                              <w:marRight w:val="0"/>
                                                              <w:marTop w:val="0"/>
                                                              <w:marBottom w:val="0"/>
                                                              <w:divBdr>
                                                                <w:top w:val="none" w:sz="0" w:space="0" w:color="auto"/>
                                                                <w:left w:val="none" w:sz="0" w:space="0" w:color="auto"/>
                                                                <w:bottom w:val="none" w:sz="0" w:space="0" w:color="auto"/>
                                                                <w:right w:val="none" w:sz="0" w:space="0" w:color="auto"/>
                                                              </w:divBdr>
                                                              <w:divsChild>
                                                                <w:div w:id="2012416180">
                                                                  <w:marLeft w:val="0"/>
                                                                  <w:marRight w:val="0"/>
                                                                  <w:marTop w:val="0"/>
                                                                  <w:marBottom w:val="0"/>
                                                                  <w:divBdr>
                                                                    <w:top w:val="none" w:sz="0" w:space="0" w:color="auto"/>
                                                                    <w:left w:val="none" w:sz="0" w:space="0" w:color="auto"/>
                                                                    <w:bottom w:val="none" w:sz="0" w:space="0" w:color="auto"/>
                                                                    <w:right w:val="none" w:sz="0" w:space="0" w:color="auto"/>
                                                                  </w:divBdr>
                                                                  <w:divsChild>
                                                                    <w:div w:id="1838229029">
                                                                      <w:marLeft w:val="0"/>
                                                                      <w:marRight w:val="0"/>
                                                                      <w:marTop w:val="0"/>
                                                                      <w:marBottom w:val="0"/>
                                                                      <w:divBdr>
                                                                        <w:top w:val="none" w:sz="0" w:space="0" w:color="auto"/>
                                                                        <w:left w:val="none" w:sz="0" w:space="0" w:color="auto"/>
                                                                        <w:bottom w:val="none" w:sz="0" w:space="0" w:color="auto"/>
                                                                        <w:right w:val="none" w:sz="0" w:space="0" w:color="auto"/>
                                                                      </w:divBdr>
                                                                      <w:divsChild>
                                                                        <w:div w:id="1559509779">
                                                                          <w:marLeft w:val="0"/>
                                                                          <w:marRight w:val="0"/>
                                                                          <w:marTop w:val="0"/>
                                                                          <w:marBottom w:val="0"/>
                                                                          <w:divBdr>
                                                                            <w:top w:val="none" w:sz="0" w:space="0" w:color="auto"/>
                                                                            <w:left w:val="none" w:sz="0" w:space="0" w:color="auto"/>
                                                                            <w:bottom w:val="none" w:sz="0" w:space="0" w:color="auto"/>
                                                                            <w:right w:val="none" w:sz="0" w:space="0" w:color="auto"/>
                                                                          </w:divBdr>
                                                                          <w:divsChild>
                                                                            <w:div w:id="3495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370690">
      <w:bodyDiv w:val="1"/>
      <w:marLeft w:val="0"/>
      <w:marRight w:val="0"/>
      <w:marTop w:val="0"/>
      <w:marBottom w:val="0"/>
      <w:divBdr>
        <w:top w:val="none" w:sz="0" w:space="0" w:color="auto"/>
        <w:left w:val="none" w:sz="0" w:space="0" w:color="auto"/>
        <w:bottom w:val="none" w:sz="0" w:space="0" w:color="auto"/>
        <w:right w:val="none" w:sz="0" w:space="0" w:color="auto"/>
      </w:divBdr>
    </w:div>
    <w:div w:id="599410462">
      <w:bodyDiv w:val="1"/>
      <w:marLeft w:val="0"/>
      <w:marRight w:val="0"/>
      <w:marTop w:val="0"/>
      <w:marBottom w:val="0"/>
      <w:divBdr>
        <w:top w:val="none" w:sz="0" w:space="0" w:color="auto"/>
        <w:left w:val="none" w:sz="0" w:space="0" w:color="auto"/>
        <w:bottom w:val="none" w:sz="0" w:space="0" w:color="auto"/>
        <w:right w:val="none" w:sz="0" w:space="0" w:color="auto"/>
      </w:divBdr>
    </w:div>
    <w:div w:id="618415171">
      <w:bodyDiv w:val="1"/>
      <w:marLeft w:val="0"/>
      <w:marRight w:val="0"/>
      <w:marTop w:val="0"/>
      <w:marBottom w:val="0"/>
      <w:divBdr>
        <w:top w:val="none" w:sz="0" w:space="0" w:color="auto"/>
        <w:left w:val="none" w:sz="0" w:space="0" w:color="auto"/>
        <w:bottom w:val="none" w:sz="0" w:space="0" w:color="auto"/>
        <w:right w:val="none" w:sz="0" w:space="0" w:color="auto"/>
      </w:divBdr>
    </w:div>
    <w:div w:id="687145549">
      <w:bodyDiv w:val="1"/>
      <w:marLeft w:val="0"/>
      <w:marRight w:val="0"/>
      <w:marTop w:val="0"/>
      <w:marBottom w:val="0"/>
      <w:divBdr>
        <w:top w:val="none" w:sz="0" w:space="0" w:color="auto"/>
        <w:left w:val="none" w:sz="0" w:space="0" w:color="auto"/>
        <w:bottom w:val="none" w:sz="0" w:space="0" w:color="auto"/>
        <w:right w:val="none" w:sz="0" w:space="0" w:color="auto"/>
      </w:divBdr>
    </w:div>
    <w:div w:id="788739555">
      <w:bodyDiv w:val="1"/>
      <w:marLeft w:val="0"/>
      <w:marRight w:val="0"/>
      <w:marTop w:val="0"/>
      <w:marBottom w:val="0"/>
      <w:divBdr>
        <w:top w:val="none" w:sz="0" w:space="0" w:color="auto"/>
        <w:left w:val="none" w:sz="0" w:space="0" w:color="auto"/>
        <w:bottom w:val="none" w:sz="0" w:space="0" w:color="auto"/>
        <w:right w:val="none" w:sz="0" w:space="0" w:color="auto"/>
      </w:divBdr>
    </w:div>
    <w:div w:id="804079089">
      <w:bodyDiv w:val="1"/>
      <w:marLeft w:val="0"/>
      <w:marRight w:val="0"/>
      <w:marTop w:val="0"/>
      <w:marBottom w:val="0"/>
      <w:divBdr>
        <w:top w:val="none" w:sz="0" w:space="0" w:color="auto"/>
        <w:left w:val="none" w:sz="0" w:space="0" w:color="auto"/>
        <w:bottom w:val="none" w:sz="0" w:space="0" w:color="auto"/>
        <w:right w:val="none" w:sz="0" w:space="0" w:color="auto"/>
      </w:divBdr>
    </w:div>
    <w:div w:id="817114232">
      <w:bodyDiv w:val="1"/>
      <w:marLeft w:val="0"/>
      <w:marRight w:val="0"/>
      <w:marTop w:val="0"/>
      <w:marBottom w:val="0"/>
      <w:divBdr>
        <w:top w:val="none" w:sz="0" w:space="0" w:color="auto"/>
        <w:left w:val="none" w:sz="0" w:space="0" w:color="auto"/>
        <w:bottom w:val="none" w:sz="0" w:space="0" w:color="auto"/>
        <w:right w:val="none" w:sz="0" w:space="0" w:color="auto"/>
      </w:divBdr>
    </w:div>
    <w:div w:id="821316013">
      <w:bodyDiv w:val="1"/>
      <w:marLeft w:val="0"/>
      <w:marRight w:val="0"/>
      <w:marTop w:val="0"/>
      <w:marBottom w:val="0"/>
      <w:divBdr>
        <w:top w:val="none" w:sz="0" w:space="0" w:color="auto"/>
        <w:left w:val="none" w:sz="0" w:space="0" w:color="auto"/>
        <w:bottom w:val="none" w:sz="0" w:space="0" w:color="auto"/>
        <w:right w:val="none" w:sz="0" w:space="0" w:color="auto"/>
      </w:divBdr>
      <w:divsChild>
        <w:div w:id="1225332775">
          <w:marLeft w:val="547"/>
          <w:marRight w:val="0"/>
          <w:marTop w:val="0"/>
          <w:marBottom w:val="0"/>
          <w:divBdr>
            <w:top w:val="none" w:sz="0" w:space="0" w:color="auto"/>
            <w:left w:val="none" w:sz="0" w:space="0" w:color="auto"/>
            <w:bottom w:val="none" w:sz="0" w:space="0" w:color="auto"/>
            <w:right w:val="none" w:sz="0" w:space="0" w:color="auto"/>
          </w:divBdr>
        </w:div>
      </w:divsChild>
    </w:div>
    <w:div w:id="824124710">
      <w:bodyDiv w:val="1"/>
      <w:marLeft w:val="0"/>
      <w:marRight w:val="0"/>
      <w:marTop w:val="0"/>
      <w:marBottom w:val="0"/>
      <w:divBdr>
        <w:top w:val="none" w:sz="0" w:space="0" w:color="auto"/>
        <w:left w:val="none" w:sz="0" w:space="0" w:color="auto"/>
        <w:bottom w:val="none" w:sz="0" w:space="0" w:color="auto"/>
        <w:right w:val="none" w:sz="0" w:space="0" w:color="auto"/>
      </w:divBdr>
    </w:div>
    <w:div w:id="898831831">
      <w:bodyDiv w:val="1"/>
      <w:marLeft w:val="0"/>
      <w:marRight w:val="0"/>
      <w:marTop w:val="0"/>
      <w:marBottom w:val="0"/>
      <w:divBdr>
        <w:top w:val="none" w:sz="0" w:space="0" w:color="auto"/>
        <w:left w:val="none" w:sz="0" w:space="0" w:color="auto"/>
        <w:bottom w:val="none" w:sz="0" w:space="0" w:color="auto"/>
        <w:right w:val="none" w:sz="0" w:space="0" w:color="auto"/>
      </w:divBdr>
    </w:div>
    <w:div w:id="909853232">
      <w:bodyDiv w:val="1"/>
      <w:marLeft w:val="0"/>
      <w:marRight w:val="0"/>
      <w:marTop w:val="0"/>
      <w:marBottom w:val="0"/>
      <w:divBdr>
        <w:top w:val="none" w:sz="0" w:space="0" w:color="auto"/>
        <w:left w:val="none" w:sz="0" w:space="0" w:color="auto"/>
        <w:bottom w:val="none" w:sz="0" w:space="0" w:color="auto"/>
        <w:right w:val="none" w:sz="0" w:space="0" w:color="auto"/>
      </w:divBdr>
      <w:divsChild>
        <w:div w:id="291207016">
          <w:marLeft w:val="274"/>
          <w:marRight w:val="0"/>
          <w:marTop w:val="0"/>
          <w:marBottom w:val="0"/>
          <w:divBdr>
            <w:top w:val="none" w:sz="0" w:space="0" w:color="auto"/>
            <w:left w:val="none" w:sz="0" w:space="0" w:color="auto"/>
            <w:bottom w:val="none" w:sz="0" w:space="0" w:color="auto"/>
            <w:right w:val="none" w:sz="0" w:space="0" w:color="auto"/>
          </w:divBdr>
        </w:div>
        <w:div w:id="1726834493">
          <w:marLeft w:val="274"/>
          <w:marRight w:val="0"/>
          <w:marTop w:val="0"/>
          <w:marBottom w:val="0"/>
          <w:divBdr>
            <w:top w:val="none" w:sz="0" w:space="0" w:color="auto"/>
            <w:left w:val="none" w:sz="0" w:space="0" w:color="auto"/>
            <w:bottom w:val="none" w:sz="0" w:space="0" w:color="auto"/>
            <w:right w:val="none" w:sz="0" w:space="0" w:color="auto"/>
          </w:divBdr>
        </w:div>
        <w:div w:id="1731808413">
          <w:marLeft w:val="274"/>
          <w:marRight w:val="0"/>
          <w:marTop w:val="0"/>
          <w:marBottom w:val="0"/>
          <w:divBdr>
            <w:top w:val="none" w:sz="0" w:space="0" w:color="auto"/>
            <w:left w:val="none" w:sz="0" w:space="0" w:color="auto"/>
            <w:bottom w:val="none" w:sz="0" w:space="0" w:color="auto"/>
            <w:right w:val="none" w:sz="0" w:space="0" w:color="auto"/>
          </w:divBdr>
        </w:div>
        <w:div w:id="1904099538">
          <w:marLeft w:val="274"/>
          <w:marRight w:val="0"/>
          <w:marTop w:val="0"/>
          <w:marBottom w:val="0"/>
          <w:divBdr>
            <w:top w:val="none" w:sz="0" w:space="0" w:color="auto"/>
            <w:left w:val="none" w:sz="0" w:space="0" w:color="auto"/>
            <w:bottom w:val="none" w:sz="0" w:space="0" w:color="auto"/>
            <w:right w:val="none" w:sz="0" w:space="0" w:color="auto"/>
          </w:divBdr>
        </w:div>
      </w:divsChild>
    </w:div>
    <w:div w:id="969820254">
      <w:bodyDiv w:val="1"/>
      <w:marLeft w:val="0"/>
      <w:marRight w:val="0"/>
      <w:marTop w:val="0"/>
      <w:marBottom w:val="0"/>
      <w:divBdr>
        <w:top w:val="none" w:sz="0" w:space="0" w:color="auto"/>
        <w:left w:val="none" w:sz="0" w:space="0" w:color="auto"/>
        <w:bottom w:val="none" w:sz="0" w:space="0" w:color="auto"/>
        <w:right w:val="none" w:sz="0" w:space="0" w:color="auto"/>
      </w:divBdr>
    </w:div>
    <w:div w:id="1027027359">
      <w:bodyDiv w:val="1"/>
      <w:marLeft w:val="0"/>
      <w:marRight w:val="0"/>
      <w:marTop w:val="0"/>
      <w:marBottom w:val="0"/>
      <w:divBdr>
        <w:top w:val="none" w:sz="0" w:space="0" w:color="auto"/>
        <w:left w:val="none" w:sz="0" w:space="0" w:color="auto"/>
        <w:bottom w:val="none" w:sz="0" w:space="0" w:color="auto"/>
        <w:right w:val="none" w:sz="0" w:space="0" w:color="auto"/>
      </w:divBdr>
    </w:div>
    <w:div w:id="1074858927">
      <w:bodyDiv w:val="1"/>
      <w:marLeft w:val="0"/>
      <w:marRight w:val="0"/>
      <w:marTop w:val="0"/>
      <w:marBottom w:val="0"/>
      <w:divBdr>
        <w:top w:val="none" w:sz="0" w:space="0" w:color="auto"/>
        <w:left w:val="none" w:sz="0" w:space="0" w:color="auto"/>
        <w:bottom w:val="none" w:sz="0" w:space="0" w:color="auto"/>
        <w:right w:val="none" w:sz="0" w:space="0" w:color="auto"/>
      </w:divBdr>
    </w:div>
    <w:div w:id="1183472475">
      <w:bodyDiv w:val="1"/>
      <w:marLeft w:val="0"/>
      <w:marRight w:val="0"/>
      <w:marTop w:val="0"/>
      <w:marBottom w:val="0"/>
      <w:divBdr>
        <w:top w:val="none" w:sz="0" w:space="0" w:color="auto"/>
        <w:left w:val="none" w:sz="0" w:space="0" w:color="auto"/>
        <w:bottom w:val="none" w:sz="0" w:space="0" w:color="auto"/>
        <w:right w:val="none" w:sz="0" w:space="0" w:color="auto"/>
      </w:divBdr>
    </w:div>
    <w:div w:id="1185557809">
      <w:bodyDiv w:val="1"/>
      <w:marLeft w:val="0"/>
      <w:marRight w:val="0"/>
      <w:marTop w:val="0"/>
      <w:marBottom w:val="0"/>
      <w:divBdr>
        <w:top w:val="none" w:sz="0" w:space="0" w:color="auto"/>
        <w:left w:val="none" w:sz="0" w:space="0" w:color="auto"/>
        <w:bottom w:val="none" w:sz="0" w:space="0" w:color="auto"/>
        <w:right w:val="none" w:sz="0" w:space="0" w:color="auto"/>
      </w:divBdr>
    </w:div>
    <w:div w:id="1192108081">
      <w:bodyDiv w:val="1"/>
      <w:marLeft w:val="0"/>
      <w:marRight w:val="0"/>
      <w:marTop w:val="0"/>
      <w:marBottom w:val="0"/>
      <w:divBdr>
        <w:top w:val="none" w:sz="0" w:space="0" w:color="auto"/>
        <w:left w:val="none" w:sz="0" w:space="0" w:color="auto"/>
        <w:bottom w:val="none" w:sz="0" w:space="0" w:color="auto"/>
        <w:right w:val="none" w:sz="0" w:space="0" w:color="auto"/>
      </w:divBdr>
    </w:div>
    <w:div w:id="1202788316">
      <w:bodyDiv w:val="1"/>
      <w:marLeft w:val="0"/>
      <w:marRight w:val="0"/>
      <w:marTop w:val="0"/>
      <w:marBottom w:val="0"/>
      <w:divBdr>
        <w:top w:val="none" w:sz="0" w:space="0" w:color="auto"/>
        <w:left w:val="none" w:sz="0" w:space="0" w:color="auto"/>
        <w:bottom w:val="none" w:sz="0" w:space="0" w:color="auto"/>
        <w:right w:val="none" w:sz="0" w:space="0" w:color="auto"/>
      </w:divBdr>
    </w:div>
    <w:div w:id="1244290762">
      <w:bodyDiv w:val="1"/>
      <w:marLeft w:val="0"/>
      <w:marRight w:val="0"/>
      <w:marTop w:val="0"/>
      <w:marBottom w:val="0"/>
      <w:divBdr>
        <w:top w:val="none" w:sz="0" w:space="0" w:color="auto"/>
        <w:left w:val="none" w:sz="0" w:space="0" w:color="auto"/>
        <w:bottom w:val="none" w:sz="0" w:space="0" w:color="auto"/>
        <w:right w:val="none" w:sz="0" w:space="0" w:color="auto"/>
      </w:divBdr>
    </w:div>
    <w:div w:id="1271624043">
      <w:bodyDiv w:val="1"/>
      <w:marLeft w:val="0"/>
      <w:marRight w:val="0"/>
      <w:marTop w:val="0"/>
      <w:marBottom w:val="0"/>
      <w:divBdr>
        <w:top w:val="none" w:sz="0" w:space="0" w:color="auto"/>
        <w:left w:val="none" w:sz="0" w:space="0" w:color="auto"/>
        <w:bottom w:val="none" w:sz="0" w:space="0" w:color="auto"/>
        <w:right w:val="none" w:sz="0" w:space="0" w:color="auto"/>
      </w:divBdr>
    </w:div>
    <w:div w:id="1350372068">
      <w:bodyDiv w:val="1"/>
      <w:marLeft w:val="0"/>
      <w:marRight w:val="0"/>
      <w:marTop w:val="0"/>
      <w:marBottom w:val="0"/>
      <w:divBdr>
        <w:top w:val="none" w:sz="0" w:space="0" w:color="auto"/>
        <w:left w:val="none" w:sz="0" w:space="0" w:color="auto"/>
        <w:bottom w:val="none" w:sz="0" w:space="0" w:color="auto"/>
        <w:right w:val="none" w:sz="0" w:space="0" w:color="auto"/>
      </w:divBdr>
    </w:div>
    <w:div w:id="1436516103">
      <w:bodyDiv w:val="1"/>
      <w:marLeft w:val="0"/>
      <w:marRight w:val="0"/>
      <w:marTop w:val="0"/>
      <w:marBottom w:val="0"/>
      <w:divBdr>
        <w:top w:val="none" w:sz="0" w:space="0" w:color="auto"/>
        <w:left w:val="none" w:sz="0" w:space="0" w:color="auto"/>
        <w:bottom w:val="none" w:sz="0" w:space="0" w:color="auto"/>
        <w:right w:val="none" w:sz="0" w:space="0" w:color="auto"/>
      </w:divBdr>
    </w:div>
    <w:div w:id="1458645117">
      <w:bodyDiv w:val="1"/>
      <w:marLeft w:val="0"/>
      <w:marRight w:val="0"/>
      <w:marTop w:val="0"/>
      <w:marBottom w:val="0"/>
      <w:divBdr>
        <w:top w:val="none" w:sz="0" w:space="0" w:color="auto"/>
        <w:left w:val="none" w:sz="0" w:space="0" w:color="auto"/>
        <w:bottom w:val="none" w:sz="0" w:space="0" w:color="auto"/>
        <w:right w:val="none" w:sz="0" w:space="0" w:color="auto"/>
      </w:divBdr>
    </w:div>
    <w:div w:id="1488475586">
      <w:bodyDiv w:val="1"/>
      <w:marLeft w:val="0"/>
      <w:marRight w:val="0"/>
      <w:marTop w:val="0"/>
      <w:marBottom w:val="0"/>
      <w:divBdr>
        <w:top w:val="none" w:sz="0" w:space="0" w:color="auto"/>
        <w:left w:val="none" w:sz="0" w:space="0" w:color="auto"/>
        <w:bottom w:val="none" w:sz="0" w:space="0" w:color="auto"/>
        <w:right w:val="none" w:sz="0" w:space="0" w:color="auto"/>
      </w:divBdr>
    </w:div>
    <w:div w:id="1530026708">
      <w:bodyDiv w:val="1"/>
      <w:marLeft w:val="0"/>
      <w:marRight w:val="0"/>
      <w:marTop w:val="0"/>
      <w:marBottom w:val="0"/>
      <w:divBdr>
        <w:top w:val="none" w:sz="0" w:space="0" w:color="auto"/>
        <w:left w:val="none" w:sz="0" w:space="0" w:color="auto"/>
        <w:bottom w:val="none" w:sz="0" w:space="0" w:color="auto"/>
        <w:right w:val="none" w:sz="0" w:space="0" w:color="auto"/>
      </w:divBdr>
    </w:div>
    <w:div w:id="1571502565">
      <w:bodyDiv w:val="1"/>
      <w:marLeft w:val="0"/>
      <w:marRight w:val="0"/>
      <w:marTop w:val="0"/>
      <w:marBottom w:val="0"/>
      <w:divBdr>
        <w:top w:val="none" w:sz="0" w:space="0" w:color="auto"/>
        <w:left w:val="none" w:sz="0" w:space="0" w:color="auto"/>
        <w:bottom w:val="none" w:sz="0" w:space="0" w:color="auto"/>
        <w:right w:val="none" w:sz="0" w:space="0" w:color="auto"/>
      </w:divBdr>
    </w:div>
    <w:div w:id="1641694099">
      <w:bodyDiv w:val="1"/>
      <w:marLeft w:val="0"/>
      <w:marRight w:val="0"/>
      <w:marTop w:val="0"/>
      <w:marBottom w:val="0"/>
      <w:divBdr>
        <w:top w:val="none" w:sz="0" w:space="0" w:color="auto"/>
        <w:left w:val="none" w:sz="0" w:space="0" w:color="auto"/>
        <w:bottom w:val="none" w:sz="0" w:space="0" w:color="auto"/>
        <w:right w:val="none" w:sz="0" w:space="0" w:color="auto"/>
      </w:divBdr>
    </w:div>
    <w:div w:id="1698697905">
      <w:bodyDiv w:val="1"/>
      <w:marLeft w:val="0"/>
      <w:marRight w:val="0"/>
      <w:marTop w:val="0"/>
      <w:marBottom w:val="0"/>
      <w:divBdr>
        <w:top w:val="none" w:sz="0" w:space="0" w:color="auto"/>
        <w:left w:val="none" w:sz="0" w:space="0" w:color="auto"/>
        <w:bottom w:val="none" w:sz="0" w:space="0" w:color="auto"/>
        <w:right w:val="none" w:sz="0" w:space="0" w:color="auto"/>
      </w:divBdr>
    </w:div>
    <w:div w:id="1742828827">
      <w:bodyDiv w:val="1"/>
      <w:marLeft w:val="0"/>
      <w:marRight w:val="0"/>
      <w:marTop w:val="0"/>
      <w:marBottom w:val="0"/>
      <w:divBdr>
        <w:top w:val="none" w:sz="0" w:space="0" w:color="auto"/>
        <w:left w:val="none" w:sz="0" w:space="0" w:color="auto"/>
        <w:bottom w:val="none" w:sz="0" w:space="0" w:color="auto"/>
        <w:right w:val="none" w:sz="0" w:space="0" w:color="auto"/>
      </w:divBdr>
    </w:div>
    <w:div w:id="1820220095">
      <w:bodyDiv w:val="1"/>
      <w:marLeft w:val="0"/>
      <w:marRight w:val="0"/>
      <w:marTop w:val="0"/>
      <w:marBottom w:val="0"/>
      <w:divBdr>
        <w:top w:val="none" w:sz="0" w:space="0" w:color="auto"/>
        <w:left w:val="none" w:sz="0" w:space="0" w:color="auto"/>
        <w:bottom w:val="none" w:sz="0" w:space="0" w:color="auto"/>
        <w:right w:val="none" w:sz="0" w:space="0" w:color="auto"/>
      </w:divBdr>
    </w:div>
    <w:div w:id="1954821017">
      <w:bodyDiv w:val="1"/>
      <w:marLeft w:val="0"/>
      <w:marRight w:val="0"/>
      <w:marTop w:val="0"/>
      <w:marBottom w:val="0"/>
      <w:divBdr>
        <w:top w:val="none" w:sz="0" w:space="0" w:color="auto"/>
        <w:left w:val="none" w:sz="0" w:space="0" w:color="auto"/>
        <w:bottom w:val="none" w:sz="0" w:space="0" w:color="auto"/>
        <w:right w:val="none" w:sz="0" w:space="0" w:color="auto"/>
      </w:divBdr>
    </w:div>
    <w:div w:id="1961259365">
      <w:bodyDiv w:val="1"/>
      <w:marLeft w:val="0"/>
      <w:marRight w:val="0"/>
      <w:marTop w:val="0"/>
      <w:marBottom w:val="0"/>
      <w:divBdr>
        <w:top w:val="none" w:sz="0" w:space="0" w:color="auto"/>
        <w:left w:val="none" w:sz="0" w:space="0" w:color="auto"/>
        <w:bottom w:val="none" w:sz="0" w:space="0" w:color="auto"/>
        <w:right w:val="none" w:sz="0" w:space="0" w:color="auto"/>
      </w:divBdr>
    </w:div>
    <w:div w:id="206617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creativecommons.org/licenses/by/3.0/au/deed.en" TargetMode="External"/><Relationship Id="rId26" Type="http://schemas.openxmlformats.org/officeDocument/2006/relationships/footer" Target="footer2.xml"/><Relationship Id="rId39" Type="http://schemas.openxmlformats.org/officeDocument/2006/relationships/image" Target="media/image7.png"/><Relationship Id="rId21" Type="http://schemas.openxmlformats.org/officeDocument/2006/relationships/header" Target="header1.xml"/><Relationship Id="rId34" Type="http://schemas.openxmlformats.org/officeDocument/2006/relationships/image" Target="media/image4.png"/><Relationship Id="rId42" Type="http://schemas.openxmlformats.org/officeDocument/2006/relationships/header" Target="header12.xml"/><Relationship Id="rId47" Type="http://schemas.openxmlformats.org/officeDocument/2006/relationships/chart" Target="charts/chart1.xml"/><Relationship Id="rId50" Type="http://schemas.openxmlformats.org/officeDocument/2006/relationships/image" Target="media/image12.png"/><Relationship Id="rId55" Type="http://schemas.openxmlformats.org/officeDocument/2006/relationships/image" Target="media/image17.emf"/><Relationship Id="rId63" Type="http://schemas.openxmlformats.org/officeDocument/2006/relationships/image" Target="media/image24.png"/><Relationship Id="rId68" Type="http://schemas.openxmlformats.org/officeDocument/2006/relationships/image" Target="media/image29.emf"/><Relationship Id="rId76" Type="http://schemas.openxmlformats.org/officeDocument/2006/relationships/image" Target="media/image36.png"/><Relationship Id="rId84" Type="http://schemas.openxmlformats.org/officeDocument/2006/relationships/image" Target="media/image44.png"/><Relationship Id="rId7" Type="http://schemas.openxmlformats.org/officeDocument/2006/relationships/numbering" Target="numbering.xml"/><Relationship Id="rId71"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9" Type="http://schemas.openxmlformats.org/officeDocument/2006/relationships/header" Target="header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footer" Target="footer4.xml"/><Relationship Id="rId37" Type="http://schemas.openxmlformats.org/officeDocument/2006/relationships/header" Target="header9.xml"/><Relationship Id="rId40" Type="http://schemas.openxmlformats.org/officeDocument/2006/relationships/image" Target="media/image8.png"/><Relationship Id="rId45" Type="http://schemas.openxmlformats.org/officeDocument/2006/relationships/image" Target="media/image10.emf"/><Relationship Id="rId53" Type="http://schemas.openxmlformats.org/officeDocument/2006/relationships/image" Target="media/image15.png"/><Relationship Id="rId58" Type="http://schemas.openxmlformats.org/officeDocument/2006/relationships/image" Target="media/image19.png"/><Relationship Id="rId66" Type="http://schemas.openxmlformats.org/officeDocument/2006/relationships/image" Target="media/image27.png"/><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2.png"/><Relationship Id="rId82" Type="http://schemas.openxmlformats.org/officeDocument/2006/relationships/image" Target="media/image42.png"/><Relationship Id="rId19" Type="http://schemas.openxmlformats.org/officeDocument/2006/relationships/hyperlink" Target="http://www.itsanhonour.gov.au"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image" Target="media/image5.png"/><Relationship Id="rId43" Type="http://schemas.openxmlformats.org/officeDocument/2006/relationships/header" Target="header13.xml"/><Relationship Id="rId48" Type="http://schemas.openxmlformats.org/officeDocument/2006/relationships/image" Target="media/image11.emf"/><Relationship Id="rId56" Type="http://schemas.openxmlformats.org/officeDocument/2006/relationships/image" Target="media/image18.emf"/><Relationship Id="rId64" Type="http://schemas.openxmlformats.org/officeDocument/2006/relationships/image" Target="media/image25.emf"/><Relationship Id="rId69" Type="http://schemas.openxmlformats.org/officeDocument/2006/relationships/oleObject" Target="http://tweb/sites/cssg/ped/pu/pt/2017/Reports%20and%20Reviews/Intergovernmental%20Review%20of%20Business%20Investment/10%20year%20yields.xls!Chart" TargetMode="External"/><Relationship Id="rId77" Type="http://schemas.openxmlformats.org/officeDocument/2006/relationships/image" Target="media/image37.png"/><Relationship Id="rId8" Type="http://schemas.openxmlformats.org/officeDocument/2006/relationships/styles" Target="styles.xml"/><Relationship Id="rId51" Type="http://schemas.openxmlformats.org/officeDocument/2006/relationships/image" Target="media/image13.emf"/><Relationship Id="rId72"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wmf"/><Relationship Id="rId25" Type="http://schemas.openxmlformats.org/officeDocument/2006/relationships/footer" Target="footer1.xml"/><Relationship Id="rId33" Type="http://schemas.openxmlformats.org/officeDocument/2006/relationships/image" Target="media/image3.png"/><Relationship Id="rId38" Type="http://schemas.openxmlformats.org/officeDocument/2006/relationships/header" Target="header10.xml"/><Relationship Id="rId46" Type="http://schemas.openxmlformats.org/officeDocument/2006/relationships/oleObject" Target="http://tweb/sites/cssg/ped/pu/pt/2017/Reports%20and%20Reviews/Intergovernmental%20Review%20of%20Business%20Investment/Mining%20and%20non-mining%20BI.xlsx!CHARTS%20(with%20spliced%20data)!%5bMining%20and%20non-mining%20BI.xlsx%5dCHARTS%20(with%20spliced%20data)Chart%202" TargetMode="External"/><Relationship Id="rId59" Type="http://schemas.openxmlformats.org/officeDocument/2006/relationships/image" Target="media/image20.emf"/><Relationship Id="rId67" Type="http://schemas.openxmlformats.org/officeDocument/2006/relationships/image" Target="media/image28.png"/><Relationship Id="rId20" Type="http://schemas.openxmlformats.org/officeDocument/2006/relationships/hyperlink" Target="mailto:medialiaison@treasury.gov.au" TargetMode="External"/><Relationship Id="rId41" Type="http://schemas.openxmlformats.org/officeDocument/2006/relationships/header" Target="header11.xml"/><Relationship Id="rId54" Type="http://schemas.openxmlformats.org/officeDocument/2006/relationships/image" Target="media/image16.png"/><Relationship Id="rId62" Type="http://schemas.openxmlformats.org/officeDocument/2006/relationships/image" Target="media/image23.emf"/><Relationship Id="rId70" Type="http://schemas.openxmlformats.org/officeDocument/2006/relationships/image" Target="media/image30.emf"/><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creativecommons.org/licenses/by/3.0/au/deed.en" TargetMode="External"/><Relationship Id="rId23" Type="http://schemas.openxmlformats.org/officeDocument/2006/relationships/header" Target="header3.xml"/><Relationship Id="rId28" Type="http://schemas.openxmlformats.org/officeDocument/2006/relationships/footer" Target="footer3.xml"/><Relationship Id="rId36" Type="http://schemas.openxmlformats.org/officeDocument/2006/relationships/image" Target="media/image6.png"/><Relationship Id="rId49" Type="http://schemas.openxmlformats.org/officeDocument/2006/relationships/oleObject" Target="http://tweb/sites/cssg/ped/pu/pt/2017/Reports%20and%20Reviews/Intergovernmental%20Review%20of%20Business%20Investment/170604%20-%20Industry%20GVA%20as%20a%20share%20of%20GDP%20-%20For%20Nigel.xlsx!Charts!%5b170604%20-%20Industry%20GVA%20as%20a%20share%20of%20GDP%20-%20For%20Nigel.xlsx%5dChartsChart%205" TargetMode="External"/><Relationship Id="rId57" Type="http://schemas.openxmlformats.org/officeDocument/2006/relationships/oleObject" Target="file:///\\romulus\ECD_PRO$\CHARTS\BI\Charts%20for%20CFFR%20report\BI%20by%20state.xlsx!Charts!%5bBI%20by%20state.xlsx%5dCharts%20Chart%204" TargetMode="External"/><Relationship Id="rId10" Type="http://schemas.openxmlformats.org/officeDocument/2006/relationships/settings" Target="settings.xml"/><Relationship Id="rId31" Type="http://schemas.openxmlformats.org/officeDocument/2006/relationships/header" Target="header8.xml"/><Relationship Id="rId44" Type="http://schemas.openxmlformats.org/officeDocument/2006/relationships/image" Target="media/image9.jpeg"/><Relationship Id="rId52" Type="http://schemas.openxmlformats.org/officeDocument/2006/relationships/image" Target="media/image14.png"/><Relationship Id="rId60" Type="http://schemas.openxmlformats.org/officeDocument/2006/relationships/image" Target="media/image21.emf"/><Relationship Id="rId65" Type="http://schemas.openxmlformats.org/officeDocument/2006/relationships/image" Target="media/image26.png"/><Relationship Id="rId73" Type="http://schemas.openxmlformats.org/officeDocument/2006/relationships/image" Target="media/image33.png"/><Relationship Id="rId78" Type="http://schemas.openxmlformats.org/officeDocument/2006/relationships/image" Target="media/image38.emf"/><Relationship Id="rId81" Type="http://schemas.openxmlformats.org/officeDocument/2006/relationships/image" Target="media/image41.png"/><Relationship Id="rId86" Type="http://schemas.openxmlformats.org/officeDocument/2006/relationships/image" Target="media/image46.png"/></Relationships>
</file>

<file path=word/_rels/footnotes.xml.rels><?xml version="1.0" encoding="UTF-8" standalone="yes"?>
<Relationships xmlns="http://schemas.openxmlformats.org/package/2006/relationships"><Relationship Id="rId1" Type="http://schemas.openxmlformats.org/officeDocument/2006/relationships/hyperlink" Target="https://static.treasury.gov.au/uploads/sites/1/2017/08/p2017-t213722-Roundup_Productivity_trends_and_structural_change.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9.1039426523297495E-3"/>
          <c:y val="3.7626984126984127E-2"/>
          <c:w val="0.98862007168458776"/>
          <c:h val="0.96237301587301582"/>
        </c:manualLayout>
      </c:layout>
      <c:lineChart>
        <c:grouping val="standard"/>
        <c:varyColors val="0"/>
        <c:ser>
          <c:idx val="1"/>
          <c:order val="0"/>
          <c:tx>
            <c:strRef>
              <c:f>'C:\Users\BNJ\AppData\Local\Microsoft\Windows\Temporary Internet Files\Content.Outlook\N1YCBJN7\[Contibutions to Growth.xlsx]Calcs'!$A$30</c:f>
              <c:strCache>
                <c:ptCount val="1"/>
                <c:pt idx="0">
                  <c:v>Construction</c:v>
                </c:pt>
              </c:strCache>
            </c:strRef>
          </c:tx>
          <c:spPr>
            <a:ln>
              <a:solidFill>
                <a:srgbClr val="00B050"/>
              </a:solidFill>
            </a:ln>
          </c:spPr>
          <c:marker>
            <c:symbol val="none"/>
          </c:marker>
          <c:cat>
            <c:strRef>
              <c:f>'C:\Users\BNJ\AppData\Local\Microsoft\Windows\Temporary Internet Files\Content.Outlook\N1YCBJN7\[Contibutions to Growth.xlsx]Calcs'!$W$1:$BF$1</c:f>
              <c:strCache>
                <c:ptCount val="36"/>
                <c:pt idx="0">
                  <c:v>1980-81</c:v>
                </c:pt>
                <c:pt idx="1">
                  <c:v>1981-82</c:v>
                </c:pt>
                <c:pt idx="2">
                  <c:v>1982-83</c:v>
                </c:pt>
                <c:pt idx="3">
                  <c:v>1983-84</c:v>
                </c:pt>
                <c:pt idx="4">
                  <c:v>1984-85</c:v>
                </c:pt>
                <c:pt idx="5">
                  <c:v>1985-86</c:v>
                </c:pt>
                <c:pt idx="6">
                  <c:v>1986-87</c:v>
                </c:pt>
                <c:pt idx="7">
                  <c:v>1987-88</c:v>
                </c:pt>
                <c:pt idx="8">
                  <c:v>1988-89</c:v>
                </c:pt>
                <c:pt idx="9">
                  <c:v>1989-90</c:v>
                </c:pt>
                <c:pt idx="10">
                  <c:v>1990-91</c:v>
                </c:pt>
                <c:pt idx="11">
                  <c:v>1991-92</c:v>
                </c:pt>
                <c:pt idx="12">
                  <c:v>1992-93</c:v>
                </c:pt>
                <c:pt idx="13">
                  <c:v>1993-94</c:v>
                </c:pt>
                <c:pt idx="14">
                  <c:v>1994-95</c:v>
                </c:pt>
                <c:pt idx="15">
                  <c:v>1995-96</c:v>
                </c:pt>
                <c:pt idx="16">
                  <c:v>1996-97</c:v>
                </c:pt>
                <c:pt idx="17">
                  <c:v>1997-98</c:v>
                </c:pt>
                <c:pt idx="18">
                  <c:v>1998-99</c:v>
                </c:pt>
                <c:pt idx="19">
                  <c:v>1999-00</c:v>
                </c:pt>
                <c:pt idx="20">
                  <c:v>2000-01</c:v>
                </c:pt>
                <c:pt idx="21">
                  <c:v>2001-02</c:v>
                </c:pt>
                <c:pt idx="22">
                  <c:v>2002-03</c:v>
                </c:pt>
                <c:pt idx="23">
                  <c:v>2003-04</c:v>
                </c:pt>
                <c:pt idx="24">
                  <c:v>2004-05</c:v>
                </c:pt>
                <c:pt idx="25">
                  <c:v>2005-06</c:v>
                </c:pt>
                <c:pt idx="26">
                  <c:v>2006-07</c:v>
                </c:pt>
                <c:pt idx="27">
                  <c:v>2007-08</c:v>
                </c:pt>
                <c:pt idx="28">
                  <c:v>2008-09</c:v>
                </c:pt>
                <c:pt idx="29">
                  <c:v>2009-10</c:v>
                </c:pt>
                <c:pt idx="30">
                  <c:v>2010-11</c:v>
                </c:pt>
                <c:pt idx="31">
                  <c:v>2011-12</c:v>
                </c:pt>
                <c:pt idx="32">
                  <c:v>2012-13</c:v>
                </c:pt>
                <c:pt idx="33">
                  <c:v>2013-14</c:v>
                </c:pt>
                <c:pt idx="34">
                  <c:v>2014-15</c:v>
                </c:pt>
                <c:pt idx="35">
                  <c:v>2015-16</c:v>
                </c:pt>
              </c:strCache>
            </c:strRef>
          </c:cat>
          <c:val>
            <c:numRef>
              <c:f>'C:\Users\BNJ\AppData\Local\Microsoft\Windows\Temporary Internet Files\Content.Outlook\N1YCBJN7\[Contibutions to Growth.xlsx]Calcs'!$W$30:$BF$30</c:f>
              <c:numCache>
                <c:formatCode>General</c:formatCode>
                <c:ptCount val="36"/>
                <c:pt idx="0">
                  <c:v>0.37824562325159899</c:v>
                </c:pt>
                <c:pt idx="1">
                  <c:v>0.3498671642555225</c:v>
                </c:pt>
                <c:pt idx="2">
                  <c:v>0.33912092671924277</c:v>
                </c:pt>
                <c:pt idx="3">
                  <c:v>0.37020223057374324</c:v>
                </c:pt>
                <c:pt idx="4">
                  <c:v>0.44202652159129546</c:v>
                </c:pt>
                <c:pt idx="5">
                  <c:v>0.47891323535055069</c:v>
                </c:pt>
                <c:pt idx="6">
                  <c:v>0.52588360675786638</c:v>
                </c:pt>
                <c:pt idx="7">
                  <c:v>0.62302608266958359</c:v>
                </c:pt>
                <c:pt idx="8">
                  <c:v>0.64583910217777274</c:v>
                </c:pt>
                <c:pt idx="9">
                  <c:v>0.57153729447637502</c:v>
                </c:pt>
                <c:pt idx="10">
                  <c:v>0.38609295115587183</c:v>
                </c:pt>
                <c:pt idx="11">
                  <c:v>0.35419293597608487</c:v>
                </c:pt>
                <c:pt idx="12">
                  <c:v>0.44087644437646351</c:v>
                </c:pt>
                <c:pt idx="13">
                  <c:v>0.60122856959397275</c:v>
                </c:pt>
                <c:pt idx="14">
                  <c:v>0.55205079109140376</c:v>
                </c:pt>
                <c:pt idx="15">
                  <c:v>0.63368819368653206</c:v>
                </c:pt>
                <c:pt idx="16">
                  <c:v>0.35908736895374754</c:v>
                </c:pt>
                <c:pt idx="17">
                  <c:v>0.43960406790703671</c:v>
                </c:pt>
                <c:pt idx="18">
                  <c:v>0.47117552334943641</c:v>
                </c:pt>
                <c:pt idx="19">
                  <c:v>0.42629418834040045</c:v>
                </c:pt>
                <c:pt idx="20">
                  <c:v>0.39940966684701479</c:v>
                </c:pt>
                <c:pt idx="21">
                  <c:v>0.4196343811155247</c:v>
                </c:pt>
                <c:pt idx="22">
                  <c:v>0.44262194870924804</c:v>
                </c:pt>
                <c:pt idx="23">
                  <c:v>0.40534945298120312</c:v>
                </c:pt>
                <c:pt idx="24">
                  <c:v>0.49347398533881637</c:v>
                </c:pt>
                <c:pt idx="25">
                  <c:v>0.49095705578001275</c:v>
                </c:pt>
                <c:pt idx="26">
                  <c:v>0.47699183403222251</c:v>
                </c:pt>
                <c:pt idx="27">
                  <c:v>0.57337533052428336</c:v>
                </c:pt>
                <c:pt idx="28">
                  <c:v>0.49655358617622769</c:v>
                </c:pt>
                <c:pt idx="29">
                  <c:v>0.67591105411296115</c:v>
                </c:pt>
                <c:pt idx="30">
                  <c:v>0.56329859717733877</c:v>
                </c:pt>
                <c:pt idx="31">
                  <c:v>0.48205419037218927</c:v>
                </c:pt>
                <c:pt idx="32">
                  <c:v>0.48097286532694306</c:v>
                </c:pt>
                <c:pt idx="33">
                  <c:v>0.43334968615167868</c:v>
                </c:pt>
                <c:pt idx="34">
                  <c:v>0.55039653287289669</c:v>
                </c:pt>
                <c:pt idx="35">
                  <c:v>0.4556265650832938</c:v>
                </c:pt>
              </c:numCache>
            </c:numRef>
          </c:val>
          <c:smooth val="0"/>
        </c:ser>
        <c:dLbls>
          <c:showLegendKey val="0"/>
          <c:showVal val="0"/>
          <c:showCatName val="0"/>
          <c:showSerName val="0"/>
          <c:showPercent val="0"/>
          <c:showBubbleSize val="0"/>
        </c:dLbls>
        <c:marker val="1"/>
        <c:smooth val="0"/>
        <c:axId val="136421376"/>
        <c:axId val="136422912"/>
      </c:lineChart>
      <c:lineChart>
        <c:grouping val="standard"/>
        <c:varyColors val="0"/>
        <c:ser>
          <c:idx val="2"/>
          <c:order val="1"/>
          <c:tx>
            <c:strRef>
              <c:f>'C:\Users\BNJ\AppData\Local\Microsoft\Windows\Temporary Internet Files\Content.Outlook\N1YCBJN7\[Contibutions to Growth.xlsx]Calcs'!$A$31</c:f>
              <c:strCache>
                <c:ptCount val="1"/>
                <c:pt idx="0">
                  <c:v>Manufacturing</c:v>
                </c:pt>
              </c:strCache>
            </c:strRef>
          </c:tx>
          <c:spPr>
            <a:ln>
              <a:solidFill>
                <a:schemeClr val="bg1">
                  <a:lumMod val="50000"/>
                </a:schemeClr>
              </a:solidFill>
            </a:ln>
          </c:spPr>
          <c:marker>
            <c:symbol val="none"/>
          </c:marker>
          <c:cat>
            <c:strRef>
              <c:f>'C:\Users\BNJ\AppData\Local\Microsoft\Windows\Temporary Internet Files\Content.Outlook\N1YCBJN7\[Contibutions to Growth.xlsx]Calcs'!$W$1:$BF$1</c:f>
              <c:strCache>
                <c:ptCount val="36"/>
                <c:pt idx="0">
                  <c:v>1980-81</c:v>
                </c:pt>
                <c:pt idx="1">
                  <c:v>1981-82</c:v>
                </c:pt>
                <c:pt idx="2">
                  <c:v>1982-83</c:v>
                </c:pt>
                <c:pt idx="3">
                  <c:v>1983-84</c:v>
                </c:pt>
                <c:pt idx="4">
                  <c:v>1984-85</c:v>
                </c:pt>
                <c:pt idx="5">
                  <c:v>1985-86</c:v>
                </c:pt>
                <c:pt idx="6">
                  <c:v>1986-87</c:v>
                </c:pt>
                <c:pt idx="7">
                  <c:v>1987-88</c:v>
                </c:pt>
                <c:pt idx="8">
                  <c:v>1988-89</c:v>
                </c:pt>
                <c:pt idx="9">
                  <c:v>1989-90</c:v>
                </c:pt>
                <c:pt idx="10">
                  <c:v>1990-91</c:v>
                </c:pt>
                <c:pt idx="11">
                  <c:v>1991-92</c:v>
                </c:pt>
                <c:pt idx="12">
                  <c:v>1992-93</c:v>
                </c:pt>
                <c:pt idx="13">
                  <c:v>1993-94</c:v>
                </c:pt>
                <c:pt idx="14">
                  <c:v>1994-95</c:v>
                </c:pt>
                <c:pt idx="15">
                  <c:v>1995-96</c:v>
                </c:pt>
                <c:pt idx="16">
                  <c:v>1996-97</c:v>
                </c:pt>
                <c:pt idx="17">
                  <c:v>1997-98</c:v>
                </c:pt>
                <c:pt idx="18">
                  <c:v>1998-99</c:v>
                </c:pt>
                <c:pt idx="19">
                  <c:v>1999-00</c:v>
                </c:pt>
                <c:pt idx="20">
                  <c:v>2000-01</c:v>
                </c:pt>
                <c:pt idx="21">
                  <c:v>2001-02</c:v>
                </c:pt>
                <c:pt idx="22">
                  <c:v>2002-03</c:v>
                </c:pt>
                <c:pt idx="23">
                  <c:v>2003-04</c:v>
                </c:pt>
                <c:pt idx="24">
                  <c:v>2004-05</c:v>
                </c:pt>
                <c:pt idx="25">
                  <c:v>2005-06</c:v>
                </c:pt>
                <c:pt idx="26">
                  <c:v>2006-07</c:v>
                </c:pt>
                <c:pt idx="27">
                  <c:v>2007-08</c:v>
                </c:pt>
                <c:pt idx="28">
                  <c:v>2008-09</c:v>
                </c:pt>
                <c:pt idx="29">
                  <c:v>2009-10</c:v>
                </c:pt>
                <c:pt idx="30">
                  <c:v>2010-11</c:v>
                </c:pt>
                <c:pt idx="31">
                  <c:v>2011-12</c:v>
                </c:pt>
                <c:pt idx="32">
                  <c:v>2012-13</c:v>
                </c:pt>
                <c:pt idx="33">
                  <c:v>2013-14</c:v>
                </c:pt>
                <c:pt idx="34">
                  <c:v>2014-15</c:v>
                </c:pt>
                <c:pt idx="35">
                  <c:v>2015-16</c:v>
                </c:pt>
              </c:strCache>
            </c:strRef>
          </c:cat>
          <c:val>
            <c:numRef>
              <c:f>'C:\Users\BNJ\AppData\Local\Microsoft\Windows\Temporary Internet Files\Content.Outlook\N1YCBJN7\[Contibutions to Growth.xlsx]Calcs'!$W$31:$BF$31</c:f>
              <c:numCache>
                <c:formatCode>General</c:formatCode>
                <c:ptCount val="36"/>
                <c:pt idx="0">
                  <c:v>2.7337439749937618</c:v>
                </c:pt>
                <c:pt idx="1">
                  <c:v>3.160751161957208</c:v>
                </c:pt>
                <c:pt idx="2">
                  <c:v>2.7325117662284155</c:v>
                </c:pt>
                <c:pt idx="3">
                  <c:v>2.3134129275929367</c:v>
                </c:pt>
                <c:pt idx="4">
                  <c:v>2.1676300578034682</c:v>
                </c:pt>
                <c:pt idx="5">
                  <c:v>2.2372308991135501</c:v>
                </c:pt>
                <c:pt idx="6">
                  <c:v>2.6643604661320475</c:v>
                </c:pt>
                <c:pt idx="7">
                  <c:v>2.7198077308231525</c:v>
                </c:pt>
                <c:pt idx="8">
                  <c:v>2.624349138609722</c:v>
                </c:pt>
                <c:pt idx="9">
                  <c:v>2.5893382225758468</c:v>
                </c:pt>
                <c:pt idx="10">
                  <c:v>2.2181088185170563</c:v>
                </c:pt>
                <c:pt idx="11">
                  <c:v>2.144520163023202</c:v>
                </c:pt>
                <c:pt idx="12">
                  <c:v>2.2050570327665673</c:v>
                </c:pt>
                <c:pt idx="13">
                  <c:v>2.2463132210355088</c:v>
                </c:pt>
                <c:pt idx="14">
                  <c:v>2.5115388491383657</c:v>
                </c:pt>
                <c:pt idx="15">
                  <c:v>2.4210816506104629</c:v>
                </c:pt>
                <c:pt idx="16">
                  <c:v>2.24209774498157</c:v>
                </c:pt>
                <c:pt idx="17">
                  <c:v>2.2894702015968944</c:v>
                </c:pt>
                <c:pt idx="18">
                  <c:v>1.9064412238325283</c:v>
                </c:pt>
                <c:pt idx="19">
                  <c:v>2.0135597832248702</c:v>
                </c:pt>
                <c:pt idx="20">
                  <c:v>1.7549947453550923</c:v>
                </c:pt>
                <c:pt idx="21">
                  <c:v>1.6704497844153225</c:v>
                </c:pt>
                <c:pt idx="22">
                  <c:v>2.0093888748195767</c:v>
                </c:pt>
                <c:pt idx="23">
                  <c:v>2.0604973910340645</c:v>
                </c:pt>
                <c:pt idx="24">
                  <c:v>2.1938678759705041</c:v>
                </c:pt>
                <c:pt idx="25">
                  <c:v>2.3860793343335422</c:v>
                </c:pt>
                <c:pt idx="26">
                  <c:v>1.9098065180607664</c:v>
                </c:pt>
                <c:pt idx="27">
                  <c:v>1.8861410118178601</c:v>
                </c:pt>
                <c:pt idx="28">
                  <c:v>1.6318054761450989</c:v>
                </c:pt>
                <c:pt idx="29">
                  <c:v>1.4640372159555084</c:v>
                </c:pt>
                <c:pt idx="30">
                  <c:v>1.4146629212686521</c:v>
                </c:pt>
                <c:pt idx="31">
                  <c:v>1.4438833550864392</c:v>
                </c:pt>
                <c:pt idx="32">
                  <c:v>1.1154616377168616</c:v>
                </c:pt>
                <c:pt idx="33">
                  <c:v>1.0353849830811226</c:v>
                </c:pt>
                <c:pt idx="34">
                  <c:v>0.97296501704373983</c:v>
                </c:pt>
                <c:pt idx="35">
                  <c:v>0.94938315172727195</c:v>
                </c:pt>
              </c:numCache>
            </c:numRef>
          </c:val>
          <c:smooth val="0"/>
        </c:ser>
        <c:ser>
          <c:idx val="3"/>
          <c:order val="2"/>
          <c:tx>
            <c:strRef>
              <c:f>'C:\Users\BNJ\AppData\Local\Microsoft\Windows\Temporary Internet Files\Content.Outlook\N1YCBJN7\[Contibutions to Growth.xlsx]Calcs'!$A$32</c:f>
              <c:strCache>
                <c:ptCount val="1"/>
                <c:pt idx="0">
                  <c:v>Household Services</c:v>
                </c:pt>
              </c:strCache>
            </c:strRef>
          </c:tx>
          <c:spPr>
            <a:ln>
              <a:solidFill>
                <a:srgbClr val="7030A0"/>
              </a:solidFill>
            </a:ln>
          </c:spPr>
          <c:marker>
            <c:symbol val="none"/>
          </c:marker>
          <c:cat>
            <c:strRef>
              <c:f>'C:\Users\BNJ\AppData\Local\Microsoft\Windows\Temporary Internet Files\Content.Outlook\N1YCBJN7\[Contibutions to Growth.xlsx]Calcs'!$W$1:$BF$1</c:f>
              <c:strCache>
                <c:ptCount val="36"/>
                <c:pt idx="0">
                  <c:v>1980-81</c:v>
                </c:pt>
                <c:pt idx="1">
                  <c:v>1981-82</c:v>
                </c:pt>
                <c:pt idx="2">
                  <c:v>1982-83</c:v>
                </c:pt>
                <c:pt idx="3">
                  <c:v>1983-84</c:v>
                </c:pt>
                <c:pt idx="4">
                  <c:v>1984-85</c:v>
                </c:pt>
                <c:pt idx="5">
                  <c:v>1985-86</c:v>
                </c:pt>
                <c:pt idx="6">
                  <c:v>1986-87</c:v>
                </c:pt>
                <c:pt idx="7">
                  <c:v>1987-88</c:v>
                </c:pt>
                <c:pt idx="8">
                  <c:v>1988-89</c:v>
                </c:pt>
                <c:pt idx="9">
                  <c:v>1989-90</c:v>
                </c:pt>
                <c:pt idx="10">
                  <c:v>1990-91</c:v>
                </c:pt>
                <c:pt idx="11">
                  <c:v>1991-92</c:v>
                </c:pt>
                <c:pt idx="12">
                  <c:v>1992-93</c:v>
                </c:pt>
                <c:pt idx="13">
                  <c:v>1993-94</c:v>
                </c:pt>
                <c:pt idx="14">
                  <c:v>1994-95</c:v>
                </c:pt>
                <c:pt idx="15">
                  <c:v>1995-96</c:v>
                </c:pt>
                <c:pt idx="16">
                  <c:v>1996-97</c:v>
                </c:pt>
                <c:pt idx="17">
                  <c:v>1997-98</c:v>
                </c:pt>
                <c:pt idx="18">
                  <c:v>1998-99</c:v>
                </c:pt>
                <c:pt idx="19">
                  <c:v>1999-00</c:v>
                </c:pt>
                <c:pt idx="20">
                  <c:v>2000-01</c:v>
                </c:pt>
                <c:pt idx="21">
                  <c:v>2001-02</c:v>
                </c:pt>
                <c:pt idx="22">
                  <c:v>2002-03</c:v>
                </c:pt>
                <c:pt idx="23">
                  <c:v>2003-04</c:v>
                </c:pt>
                <c:pt idx="24">
                  <c:v>2004-05</c:v>
                </c:pt>
                <c:pt idx="25">
                  <c:v>2005-06</c:v>
                </c:pt>
                <c:pt idx="26">
                  <c:v>2006-07</c:v>
                </c:pt>
                <c:pt idx="27">
                  <c:v>2007-08</c:v>
                </c:pt>
                <c:pt idx="28">
                  <c:v>2008-09</c:v>
                </c:pt>
                <c:pt idx="29">
                  <c:v>2009-10</c:v>
                </c:pt>
                <c:pt idx="30">
                  <c:v>2010-11</c:v>
                </c:pt>
                <c:pt idx="31">
                  <c:v>2011-12</c:v>
                </c:pt>
                <c:pt idx="32">
                  <c:v>2012-13</c:v>
                </c:pt>
                <c:pt idx="33">
                  <c:v>2013-14</c:v>
                </c:pt>
                <c:pt idx="34">
                  <c:v>2014-15</c:v>
                </c:pt>
                <c:pt idx="35">
                  <c:v>2015-16</c:v>
                </c:pt>
              </c:strCache>
            </c:strRef>
          </c:cat>
          <c:val>
            <c:numRef>
              <c:f>'C:\Users\BNJ\AppData\Local\Microsoft\Windows\Temporary Internet Files\Content.Outlook\N1YCBJN7\[Contibutions to Growth.xlsx]Calcs'!$W$32:$BF$32</c:f>
              <c:numCache>
                <c:formatCode>General</c:formatCode>
                <c:ptCount val="36"/>
                <c:pt idx="0">
                  <c:v>1.0434588460881786</c:v>
                </c:pt>
                <c:pt idx="1">
                  <c:v>0.91705019313805236</c:v>
                </c:pt>
                <c:pt idx="2">
                  <c:v>0.93865714451728099</c:v>
                </c:pt>
                <c:pt idx="3">
                  <c:v>1.0001544459369018</c:v>
                </c:pt>
                <c:pt idx="4">
                  <c:v>1.2142978578714723</c:v>
                </c:pt>
                <c:pt idx="5">
                  <c:v>1.5491768678767412</c:v>
                </c:pt>
                <c:pt idx="6">
                  <c:v>1.4504603665461153</c:v>
                </c:pt>
                <c:pt idx="7">
                  <c:v>1.4389375895484449</c:v>
                </c:pt>
                <c:pt idx="8">
                  <c:v>1.2547575999435332</c:v>
                </c:pt>
                <c:pt idx="9">
                  <c:v>1.1178706096892004</c:v>
                </c:pt>
                <c:pt idx="10">
                  <c:v>1.1207286661980917</c:v>
                </c:pt>
                <c:pt idx="11">
                  <c:v>0.97898927503789857</c:v>
                </c:pt>
                <c:pt idx="12">
                  <c:v>0.93371332684015307</c:v>
                </c:pt>
                <c:pt idx="13">
                  <c:v>0.89510070418013321</c:v>
                </c:pt>
                <c:pt idx="14">
                  <c:v>1.2083039403406226</c:v>
                </c:pt>
                <c:pt idx="15">
                  <c:v>1.3957756638053769</c:v>
                </c:pt>
                <c:pt idx="16">
                  <c:v>1.3484170366409092</c:v>
                </c:pt>
                <c:pt idx="17">
                  <c:v>1.2999793007733367</c:v>
                </c:pt>
                <c:pt idx="18">
                  <c:v>1.6534621578099837</c:v>
                </c:pt>
                <c:pt idx="19">
                  <c:v>1.6137200214658773</c:v>
                </c:pt>
                <c:pt idx="20">
                  <c:v>1.2834930499885275</c:v>
                </c:pt>
                <c:pt idx="21">
                  <c:v>1.1745785094162509</c:v>
                </c:pt>
                <c:pt idx="22">
                  <c:v>1.2896915743394042</c:v>
                </c:pt>
                <c:pt idx="23">
                  <c:v>1.2922470973151832</c:v>
                </c:pt>
                <c:pt idx="24">
                  <c:v>1.2441959375626459</c:v>
                </c:pt>
                <c:pt idx="25">
                  <c:v>1.2580398975219789</c:v>
                </c:pt>
                <c:pt idx="26">
                  <c:v>1.3164864268373428</c:v>
                </c:pt>
                <c:pt idx="27">
                  <c:v>1.2802752608777164</c:v>
                </c:pt>
                <c:pt idx="28">
                  <c:v>1.2673114795756306</c:v>
                </c:pt>
                <c:pt idx="29">
                  <c:v>1.3781803272118553</c:v>
                </c:pt>
                <c:pt idx="30">
                  <c:v>1.1122754427335544</c:v>
                </c:pt>
                <c:pt idx="31">
                  <c:v>0.92871349651179391</c:v>
                </c:pt>
                <c:pt idx="32">
                  <c:v>0.94400826432755114</c:v>
                </c:pt>
                <c:pt idx="33">
                  <c:v>1.0400392467640289</c:v>
                </c:pt>
                <c:pt idx="34">
                  <c:v>1.1988749647498849</c:v>
                </c:pt>
                <c:pt idx="35">
                  <c:v>1.1422690928076265</c:v>
                </c:pt>
              </c:numCache>
            </c:numRef>
          </c:val>
          <c:smooth val="0"/>
        </c:ser>
        <c:ser>
          <c:idx val="4"/>
          <c:order val="3"/>
          <c:tx>
            <c:strRef>
              <c:f>'C:\Users\BNJ\AppData\Local\Microsoft\Windows\Temporary Internet Files\Content.Outlook\N1YCBJN7\[Contibutions to Growth.xlsx]Calcs'!$A$33</c:f>
              <c:strCache>
                <c:ptCount val="1"/>
                <c:pt idx="0">
                  <c:v>Business Services</c:v>
                </c:pt>
              </c:strCache>
            </c:strRef>
          </c:tx>
          <c:spPr>
            <a:ln>
              <a:solidFill>
                <a:srgbClr val="FF0000"/>
              </a:solidFill>
            </a:ln>
          </c:spPr>
          <c:marker>
            <c:symbol val="none"/>
          </c:marker>
          <c:cat>
            <c:strRef>
              <c:f>'C:\Users\BNJ\AppData\Local\Microsoft\Windows\Temporary Internet Files\Content.Outlook\N1YCBJN7\[Contibutions to Growth.xlsx]Calcs'!$W$1:$BF$1</c:f>
              <c:strCache>
                <c:ptCount val="36"/>
                <c:pt idx="0">
                  <c:v>1980-81</c:v>
                </c:pt>
                <c:pt idx="1">
                  <c:v>1981-82</c:v>
                </c:pt>
                <c:pt idx="2">
                  <c:v>1982-83</c:v>
                </c:pt>
                <c:pt idx="3">
                  <c:v>1983-84</c:v>
                </c:pt>
                <c:pt idx="4">
                  <c:v>1984-85</c:v>
                </c:pt>
                <c:pt idx="5">
                  <c:v>1985-86</c:v>
                </c:pt>
                <c:pt idx="6">
                  <c:v>1986-87</c:v>
                </c:pt>
                <c:pt idx="7">
                  <c:v>1987-88</c:v>
                </c:pt>
                <c:pt idx="8">
                  <c:v>1988-89</c:v>
                </c:pt>
                <c:pt idx="9">
                  <c:v>1989-90</c:v>
                </c:pt>
                <c:pt idx="10">
                  <c:v>1990-91</c:v>
                </c:pt>
                <c:pt idx="11">
                  <c:v>1991-92</c:v>
                </c:pt>
                <c:pt idx="12">
                  <c:v>1992-93</c:v>
                </c:pt>
                <c:pt idx="13">
                  <c:v>1993-94</c:v>
                </c:pt>
                <c:pt idx="14">
                  <c:v>1994-95</c:v>
                </c:pt>
                <c:pt idx="15">
                  <c:v>1995-96</c:v>
                </c:pt>
                <c:pt idx="16">
                  <c:v>1996-97</c:v>
                </c:pt>
                <c:pt idx="17">
                  <c:v>1997-98</c:v>
                </c:pt>
                <c:pt idx="18">
                  <c:v>1998-99</c:v>
                </c:pt>
                <c:pt idx="19">
                  <c:v>1999-00</c:v>
                </c:pt>
                <c:pt idx="20">
                  <c:v>2000-01</c:v>
                </c:pt>
                <c:pt idx="21">
                  <c:v>2001-02</c:v>
                </c:pt>
                <c:pt idx="22">
                  <c:v>2002-03</c:v>
                </c:pt>
                <c:pt idx="23">
                  <c:v>2003-04</c:v>
                </c:pt>
                <c:pt idx="24">
                  <c:v>2004-05</c:v>
                </c:pt>
                <c:pt idx="25">
                  <c:v>2005-06</c:v>
                </c:pt>
                <c:pt idx="26">
                  <c:v>2006-07</c:v>
                </c:pt>
                <c:pt idx="27">
                  <c:v>2007-08</c:v>
                </c:pt>
                <c:pt idx="28">
                  <c:v>2008-09</c:v>
                </c:pt>
                <c:pt idx="29">
                  <c:v>2009-10</c:v>
                </c:pt>
                <c:pt idx="30">
                  <c:v>2010-11</c:v>
                </c:pt>
                <c:pt idx="31">
                  <c:v>2011-12</c:v>
                </c:pt>
                <c:pt idx="32">
                  <c:v>2012-13</c:v>
                </c:pt>
                <c:pt idx="33">
                  <c:v>2013-14</c:v>
                </c:pt>
                <c:pt idx="34">
                  <c:v>2014-15</c:v>
                </c:pt>
                <c:pt idx="35">
                  <c:v>2015-16</c:v>
                </c:pt>
              </c:strCache>
            </c:strRef>
          </c:cat>
          <c:val>
            <c:numRef>
              <c:f>'C:\Users\BNJ\AppData\Local\Microsoft\Windows\Temporary Internet Files\Content.Outlook\N1YCBJN7\[Contibutions to Growth.xlsx]Calcs'!$W$33:$BF$33</c:f>
              <c:numCache>
                <c:formatCode>General</c:formatCode>
                <c:ptCount val="36"/>
                <c:pt idx="0">
                  <c:v>2.0993945443322257</c:v>
                </c:pt>
                <c:pt idx="1">
                  <c:v>2.0986340958351586</c:v>
                </c:pt>
                <c:pt idx="2">
                  <c:v>1.779064300919641</c:v>
                </c:pt>
                <c:pt idx="3">
                  <c:v>1.8463309729626005</c:v>
                </c:pt>
                <c:pt idx="4">
                  <c:v>2.6406834410064604</c:v>
                </c:pt>
                <c:pt idx="5">
                  <c:v>2.8945853639817338</c:v>
                </c:pt>
                <c:pt idx="6">
                  <c:v>3.3216276184985238</c:v>
                </c:pt>
                <c:pt idx="7">
                  <c:v>4.1427228889676311</c:v>
                </c:pt>
                <c:pt idx="8">
                  <c:v>4.3873079992833057</c:v>
                </c:pt>
                <c:pt idx="9">
                  <c:v>4.4554210794221865</c:v>
                </c:pt>
                <c:pt idx="10">
                  <c:v>3.2423142469261803</c:v>
                </c:pt>
                <c:pt idx="11">
                  <c:v>2.5601065412351418</c:v>
                </c:pt>
                <c:pt idx="12">
                  <c:v>2.7098155741853347</c:v>
                </c:pt>
                <c:pt idx="13">
                  <c:v>2.6795231266454058</c:v>
                </c:pt>
                <c:pt idx="14">
                  <c:v>2.8400685276630049</c:v>
                </c:pt>
                <c:pt idx="15">
                  <c:v>2.9665897529824505</c:v>
                </c:pt>
                <c:pt idx="16">
                  <c:v>3.633583731422029</c:v>
                </c:pt>
                <c:pt idx="17">
                  <c:v>3.4939276612927852</c:v>
                </c:pt>
                <c:pt idx="18">
                  <c:v>3.5658615136876008</c:v>
                </c:pt>
                <c:pt idx="19">
                  <c:v>4.1296115734337091</c:v>
                </c:pt>
                <c:pt idx="20">
                  <c:v>4.4109273952541068</c:v>
                </c:pt>
                <c:pt idx="21">
                  <c:v>3.614556871396978</c:v>
                </c:pt>
                <c:pt idx="22">
                  <c:v>3.6895558435952678</c:v>
                </c:pt>
                <c:pt idx="23">
                  <c:v>3.677487969993702</c:v>
                </c:pt>
                <c:pt idx="24">
                  <c:v>3.834338377517351</c:v>
                </c:pt>
                <c:pt idx="25">
                  <c:v>3.7508838629166172</c:v>
                </c:pt>
                <c:pt idx="26">
                  <c:v>4.1315382917678214</c:v>
                </c:pt>
                <c:pt idx="27">
                  <c:v>4.1309491189836516</c:v>
                </c:pt>
                <c:pt idx="28">
                  <c:v>3.617384537195858</c:v>
                </c:pt>
                <c:pt idx="29">
                  <c:v>3.291077974085709</c:v>
                </c:pt>
                <c:pt idx="30">
                  <c:v>3.1066857056156865</c:v>
                </c:pt>
                <c:pt idx="31">
                  <c:v>2.9095533339902837</c:v>
                </c:pt>
                <c:pt idx="32">
                  <c:v>2.7852826362052703</c:v>
                </c:pt>
                <c:pt idx="33">
                  <c:v>2.6738115903744792</c:v>
                </c:pt>
                <c:pt idx="34">
                  <c:v>3.0285414615563484</c:v>
                </c:pt>
                <c:pt idx="35">
                  <c:v>3.1916217888599907</c:v>
                </c:pt>
              </c:numCache>
            </c:numRef>
          </c:val>
          <c:smooth val="0"/>
        </c:ser>
        <c:ser>
          <c:idx val="6"/>
          <c:order val="4"/>
          <c:tx>
            <c:strRef>
              <c:f>'C:\Users\BNJ\AppData\Local\Microsoft\Windows\Temporary Internet Files\Content.Outlook\N1YCBJN7\[Contibutions to Growth.xlsx]Calcs'!$A$34</c:f>
              <c:strCache>
                <c:ptCount val="1"/>
                <c:pt idx="0">
                  <c:v>Other Industries</c:v>
                </c:pt>
              </c:strCache>
            </c:strRef>
          </c:tx>
          <c:spPr>
            <a:ln>
              <a:solidFill>
                <a:srgbClr val="FF9900"/>
              </a:solidFill>
            </a:ln>
          </c:spPr>
          <c:marker>
            <c:symbol val="none"/>
          </c:marker>
          <c:val>
            <c:numRef>
              <c:f>'C:\Users\BNJ\AppData\Local\Microsoft\Windows\Temporary Internet Files\Content.Outlook\N1YCBJN7\[Contibutions to Growth.xlsx]Calcs'!$W$34:$BF$34</c:f>
              <c:numCache>
                <c:formatCode>General</c:formatCode>
                <c:ptCount val="36"/>
                <c:pt idx="0">
                  <c:v>5.2251743475919676</c:v>
                </c:pt>
                <c:pt idx="1">
                  <c:v>5.0073671215887954</c:v>
                </c:pt>
                <c:pt idx="2">
                  <c:v>3.8586890493521313</c:v>
                </c:pt>
                <c:pt idx="3">
                  <c:v>4.5739398222467669</c:v>
                </c:pt>
                <c:pt idx="4">
                  <c:v>4.6213022781366879</c:v>
                </c:pt>
                <c:pt idx="5">
                  <c:v>4.4142138992286739</c:v>
                </c:pt>
                <c:pt idx="6">
                  <c:v>4.0784807030417394</c:v>
                </c:pt>
                <c:pt idx="7">
                  <c:v>4.2157482013280134</c:v>
                </c:pt>
                <c:pt idx="8">
                  <c:v>4.6153470265339696</c:v>
                </c:pt>
                <c:pt idx="9">
                  <c:v>4.0435089869482921</c:v>
                </c:pt>
                <c:pt idx="10">
                  <c:v>3.6190196512646713</c:v>
                </c:pt>
                <c:pt idx="11">
                  <c:v>2.9801793633027782</c:v>
                </c:pt>
                <c:pt idx="12">
                  <c:v>2.8740195560194257</c:v>
                </c:pt>
                <c:pt idx="13">
                  <c:v>3.120438346781961</c:v>
                </c:pt>
                <c:pt idx="14">
                  <c:v>3.2959790385971988</c:v>
                </c:pt>
                <c:pt idx="15">
                  <c:v>3.32648537192361</c:v>
                </c:pt>
                <c:pt idx="16">
                  <c:v>3.3853989082021223</c:v>
                </c:pt>
                <c:pt idx="17">
                  <c:v>3.8470021751154575</c:v>
                </c:pt>
                <c:pt idx="18">
                  <c:v>3.655877616747182</c:v>
                </c:pt>
                <c:pt idx="19">
                  <c:v>4.0825982781947499</c:v>
                </c:pt>
                <c:pt idx="20">
                  <c:v>3.2986706173287139</c:v>
                </c:pt>
                <c:pt idx="21">
                  <c:v>3.7369336593178719</c:v>
                </c:pt>
                <c:pt idx="22">
                  <c:v>3.9474193069498384</c:v>
                </c:pt>
                <c:pt idx="23">
                  <c:v>4.1227344792912239</c:v>
                </c:pt>
                <c:pt idx="24">
                  <c:v>4.2681056948891749</c:v>
                </c:pt>
                <c:pt idx="25">
                  <c:v>4.1693291054806512</c:v>
                </c:pt>
                <c:pt idx="26">
                  <c:v>3.7691274920915174</c:v>
                </c:pt>
                <c:pt idx="27">
                  <c:v>3.9028375249934468</c:v>
                </c:pt>
                <c:pt idx="28">
                  <c:v>4.1808811384283082</c:v>
                </c:pt>
                <c:pt idx="29">
                  <c:v>3.4825989512203392</c:v>
                </c:pt>
                <c:pt idx="30">
                  <c:v>3.29336477501379</c:v>
                </c:pt>
                <c:pt idx="31">
                  <c:v>3.2874339446324798</c:v>
                </c:pt>
                <c:pt idx="32">
                  <c:v>2.8780468324987609</c:v>
                </c:pt>
                <c:pt idx="33">
                  <c:v>2.9657093978389124</c:v>
                </c:pt>
                <c:pt idx="34">
                  <c:v>2.8961370821315313</c:v>
                </c:pt>
                <c:pt idx="35">
                  <c:v>2.942356592445059</c:v>
                </c:pt>
              </c:numCache>
            </c:numRef>
          </c:val>
          <c:smooth val="0"/>
        </c:ser>
        <c:ser>
          <c:idx val="0"/>
          <c:order val="5"/>
          <c:tx>
            <c:v>DUMMY</c:v>
          </c:tx>
          <c:spPr>
            <a:ln w="25400">
              <a:noFill/>
            </a:ln>
            <a:effectLst/>
          </c:spPr>
          <c:marker>
            <c:symbol val="none"/>
          </c:marker>
          <c:smooth val="0"/>
        </c:ser>
        <c:dLbls>
          <c:showLegendKey val="0"/>
          <c:showVal val="0"/>
          <c:showCatName val="0"/>
          <c:showSerName val="0"/>
          <c:showPercent val="0"/>
          <c:showBubbleSize val="0"/>
        </c:dLbls>
        <c:marker val="1"/>
        <c:smooth val="0"/>
        <c:axId val="136443392"/>
        <c:axId val="136424832"/>
      </c:lineChart>
      <c:catAx>
        <c:axId val="136421376"/>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6422912"/>
        <c:crosses val="autoZero"/>
        <c:auto val="1"/>
        <c:lblAlgn val="ctr"/>
        <c:lblOffset val="100"/>
        <c:tickLblSkip val="7"/>
        <c:tickMarkSkip val="7"/>
        <c:noMultiLvlLbl val="0"/>
      </c:catAx>
      <c:valAx>
        <c:axId val="136422912"/>
        <c:scaling>
          <c:orientation val="minMax"/>
          <c:max val="6"/>
        </c:scaling>
        <c:delete val="0"/>
        <c:axPos val="l"/>
        <c:title>
          <c:tx>
            <c:rich>
              <a:bodyPr rot="0" vert="horz"/>
              <a:lstStyle/>
              <a:p>
                <a:pPr>
                  <a:defRPr sz="800" b="0" i="0">
                    <a:solidFill>
                      <a:srgbClr val="000000"/>
                    </a:solidFill>
                    <a:latin typeface="Arial"/>
                    <a:ea typeface="Arial"/>
                    <a:cs typeface="Arial"/>
                  </a:defRPr>
                </a:pPr>
                <a:r>
                  <a:rPr lang="en-US"/>
                  <a:t>Per cent of GDP</a:t>
                </a:r>
              </a:p>
            </c:rich>
          </c:tx>
          <c:layout>
            <c:manualLayout>
              <c:xMode val="edge"/>
              <c:yMode val="edge"/>
              <c:x val="6.3727598566308247E-2"/>
              <c:y val="1.5119047619047619E-2"/>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6421376"/>
        <c:crosses val="autoZero"/>
        <c:crossBetween val="midCat"/>
        <c:majorUnit val="1"/>
      </c:valAx>
      <c:valAx>
        <c:axId val="136424832"/>
        <c:scaling>
          <c:orientation val="minMax"/>
          <c:max val="6"/>
          <c:min val="0"/>
        </c:scaling>
        <c:delete val="0"/>
        <c:axPos val="r"/>
        <c:title>
          <c:tx>
            <c:rich>
              <a:bodyPr rot="0" vert="horz"/>
              <a:lstStyle/>
              <a:p>
                <a:pPr>
                  <a:defRPr sz="800" b="0" i="0">
                    <a:solidFill>
                      <a:srgbClr val="000000"/>
                    </a:solidFill>
                    <a:latin typeface="Arial"/>
                    <a:ea typeface="Arial"/>
                    <a:cs typeface="Arial"/>
                  </a:defRPr>
                </a:pPr>
                <a:r>
                  <a:rPr lang="en-US"/>
                  <a:t>Per cent of GDP</a:t>
                </a:r>
              </a:p>
            </c:rich>
          </c:tx>
          <c:layout>
            <c:manualLayout>
              <c:xMode val="edge"/>
              <c:yMode val="edge"/>
              <c:x val="0.79349695340501791"/>
              <c:y val="1.0079365079365079E-2"/>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36443392"/>
        <c:crosses val="max"/>
        <c:crossBetween val="midCat"/>
        <c:majorUnit val="1"/>
        <c:minorUnit val="0.4"/>
      </c:valAx>
      <c:catAx>
        <c:axId val="136443392"/>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136424832"/>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0.78066</cdr:x>
      <cdr:y>0.24317</cdr:y>
    </cdr:from>
    <cdr:to>
      <cdr:x>0.95421</cdr:x>
      <cdr:y>0.63122</cdr:y>
    </cdr:to>
    <cdr:sp macro="" textlink="">
      <cdr:nvSpPr>
        <cdr:cNvPr id="2" name="TextBox 1"/>
        <cdr:cNvSpPr txBox="1"/>
      </cdr:nvSpPr>
      <cdr:spPr>
        <a:xfrm xmlns:a="http://schemas.openxmlformats.org/drawingml/2006/main">
          <a:off x="4356098" y="612797"/>
          <a:ext cx="968377" cy="97787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AU" sz="800" b="1">
              <a:solidFill>
                <a:srgbClr val="FF0000"/>
              </a:solidFill>
              <a:latin typeface="Arial" panose="020B0604020202020204" pitchFamily="34" charset="0"/>
              <a:cs typeface="Arial" panose="020B0604020202020204" pitchFamily="34" charset="0"/>
            </a:rPr>
            <a:t>Business</a:t>
          </a:r>
          <a:r>
            <a:rPr lang="en-AU" sz="800" b="1" baseline="0">
              <a:solidFill>
                <a:srgbClr val="FF0000"/>
              </a:solidFill>
              <a:latin typeface="Arial" panose="020B0604020202020204" pitchFamily="34" charset="0"/>
              <a:cs typeface="Arial" panose="020B0604020202020204" pitchFamily="34" charset="0"/>
            </a:rPr>
            <a:t> Services </a:t>
          </a:r>
          <a:endParaRPr lang="en-AU" sz="800" b="1">
            <a:solidFill>
              <a:srgbClr val="FF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0.63727</cdr:x>
      <cdr:y>0.75721</cdr:y>
    </cdr:from>
    <cdr:to>
      <cdr:x>0.89958</cdr:x>
      <cdr:y>0.84289</cdr:y>
    </cdr:to>
    <cdr:sp macro="" textlink="">
      <cdr:nvSpPr>
        <cdr:cNvPr id="3" name="TextBox 1"/>
        <cdr:cNvSpPr txBox="1"/>
      </cdr:nvSpPr>
      <cdr:spPr>
        <a:xfrm xmlns:a="http://schemas.openxmlformats.org/drawingml/2006/main">
          <a:off x="3555985" y="1908166"/>
          <a:ext cx="1463689" cy="21591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solidFill>
                <a:srgbClr val="00B050"/>
              </a:solidFill>
              <a:latin typeface="Arial" panose="020B0604020202020204" pitchFamily="34" charset="0"/>
              <a:cs typeface="Arial" panose="020B0604020202020204" pitchFamily="34" charset="0"/>
            </a:rPr>
            <a:t>Construction </a:t>
          </a:r>
        </a:p>
      </cdr:txBody>
    </cdr:sp>
  </cdr:relSizeAnchor>
  <cdr:relSizeAnchor xmlns:cdr="http://schemas.openxmlformats.org/drawingml/2006/chartDrawing">
    <cdr:from>
      <cdr:x>0.22703</cdr:x>
      <cdr:y>0.64383</cdr:y>
    </cdr:from>
    <cdr:to>
      <cdr:x>0.4643</cdr:x>
      <cdr:y>0.83911</cdr:y>
    </cdr:to>
    <cdr:sp macro="" textlink="">
      <cdr:nvSpPr>
        <cdr:cNvPr id="4" name="TextBox 1"/>
        <cdr:cNvSpPr txBox="1"/>
      </cdr:nvSpPr>
      <cdr:spPr>
        <a:xfrm xmlns:a="http://schemas.openxmlformats.org/drawingml/2006/main">
          <a:off x="1266826" y="1622446"/>
          <a:ext cx="1323976" cy="49210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AU" sz="800" b="1">
              <a:solidFill>
                <a:srgbClr val="7030A0"/>
              </a:solidFill>
              <a:latin typeface="Arial" panose="020B0604020202020204" pitchFamily="34" charset="0"/>
              <a:cs typeface="Arial" panose="020B0604020202020204" pitchFamily="34" charset="0"/>
            </a:rPr>
            <a:t>Household</a:t>
          </a:r>
          <a:r>
            <a:rPr lang="en-AU" sz="800" b="1" baseline="0">
              <a:solidFill>
                <a:srgbClr val="7030A0"/>
              </a:solidFill>
              <a:latin typeface="Arial" panose="020B0604020202020204" pitchFamily="34" charset="0"/>
              <a:cs typeface="Arial" panose="020B0604020202020204" pitchFamily="34" charset="0"/>
            </a:rPr>
            <a:t> Services </a:t>
          </a:r>
          <a:endParaRPr lang="en-AU" sz="800" b="1">
            <a:solidFill>
              <a:srgbClr val="7030A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0.50754</cdr:x>
      <cdr:y>0.48885</cdr:y>
    </cdr:from>
    <cdr:to>
      <cdr:x>0.72718</cdr:x>
      <cdr:y>0.55184</cdr:y>
    </cdr:to>
    <cdr:sp macro="" textlink="">
      <cdr:nvSpPr>
        <cdr:cNvPr id="5" name="TextBox 1"/>
        <cdr:cNvSpPr txBox="1"/>
      </cdr:nvSpPr>
      <cdr:spPr>
        <a:xfrm xmlns:a="http://schemas.openxmlformats.org/drawingml/2006/main">
          <a:off x="2832090" y="1231897"/>
          <a:ext cx="1225591" cy="15873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solidFill>
                <a:schemeClr val="bg1">
                  <a:lumMod val="50000"/>
                </a:schemeClr>
              </a:solidFill>
              <a:latin typeface="Arial" panose="020B0604020202020204" pitchFamily="34" charset="0"/>
              <a:cs typeface="Arial" panose="020B0604020202020204" pitchFamily="34" charset="0"/>
            </a:rPr>
            <a:t>Manufacturing </a:t>
          </a:r>
        </a:p>
      </cdr:txBody>
    </cdr:sp>
  </cdr:relSizeAnchor>
  <cdr:relSizeAnchor xmlns:cdr="http://schemas.openxmlformats.org/drawingml/2006/chartDrawing">
    <cdr:from>
      <cdr:x>0.29075</cdr:x>
      <cdr:y>0.24317</cdr:y>
    </cdr:from>
    <cdr:to>
      <cdr:x>0.50185</cdr:x>
      <cdr:y>0.33262</cdr:y>
    </cdr:to>
    <cdr:sp macro="" textlink="">
      <cdr:nvSpPr>
        <cdr:cNvPr id="6" name="TextBox 1"/>
        <cdr:cNvSpPr txBox="1"/>
      </cdr:nvSpPr>
      <cdr:spPr>
        <a:xfrm xmlns:a="http://schemas.openxmlformats.org/drawingml/2006/main">
          <a:off x="1622402" y="612779"/>
          <a:ext cx="1177938" cy="22541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AU" sz="800" b="1">
              <a:solidFill>
                <a:srgbClr val="FF9900"/>
              </a:solidFill>
              <a:latin typeface="Arial" panose="020B0604020202020204" pitchFamily="34" charset="0"/>
              <a:cs typeface="Arial" panose="020B0604020202020204" pitchFamily="34" charset="0"/>
            </a:rPr>
            <a:t>Goods-related industries </a:t>
          </a:r>
        </a:p>
      </cdr:txBody>
    </cdr:sp>
  </cdr:relSizeAnchor>
</c:userShapes>
</file>

<file path=word/theme/theme1.xml><?xml version="1.0" encoding="utf-8"?>
<a:theme xmlns:a="http://schemas.openxmlformats.org/drawingml/2006/main" name="PowerPoint">
  <a:themeElements>
    <a:clrScheme name="Glossy - Families">
      <a:dk1>
        <a:srgbClr val="002833"/>
      </a:dk1>
      <a:lt1>
        <a:srgbClr val="D6E1E1"/>
      </a:lt1>
      <a:dk2>
        <a:srgbClr val="004957"/>
      </a:dk2>
      <a:lt2>
        <a:srgbClr val="D6E1E1"/>
      </a:lt2>
      <a:accent1>
        <a:srgbClr val="6C97A4"/>
      </a:accent1>
      <a:accent2>
        <a:srgbClr val="88B9B6"/>
      </a:accent2>
      <a:accent3>
        <a:srgbClr val="506685"/>
      </a:accent3>
      <a:accent4>
        <a:srgbClr val="48406C"/>
      </a:accent4>
      <a:accent5>
        <a:srgbClr val="DDECE9"/>
      </a:accent5>
      <a:accent6>
        <a:srgbClr val="C93429"/>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 Audit Policy</p:Name>
  <p:Description/>
  <p:Statement/>
  <p:PolicyItems>
    <p:PolicyItem featureId="Microsoft.Office.RecordsManagement.PolicyFeatures.PolicyAudit" staticId="0x010100EA1F51AF3A5DBE4080132B065E57B228|1757814118" UniqueId="a3d0f1aa-b12d-4c1e-9c5c-9b6f3566c06d">
      <p:Name>Auditing</p:Name>
      <p:Description>Audits user actions on documents and list items to the Audit Log.</p:Description>
      <p:CustomData>
        <Audit>
          <Update/>
          <CheckInOut/>
          <MoveCopy/>
          <DeleteRestore/>
        </Audit>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b508a4dc5e84436a0fe496b536466aa xmlns="34994db7-c5bb-4899-98ba-b8e99d5fbd29">
      <Terms xmlns="http://schemas.microsoft.com/office/infopath/2007/PartnerControls">
        <TermInfo xmlns="http://schemas.microsoft.com/office/infopath/2007/PartnerControls">
          <TermName xmlns="http://schemas.microsoft.com/office/infopath/2007/PartnerControls">TSY RA-8807 - Destroy 10 years after action completed</TermName>
          <TermId xmlns="http://schemas.microsoft.com/office/infopath/2007/PartnerControls">de9572c9-edec-403d-8a32-b8f833b83ed5</TermId>
        </TermInfo>
      </Terms>
    </lb508a4dc5e84436a0fe496b536466aa>
    <TaxCatchAll xmlns="34994db7-c5bb-4899-98ba-b8e99d5fbd29">
      <Value>15</Value>
    </TaxCatchAll>
    <_dlc_DocId xmlns="34994db7-c5bb-4899-98ba-b8e99d5fbd29">2017V2VQREER-1975160542-167</_dlc_DocId>
    <_dlc_DocIdUrl xmlns="34994db7-c5bb-4899-98ba-b8e99d5fbd29">
      <Url>http://tweb/sites/SRG/projects/cffr/_layouts/15/DocIdRedir.aspx?ID=2017V2VQREER-1975160542-167</Url>
      <Description>2017V2VQREER-1975160542-167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Treasury Document" ma:contentTypeID="0x010100EA1F51AF3A5DBE4080132B065E57B22800358BC61FE0F34A459594A3758158F221" ma:contentTypeVersion="6036" ma:contentTypeDescription="" ma:contentTypeScope="" ma:versionID="1a27320f24c3ab4a70c8d67e5c98888e">
  <xsd:schema xmlns:xsd="http://www.w3.org/2001/XMLSchema" xmlns:xs="http://www.w3.org/2001/XMLSchema" xmlns:p="http://schemas.microsoft.com/office/2006/metadata/properties" xmlns:ns1="http://schemas.microsoft.com/sharepoint/v3" xmlns:ns2="34994db7-c5bb-4899-98ba-b8e99d5fbd29" targetNamespace="http://schemas.microsoft.com/office/2006/metadata/properties" ma:root="true" ma:fieldsID="3813ea453a559a0265858e7497673dcf" ns1:_="" ns2:_="">
    <xsd:import namespace="http://schemas.microsoft.com/sharepoint/v3"/>
    <xsd:import namespace="34994db7-c5bb-4899-98ba-b8e99d5fbd29"/>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994db7-c5bb-4899-98ba-b8e99d5fbd2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15;#TSY RA-8807 - Destroy 10 years after action completed|de9572c9-edec-403d-8a32-b8f833b83ed5"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77e663d1-4b09-4706-9064-99e86b15cba5}" ma:internalName="TaxCatchAll" ma:showField="CatchAllData" ma:web="34994db7-c5bb-4899-98ba-b8e99d5fbd29">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7e663d1-4b09-4706-9064-99e86b15cba5}" ma:internalName="TaxCatchAllLabel" ma:readOnly="true" ma:showField="CatchAllDataLabel" ma:web="34994db7-c5bb-4899-98ba-b8e99d5fbd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D7B31-C495-4522-9976-AC15874D15E5}">
  <ds:schemaRefs>
    <ds:schemaRef ds:uri="office.server.policy"/>
  </ds:schemaRefs>
</ds:datastoreItem>
</file>

<file path=customXml/itemProps2.xml><?xml version="1.0" encoding="utf-8"?>
<ds:datastoreItem xmlns:ds="http://schemas.openxmlformats.org/officeDocument/2006/customXml" ds:itemID="{738644A1-E8D9-40A7-9D54-DDE73AE64704}">
  <ds:schemaRefs>
    <ds:schemaRef ds:uri="http://schemas.microsoft.com/sharepoint/v3/contenttype/forms"/>
  </ds:schemaRefs>
</ds:datastoreItem>
</file>

<file path=customXml/itemProps3.xml><?xml version="1.0" encoding="utf-8"?>
<ds:datastoreItem xmlns:ds="http://schemas.openxmlformats.org/officeDocument/2006/customXml" ds:itemID="{586CCFEC-D144-44CF-8E29-5401DA0FFA20}">
  <ds:schemaRefs>
    <ds:schemaRef ds:uri="http://schemas.microsoft.com/office/2006/documentManagement/types"/>
    <ds:schemaRef ds:uri="http://www.w3.org/XML/1998/namespace"/>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34994db7-c5bb-4899-98ba-b8e99d5fbd29"/>
    <ds:schemaRef ds:uri="http://schemas.microsoft.com/sharepoint/v3"/>
  </ds:schemaRefs>
</ds:datastoreItem>
</file>

<file path=customXml/itemProps4.xml><?xml version="1.0" encoding="utf-8"?>
<ds:datastoreItem xmlns:ds="http://schemas.openxmlformats.org/officeDocument/2006/customXml" ds:itemID="{D694F499-0913-4F12-BF11-ED73B898B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994db7-c5bb-4899-98ba-b8e99d5fb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34B5009-01CA-4646-A5FC-2E3822FB0DCD}">
  <ds:schemaRefs>
    <ds:schemaRef ds:uri="http://schemas.microsoft.com/sharepoint/events"/>
  </ds:schemaRefs>
</ds:datastoreItem>
</file>

<file path=customXml/itemProps6.xml><?xml version="1.0" encoding="utf-8"?>
<ds:datastoreItem xmlns:ds="http://schemas.openxmlformats.org/officeDocument/2006/customXml" ds:itemID="{AF0BC807-064F-4BA7-84A6-D48473279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15084</Words>
  <Characters>85830</Characters>
  <Application>Microsoft Office Word</Application>
  <DocSecurity>0</DocSecurity>
  <Lines>1505</Lines>
  <Paragraphs>548</Paragraphs>
  <ScaleCrop>false</ScaleCrop>
  <HeadingPairs>
    <vt:vector size="2" baseType="variant">
      <vt:variant>
        <vt:lpstr>Title</vt:lpstr>
      </vt:variant>
      <vt:variant>
        <vt:i4>1</vt:i4>
      </vt:variant>
    </vt:vector>
  </HeadingPairs>
  <TitlesOfParts>
    <vt:vector size="1" baseType="lpstr">
      <vt:lpstr>Intergovernmental Review of Business Investment — September 2017</vt:lpstr>
    </vt:vector>
  </TitlesOfParts>
  <Company>Australian Government - The Treasury</Company>
  <LinksUpToDate>false</LinksUpToDate>
  <CharactersWithSpaces>100366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Intergovernmental Review of Business Investment — September 2017</dc:title>
  <dc:creator>Australian Government</dc:creator>
  <cp:lastModifiedBy>Hill, Christine</cp:lastModifiedBy>
  <cp:revision>3</cp:revision>
  <cp:lastPrinted>2017-10-13T05:06:00Z</cp:lastPrinted>
  <dcterms:created xsi:type="dcterms:W3CDTF">2017-10-27T02:53:00Z</dcterms:created>
  <dcterms:modified xsi:type="dcterms:W3CDTF">2017-10-27T03:06:00Z</dcterms:modified>
</cp:coreProperties>
</file>