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3E2EB" w14:textId="77777777" w:rsidR="00630732" w:rsidRPr="006D0240" w:rsidRDefault="00630732" w:rsidP="00541CA9">
      <w:pPr>
        <w:pStyle w:val="Crest"/>
        <w:spacing w:after="3840"/>
        <w:jc w:val="right"/>
      </w:pPr>
      <w:bookmarkStart w:id="0" w:name="_GoBack"/>
      <w:bookmarkEnd w:id="0"/>
    </w:p>
    <w:p w14:paraId="41B5121C" w14:textId="77777777" w:rsidR="00630732" w:rsidRPr="00C17FA3" w:rsidRDefault="00630732" w:rsidP="00630732">
      <w:pPr>
        <w:pStyle w:val="Title"/>
      </w:pPr>
      <w:r w:rsidRPr="00C17FA3">
        <w:t>Shaping a Nation</w:t>
      </w:r>
    </w:p>
    <w:p w14:paraId="5A84939D" w14:textId="77777777" w:rsidR="00630732" w:rsidRPr="00C17FA3" w:rsidRDefault="00630732" w:rsidP="00630732">
      <w:pPr>
        <w:pStyle w:val="Subtitle"/>
      </w:pPr>
      <w:r w:rsidRPr="00C17FA3">
        <w:t>Population growth and immigration over time</w:t>
      </w:r>
    </w:p>
    <w:p w14:paraId="2B1FC6E7" w14:textId="77777777" w:rsidR="00630732" w:rsidRPr="00C17FA3" w:rsidRDefault="00630732" w:rsidP="00630732">
      <w:pPr>
        <w:pStyle w:val="Sub-Subtitle"/>
      </w:pPr>
      <w:r w:rsidRPr="00C17FA3">
        <w:t>The Treasury</w:t>
      </w:r>
    </w:p>
    <w:p w14:paraId="7D1E4FBA" w14:textId="77777777" w:rsidR="00630732" w:rsidRPr="00A524B9" w:rsidRDefault="00630732" w:rsidP="00630732">
      <w:pPr>
        <w:pStyle w:val="Sub-Subtitle"/>
      </w:pPr>
      <w:r w:rsidRPr="00C17FA3">
        <w:t xml:space="preserve">Department of </w:t>
      </w:r>
      <w:r>
        <w:t>Home Affairs</w:t>
      </w:r>
    </w:p>
    <w:p w14:paraId="0EE57B2C" w14:textId="77777777" w:rsidR="00630732" w:rsidRDefault="00630732" w:rsidP="00630732">
      <w:pPr>
        <w:sectPr w:rsidR="00630732" w:rsidSect="00C01DCC">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20"/>
        </w:sectPr>
      </w:pPr>
    </w:p>
    <w:p w14:paraId="14B31058" w14:textId="77777777" w:rsidR="000E0B74" w:rsidRDefault="000E0B74" w:rsidP="00385501">
      <w:r w:rsidRPr="00661BF0">
        <w:lastRenderedPageBreak/>
        <w:t xml:space="preserve">© Commonwealth of Australia </w:t>
      </w:r>
      <w:r w:rsidR="001D4765">
        <w:t>2018</w:t>
      </w:r>
    </w:p>
    <w:p w14:paraId="3486ACC7" w14:textId="77777777" w:rsidR="008F6FD3" w:rsidRPr="00DC385A" w:rsidRDefault="008F6FD3" w:rsidP="00A54098">
      <w:r w:rsidRPr="00DC385A">
        <w:t xml:space="preserve">ISBN </w:t>
      </w:r>
      <w:r w:rsidR="003905E4" w:rsidRPr="003905E4">
        <w:t>978-1-925504-68-2</w:t>
      </w:r>
    </w:p>
    <w:p w14:paraId="2D9F1999" w14:textId="77777777" w:rsidR="000E0B74" w:rsidRPr="00086F82" w:rsidRDefault="000E0B74" w:rsidP="00C17FA3">
      <w:pPr>
        <w:tabs>
          <w:tab w:val="left" w:pos="1650"/>
        </w:tabs>
        <w:spacing w:after="120"/>
        <w:rPr>
          <w:rFonts w:cstheme="minorBidi"/>
          <w:sz w:val="24"/>
          <w:szCs w:val="24"/>
        </w:rPr>
      </w:pPr>
      <w:r w:rsidRPr="002F1BC2">
        <w:t>This publication is available for your use under a</w:t>
      </w:r>
      <w:r w:rsidRPr="00476F09">
        <w:rPr>
          <w:rFonts w:cstheme="minorHAnsi"/>
          <w:sz w:val="24"/>
          <w:szCs w:val="24"/>
        </w:rPr>
        <w:t xml:space="preserve"> </w:t>
      </w:r>
      <w:hyperlink r:id="rId20" w:history="1">
        <w:r w:rsidRPr="006627B4">
          <w:rPr>
            <w:rStyle w:val="Hyperlink"/>
          </w:rPr>
          <w:t>Creative Commons Attribution 3.0 Australia</w:t>
        </w:r>
      </w:hyperlink>
      <w:r w:rsidRPr="00476F09">
        <w:rPr>
          <w:rFonts w:cstheme="minorHAnsi"/>
          <w:sz w:val="24"/>
          <w:szCs w:val="24"/>
        </w:rPr>
        <w:t xml:space="preserve"> </w:t>
      </w:r>
      <w:r w:rsidRPr="002F1BC2">
        <w:t xml:space="preserve">licence, with the exception of the Commonwealth Coat of Arms, the Treasury </w:t>
      </w:r>
      <w:r w:rsidR="007B4690">
        <w:t>and Department of </w:t>
      </w:r>
      <w:r w:rsidR="001D4765">
        <w:t>Home Affairs</w:t>
      </w:r>
      <w:r w:rsidR="007B4690">
        <w:t xml:space="preserve"> </w:t>
      </w:r>
      <w:r w:rsidRPr="002F1BC2">
        <w:t>logo</w:t>
      </w:r>
      <w:r>
        <w:t xml:space="preserve">, photographs, images, signatures </w:t>
      </w:r>
      <w:r w:rsidR="008F6FD3">
        <w:t>and where otherwise stated</w:t>
      </w:r>
      <w:r w:rsidRPr="002F1BC2">
        <w:t>. The full licence terms are available from</w:t>
      </w:r>
      <w:r w:rsidRPr="00476F09">
        <w:rPr>
          <w:rFonts w:cstheme="minorHAnsi"/>
          <w:sz w:val="24"/>
          <w:szCs w:val="24"/>
        </w:rPr>
        <w:t xml:space="preserve"> </w:t>
      </w:r>
      <w:hyperlink r:id="rId21" w:history="1">
        <w:r w:rsidR="008509DD" w:rsidRPr="0031264A">
          <w:rPr>
            <w:rStyle w:val="Hyperlink"/>
          </w:rPr>
          <w:t>http://creativecommons.org/</w:t>
        </w:r>
        <w:r w:rsidR="008509DD" w:rsidRPr="0031264A">
          <w:rPr>
            <w:rStyle w:val="Hyperlink"/>
          </w:rPr>
          <w:br/>
          <w:t>licenses/by/3.0/au/</w:t>
        </w:r>
        <w:proofErr w:type="spellStart"/>
        <w:r w:rsidR="008509DD" w:rsidRPr="0031264A">
          <w:rPr>
            <w:rStyle w:val="Hyperlink"/>
          </w:rPr>
          <w:t>legalcode</w:t>
        </w:r>
        <w:proofErr w:type="spellEnd"/>
      </w:hyperlink>
      <w:r w:rsidRPr="006627B4">
        <w:rPr>
          <w:rStyle w:val="Hyperlink"/>
        </w:rPr>
        <w:t>.</w:t>
      </w:r>
    </w:p>
    <w:p w14:paraId="4BA5CB1D" w14:textId="77777777" w:rsidR="000E0B74" w:rsidRDefault="000E0B74" w:rsidP="00C17FA3">
      <w:pPr>
        <w:pStyle w:val="TableGraphic"/>
      </w:pPr>
      <w:r w:rsidRPr="00C17FA3">
        <w:rPr>
          <w:noProof/>
        </w:rPr>
        <w:drawing>
          <wp:inline distT="0" distB="0" distL="0" distR="0" wp14:anchorId="67135A0B" wp14:editId="6C723EC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6DEAC8" w14:textId="77777777" w:rsidR="000E0B74" w:rsidRPr="006627B4" w:rsidRDefault="000E0B74" w:rsidP="00A54098">
      <w:pPr>
        <w:tabs>
          <w:tab w:val="left" w:pos="1650"/>
        </w:tabs>
      </w:pPr>
      <w:r w:rsidRPr="006627B4">
        <w:t xml:space="preserve">Use of Treasury </w:t>
      </w:r>
      <w:r w:rsidR="007B4690">
        <w:t xml:space="preserve">and Department of </w:t>
      </w:r>
      <w:r w:rsidR="001D4765">
        <w:t>Home Affairs</w:t>
      </w:r>
      <w:r w:rsidR="007B4690">
        <w:t xml:space="preserve"> </w:t>
      </w:r>
      <w:r w:rsidRPr="006627B4">
        <w:t>material under a</w:t>
      </w:r>
      <w:r w:rsidRPr="00476F09">
        <w:rPr>
          <w:rFonts w:cstheme="minorHAnsi"/>
          <w:sz w:val="24"/>
          <w:szCs w:val="24"/>
        </w:rPr>
        <w:t xml:space="preserve"> </w:t>
      </w:r>
      <w:hyperlink r:id="rId23"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Treasury </w:t>
      </w:r>
      <w:r w:rsidR="007B4690">
        <w:t xml:space="preserve">or the Department of </w:t>
      </w:r>
      <w:r w:rsidR="001D4765">
        <w:t>Home Affairs</w:t>
      </w:r>
      <w:r w:rsidR="007B4690">
        <w:t xml:space="preserve"> </w:t>
      </w:r>
      <w:r w:rsidRPr="006627B4">
        <w:t>endorse</w:t>
      </w:r>
      <w:r>
        <w:t>s you or your use of the work).</w:t>
      </w:r>
    </w:p>
    <w:p w14:paraId="3DD4CCEE" w14:textId="77777777" w:rsidR="000E0B74" w:rsidRPr="002F1BC2" w:rsidRDefault="000E0B74" w:rsidP="00A54098">
      <w:pPr>
        <w:ind w:left="709"/>
        <w:rPr>
          <w:i/>
        </w:rPr>
      </w:pPr>
      <w:r w:rsidRPr="002F1BC2">
        <w:rPr>
          <w:i/>
        </w:rPr>
        <w:t xml:space="preserve">Treasury </w:t>
      </w:r>
      <w:r w:rsidR="007B4690" w:rsidRPr="007B4690">
        <w:rPr>
          <w:i/>
        </w:rPr>
        <w:t xml:space="preserve">and Department of </w:t>
      </w:r>
      <w:r w:rsidR="001D4765">
        <w:rPr>
          <w:i/>
        </w:rPr>
        <w:t>Home Affairs</w:t>
      </w:r>
      <w:r w:rsidR="007B4690">
        <w:t xml:space="preserve"> </w:t>
      </w:r>
      <w:r w:rsidRPr="002F1BC2">
        <w:rPr>
          <w:i/>
        </w:rPr>
        <w:t xml:space="preserve">material used </w:t>
      </w:r>
      <w:r w:rsidR="00021968">
        <w:rPr>
          <w:i/>
        </w:rPr>
        <w:t>‘</w:t>
      </w:r>
      <w:r w:rsidRPr="002F1BC2">
        <w:rPr>
          <w:i/>
        </w:rPr>
        <w:t>as supplied</w:t>
      </w:r>
      <w:r w:rsidR="00021968">
        <w:rPr>
          <w:i/>
        </w:rPr>
        <w:t>’</w:t>
      </w:r>
      <w:r>
        <w:rPr>
          <w:i/>
        </w:rPr>
        <w:t>.</w:t>
      </w:r>
    </w:p>
    <w:p w14:paraId="27C68ADF" w14:textId="77777777" w:rsidR="000E0B74" w:rsidRPr="00476F09" w:rsidRDefault="000E0B74" w:rsidP="00A54098">
      <w:r w:rsidRPr="00476F09">
        <w:t xml:space="preserve">Provided you have not modified or transformed Treasury </w:t>
      </w:r>
      <w:r w:rsidR="007B4690">
        <w:t xml:space="preserve">and Department of </w:t>
      </w:r>
      <w:r w:rsidR="001D4765">
        <w:t>Home Affairs</w:t>
      </w:r>
      <w:r w:rsidR="007B4690">
        <w:t xml:space="preserve"> </w:t>
      </w:r>
      <w:r w:rsidRPr="00476F09">
        <w:t>material in any way including, for example, by</w:t>
      </w:r>
      <w:r>
        <w:t xml:space="preserve"> </w:t>
      </w:r>
      <w:r w:rsidRPr="0096692D">
        <w:t xml:space="preserve">changing the Treasury </w:t>
      </w:r>
      <w:r w:rsidR="007B4690">
        <w:t xml:space="preserve">and Department of </w:t>
      </w:r>
      <w:r w:rsidR="001D4765">
        <w:t>Home Affairs</w:t>
      </w:r>
      <w:r w:rsidR="007B4690">
        <w:t xml:space="preserve"> </w:t>
      </w:r>
      <w:r w:rsidRPr="0096692D">
        <w:t>text; calculating percentage changes; graphing or charting data</w:t>
      </w:r>
      <w:r>
        <w:t>;</w:t>
      </w:r>
      <w:r w:rsidRPr="0096692D">
        <w:t xml:space="preserve"> or deriving new statistics from published Treasury </w:t>
      </w:r>
      <w:r w:rsidR="007B4690">
        <w:t xml:space="preserve">or Department of </w:t>
      </w:r>
      <w:r w:rsidR="001D4765">
        <w:t>Home Affairs</w:t>
      </w:r>
      <w:r w:rsidR="007B4690">
        <w:t xml:space="preserve"> </w:t>
      </w:r>
      <w:r w:rsidRPr="0096692D">
        <w:t>statistics</w:t>
      </w:r>
      <w:r>
        <w:t xml:space="preserve"> — then </w:t>
      </w:r>
      <w:r w:rsidR="007B4690">
        <w:t xml:space="preserve">the </w:t>
      </w:r>
      <w:r>
        <w:t xml:space="preserve">Treasury </w:t>
      </w:r>
      <w:r w:rsidR="007B4690">
        <w:t xml:space="preserve">and the Department of </w:t>
      </w:r>
      <w:r w:rsidR="001D4765">
        <w:t>Home Affairs</w:t>
      </w:r>
      <w:r w:rsidR="007B4690">
        <w:t xml:space="preserve"> </w:t>
      </w:r>
      <w:r>
        <w:t>prefers t</w:t>
      </w:r>
      <w:r w:rsidR="000A07A2">
        <w:t>he following attribution:</w:t>
      </w:r>
    </w:p>
    <w:p w14:paraId="06CA60A3" w14:textId="77777777" w:rsidR="000E0B74" w:rsidRPr="00D100D6" w:rsidRDefault="000E0B74" w:rsidP="00C17FA3">
      <w:pPr>
        <w:tabs>
          <w:tab w:val="left" w:pos="1560"/>
        </w:tabs>
        <w:ind w:left="1560" w:hanging="851"/>
        <w:rPr>
          <w:i/>
        </w:rPr>
      </w:pPr>
      <w:r w:rsidRPr="002F1BC2">
        <w:rPr>
          <w:i/>
        </w:rPr>
        <w:t>Source:</w:t>
      </w:r>
      <w:r w:rsidR="00C17FA3">
        <w:rPr>
          <w:i/>
        </w:rPr>
        <w:tab/>
      </w:r>
      <w:r w:rsidRPr="002F1BC2">
        <w:rPr>
          <w:i/>
        </w:rPr>
        <w:t xml:space="preserve">The </w:t>
      </w:r>
      <w:r w:rsidRPr="00D100D6">
        <w:rPr>
          <w:i/>
        </w:rPr>
        <w:t xml:space="preserve">Australian Government the Treasury </w:t>
      </w:r>
      <w:r w:rsidR="008F6FD3" w:rsidRPr="00D100D6">
        <w:rPr>
          <w:i/>
        </w:rPr>
        <w:t xml:space="preserve">and the Department of </w:t>
      </w:r>
      <w:r w:rsidR="001D4765">
        <w:rPr>
          <w:i/>
        </w:rPr>
        <w:t>Home Affairs</w:t>
      </w:r>
      <w:r w:rsidR="008F6FD3" w:rsidRPr="00D100D6">
        <w:rPr>
          <w:i/>
        </w:rPr>
        <w:t>.</w:t>
      </w:r>
    </w:p>
    <w:p w14:paraId="1CE9F59B" w14:textId="77777777" w:rsidR="000E0B74" w:rsidRPr="006627B4" w:rsidRDefault="000E0B74" w:rsidP="00A54098">
      <w:r w:rsidRPr="00CC63CC">
        <w:rPr>
          <w:b/>
        </w:rPr>
        <w:t>Derivative</w:t>
      </w:r>
      <w:r w:rsidRPr="006627B4">
        <w:t xml:space="preserve"> </w:t>
      </w:r>
      <w:r w:rsidRPr="00CC63CC">
        <w:rPr>
          <w:b/>
        </w:rPr>
        <w:t>material</w:t>
      </w:r>
    </w:p>
    <w:p w14:paraId="567FEB1D" w14:textId="77777777" w:rsidR="000E0B74" w:rsidRPr="006627B4" w:rsidRDefault="000E0B74" w:rsidP="00A54098">
      <w:r w:rsidRPr="006627B4">
        <w:t xml:space="preserve">If you have modified or transformed Treasury </w:t>
      </w:r>
      <w:r w:rsidR="007B4690">
        <w:t xml:space="preserve">and </w:t>
      </w:r>
      <w:proofErr w:type="gramStart"/>
      <w:r w:rsidR="007B4690">
        <w:t xml:space="preserve">Department of </w:t>
      </w:r>
      <w:r w:rsidR="001D4765">
        <w:t>Home Affairs</w:t>
      </w:r>
      <w:proofErr w:type="gramEnd"/>
      <w:r w:rsidR="007B4690">
        <w:t xml:space="preserve"> </w:t>
      </w:r>
      <w:r w:rsidRPr="006627B4">
        <w:t xml:space="preserve">material, or derived new material from those of the Treasury </w:t>
      </w:r>
      <w:r w:rsidR="007B4690">
        <w:t xml:space="preserve">or the Department of </w:t>
      </w:r>
      <w:r w:rsidR="001D4765">
        <w:t>Home Affairs</w:t>
      </w:r>
      <w:r w:rsidR="007B4690" w:rsidRPr="006627B4">
        <w:t xml:space="preserve"> </w:t>
      </w:r>
      <w:r w:rsidRPr="006627B4">
        <w:t xml:space="preserve">in any way, then </w:t>
      </w:r>
      <w:r w:rsidR="007B4690">
        <w:t xml:space="preserve">the </w:t>
      </w:r>
      <w:r w:rsidRPr="006627B4">
        <w:t xml:space="preserve">Treasury </w:t>
      </w:r>
      <w:r w:rsidR="007B4690">
        <w:t xml:space="preserve">and the Department of </w:t>
      </w:r>
      <w:r w:rsidR="001D4765">
        <w:t>Home Affairs</w:t>
      </w:r>
      <w:r w:rsidR="007B4690" w:rsidRPr="006627B4">
        <w:t xml:space="preserve"> </w:t>
      </w:r>
      <w:r w:rsidRPr="006627B4">
        <w:t>pr</w:t>
      </w:r>
      <w:r w:rsidR="000A07A2">
        <w:t>efer the following attribution:</w:t>
      </w:r>
    </w:p>
    <w:p w14:paraId="046B8D08" w14:textId="77777777" w:rsidR="008F6FD3" w:rsidRPr="00DC385A" w:rsidRDefault="008F6FD3" w:rsidP="00A54098">
      <w:pPr>
        <w:ind w:left="709"/>
      </w:pPr>
      <w:proofErr w:type="gramStart"/>
      <w:r w:rsidRPr="00DC385A">
        <w:rPr>
          <w:i/>
        </w:rPr>
        <w:t xml:space="preserve">Based on the Australian Government, the Treasury and Department of </w:t>
      </w:r>
      <w:r w:rsidR="001D4765">
        <w:rPr>
          <w:i/>
        </w:rPr>
        <w:t>Home Affairs</w:t>
      </w:r>
      <w:r w:rsidRPr="00DC385A">
        <w:rPr>
          <w:i/>
        </w:rPr>
        <w:t>, data</w:t>
      </w:r>
      <w:r w:rsidR="00D100D6">
        <w:rPr>
          <w:i/>
        </w:rPr>
        <w:t>.</w:t>
      </w:r>
      <w:proofErr w:type="gramEnd"/>
    </w:p>
    <w:p w14:paraId="2D0E290D" w14:textId="77777777" w:rsidR="000E0B74" w:rsidRPr="006627B4" w:rsidRDefault="000E0B74" w:rsidP="00A54098">
      <w:pPr>
        <w:rPr>
          <w:b/>
        </w:rPr>
      </w:pPr>
      <w:r w:rsidRPr="006627B4">
        <w:rPr>
          <w:b/>
        </w:rPr>
        <w:t>Use of the Coat of Arms</w:t>
      </w:r>
    </w:p>
    <w:p w14:paraId="13499398" w14:textId="77777777" w:rsidR="000E0B74" w:rsidRPr="006627B4" w:rsidRDefault="000E0B74" w:rsidP="00A54098">
      <w:r w:rsidRPr="006627B4">
        <w:t>The terms under which the Coat of Arms can be used are set out on the It</w:t>
      </w:r>
      <w:r w:rsidR="00021968">
        <w:t>’</w:t>
      </w:r>
      <w:r w:rsidRPr="006627B4">
        <w:t>s an Honour website (see</w:t>
      </w:r>
      <w:r w:rsidR="008E33F9">
        <w:t> </w:t>
      </w:r>
      <w:hyperlink r:id="rId24" w:history="1">
        <w:r w:rsidRPr="004A0F11">
          <w:rPr>
            <w:rStyle w:val="Hyperlink"/>
          </w:rPr>
          <w:t>www.itsanhonour.gov.au</w:t>
        </w:r>
      </w:hyperlink>
      <w:r w:rsidRPr="006627B4">
        <w:t>)</w:t>
      </w:r>
      <w:r>
        <w:t>.</w:t>
      </w:r>
    </w:p>
    <w:p w14:paraId="08AFE6B8" w14:textId="77777777" w:rsidR="000E0B74" w:rsidRPr="006627B4" w:rsidRDefault="000E0B74" w:rsidP="00A54098">
      <w:pPr>
        <w:rPr>
          <w:b/>
        </w:rPr>
      </w:pPr>
      <w:r>
        <w:rPr>
          <w:b/>
        </w:rPr>
        <w:t>Other u</w:t>
      </w:r>
      <w:r w:rsidRPr="006627B4">
        <w:rPr>
          <w:b/>
        </w:rPr>
        <w:t>ses</w:t>
      </w:r>
    </w:p>
    <w:p w14:paraId="5F32D2AB" w14:textId="77777777" w:rsidR="000E0B74" w:rsidRPr="006627B4" w:rsidRDefault="000E0B74" w:rsidP="00A54098">
      <w:r>
        <w:t>E</w:t>
      </w:r>
      <w:r w:rsidRPr="006627B4">
        <w:t>nquiries regarding this licence and any other use of this document are welcome at:</w:t>
      </w:r>
    </w:p>
    <w:p w14:paraId="3BC8E24F" w14:textId="77777777" w:rsidR="008F6FD3" w:rsidRPr="00C17FA3" w:rsidRDefault="000E0B74" w:rsidP="00C17FA3">
      <w:pPr>
        <w:ind w:left="720"/>
        <w:jc w:val="left"/>
      </w:pPr>
      <w:r w:rsidRPr="006627B4">
        <w:t>Manager</w:t>
      </w:r>
      <w:r>
        <w:br/>
        <w:t>Editorial, 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5" w:history="1">
        <w:r w:rsidRPr="00B31CFB">
          <w:rPr>
            <w:rStyle w:val="Hyperlink"/>
          </w:rPr>
          <w:t>medialiaison@treasury.gov.au</w:t>
        </w:r>
      </w:hyperlink>
    </w:p>
    <w:p w14:paraId="249EB1AA" w14:textId="77777777" w:rsidR="008F6FD3" w:rsidRPr="00C17FA3" w:rsidRDefault="008F6FD3" w:rsidP="00C17FA3">
      <w:pPr>
        <w:sectPr w:rsidR="008F6FD3" w:rsidRPr="00C17FA3" w:rsidSect="005D0DBA">
          <w:headerReference w:type="even" r:id="rId26"/>
          <w:headerReference w:type="default" r:id="rId27"/>
          <w:footerReference w:type="even" r:id="rId28"/>
          <w:footerReference w:type="default" r:id="rId29"/>
          <w:headerReference w:type="first" r:id="rId30"/>
          <w:footerReference w:type="first" r:id="rId31"/>
          <w:pgSz w:w="11906" w:h="16838" w:code="277"/>
          <w:pgMar w:top="1418" w:right="1418" w:bottom="1418" w:left="1418" w:header="709" w:footer="709" w:gutter="0"/>
          <w:pgNumType w:fmt="lowerRoman"/>
          <w:cols w:space="708"/>
          <w:titlePg/>
          <w:docGrid w:linePitch="360"/>
        </w:sectPr>
      </w:pPr>
    </w:p>
    <w:p w14:paraId="77128CBD" w14:textId="77777777" w:rsidR="00475085" w:rsidRPr="00C17FA3" w:rsidRDefault="00475085" w:rsidP="00BC0D23">
      <w:pPr>
        <w:pStyle w:val="Heading1"/>
      </w:pPr>
      <w:bookmarkStart w:id="1" w:name="_Toc432067103"/>
      <w:bookmarkStart w:id="2" w:name="_Toc452635030"/>
      <w:bookmarkStart w:id="3" w:name="_Toc495402475"/>
      <w:r w:rsidRPr="00C17FA3">
        <w:lastRenderedPageBreak/>
        <w:t>Foreword</w:t>
      </w:r>
      <w:bookmarkEnd w:id="1"/>
      <w:bookmarkEnd w:id="2"/>
      <w:bookmarkEnd w:id="3"/>
    </w:p>
    <w:p w14:paraId="1DAE2187" w14:textId="77777777" w:rsidR="008F6FD3" w:rsidRPr="00C17FA3" w:rsidRDefault="008F6FD3" w:rsidP="00BC0D23">
      <w:pPr>
        <w:pStyle w:val="Heading2-NoTOC"/>
      </w:pPr>
      <w:bookmarkStart w:id="4" w:name="_Toc493587286"/>
      <w:bookmarkStart w:id="5" w:name="_Toc494797364"/>
      <w:r w:rsidRPr="00C17FA3">
        <w:t xml:space="preserve">From the </w:t>
      </w:r>
      <w:r w:rsidR="000F20B9" w:rsidRPr="00C17FA3">
        <w:t>S</w:t>
      </w:r>
      <w:r w:rsidR="00E82B82" w:rsidRPr="00C17FA3">
        <w:t xml:space="preserve">ecretaries of the Treasury and the Department of </w:t>
      </w:r>
      <w:bookmarkEnd w:id="4"/>
      <w:bookmarkEnd w:id="5"/>
      <w:r w:rsidR="001D4765">
        <w:t>Home Affairs</w:t>
      </w:r>
    </w:p>
    <w:p w14:paraId="3C48FD0D" w14:textId="77777777" w:rsidR="00EC2CAB" w:rsidRDefault="001354E7" w:rsidP="00C17FA3">
      <w:pPr>
        <w:spacing w:before="120" w:after="120" w:line="270" w:lineRule="exact"/>
      </w:pPr>
      <w:r w:rsidRPr="001354E7">
        <w:t xml:space="preserve">Australia </w:t>
      </w:r>
      <w:r w:rsidR="00BA5783">
        <w:t xml:space="preserve">is a </w:t>
      </w:r>
      <w:r w:rsidR="00E40B87">
        <w:t>nation built on a foundation of migration. Our historically</w:t>
      </w:r>
      <w:r w:rsidR="00BA5783">
        <w:t xml:space="preserve"> strong population growth</w:t>
      </w:r>
      <w:r w:rsidR="00E40B87">
        <w:t xml:space="preserve"> is drawn </w:t>
      </w:r>
      <w:r w:rsidR="00BA5783">
        <w:t>from both natural increase and net overseas migration. Migration has made a significant contribution to our country</w:t>
      </w:r>
      <w:r w:rsidR="006E4D9A">
        <w:t>,</w:t>
      </w:r>
      <w:r w:rsidR="00BA5783">
        <w:t xml:space="preserve"> with almost 7 million out of Australia’s populati</w:t>
      </w:r>
      <w:r w:rsidR="00C17FA3">
        <w:t xml:space="preserve">on of </w:t>
      </w:r>
      <w:r w:rsidR="009734CA">
        <w:t>almost 25</w:t>
      </w:r>
      <w:r w:rsidR="00C17FA3">
        <w:t xml:space="preserve"> million born overseas.</w:t>
      </w:r>
    </w:p>
    <w:p w14:paraId="5720C0BA" w14:textId="77777777" w:rsidR="00BA5783" w:rsidRDefault="00E40B87" w:rsidP="00C17FA3">
      <w:pPr>
        <w:spacing w:before="120" w:after="120" w:line="270" w:lineRule="exact"/>
      </w:pPr>
      <w:r>
        <w:t xml:space="preserve">The Australian community has been enriched by the presence of migrant groups, who have brought diversity to our cities, suburbs and towns. </w:t>
      </w:r>
      <w:r w:rsidR="00F8617A" w:rsidRPr="00F8617A">
        <w:t xml:space="preserve">The Italians </w:t>
      </w:r>
      <w:r>
        <w:t>settled in</w:t>
      </w:r>
      <w:r w:rsidRPr="00F8617A">
        <w:t xml:space="preserve"> </w:t>
      </w:r>
      <w:r w:rsidR="00F8617A" w:rsidRPr="00F8617A">
        <w:t>Melbourne’s Carlton</w:t>
      </w:r>
      <w:r>
        <w:t>,</w:t>
      </w:r>
      <w:r w:rsidR="00F8617A" w:rsidRPr="00F8617A">
        <w:t xml:space="preserve"> </w:t>
      </w:r>
      <w:r>
        <w:t>t</w:t>
      </w:r>
      <w:r w:rsidR="00F8617A" w:rsidRPr="00F8617A">
        <w:t xml:space="preserve">he Vietnamese </w:t>
      </w:r>
      <w:r>
        <w:t>built a community in</w:t>
      </w:r>
      <w:r w:rsidR="00F8617A">
        <w:t xml:space="preserve"> Sydney’s Cabramatta</w:t>
      </w:r>
      <w:r w:rsidR="00573246">
        <w:t xml:space="preserve">, just as </w:t>
      </w:r>
      <w:r w:rsidR="00F8617A">
        <w:t xml:space="preserve">the </w:t>
      </w:r>
      <w:r w:rsidR="00F8617A" w:rsidRPr="00F8617A">
        <w:t xml:space="preserve">Arabic-speaking community </w:t>
      </w:r>
      <w:r w:rsidR="00573246">
        <w:t>has formed</w:t>
      </w:r>
      <w:r w:rsidR="00573246" w:rsidRPr="00F8617A">
        <w:t xml:space="preserve"> </w:t>
      </w:r>
      <w:r w:rsidR="00F8617A" w:rsidRPr="00F8617A">
        <w:t>in Sydney’s Lakemba.</w:t>
      </w:r>
      <w:r w:rsidR="00F8617A">
        <w:t xml:space="preserve"> </w:t>
      </w:r>
      <w:r w:rsidR="00E57CEE">
        <w:t>China, India and the Philippines</w:t>
      </w:r>
      <w:r w:rsidR="00EB4FCB">
        <w:t xml:space="preserve"> now join England and New</w:t>
      </w:r>
      <w:r w:rsidR="00F86CD4">
        <w:t> </w:t>
      </w:r>
      <w:r w:rsidR="00EB4FCB">
        <w:t xml:space="preserve">Zealand </w:t>
      </w:r>
      <w:r w:rsidR="00573246">
        <w:t xml:space="preserve">at the </w:t>
      </w:r>
      <w:r w:rsidR="00E57CEE">
        <w:t>top</w:t>
      </w:r>
      <w:r w:rsidR="00573246">
        <w:t xml:space="preserve"> of</w:t>
      </w:r>
      <w:r w:rsidR="00E57CEE">
        <w:t xml:space="preserve"> the list </w:t>
      </w:r>
      <w:r w:rsidR="006E4D9A">
        <w:t>of</w:t>
      </w:r>
      <w:r w:rsidR="00E57CEE">
        <w:t xml:space="preserve"> countries of birth other than Australia. </w:t>
      </w:r>
      <w:r w:rsidR="00FE10CB">
        <w:t xml:space="preserve">Generations of </w:t>
      </w:r>
      <w:r w:rsidR="00E424CC" w:rsidRPr="00E424CC">
        <w:t xml:space="preserve">migrants have contributed to Australia’s rich cultural diversity – our nation is </w:t>
      </w:r>
      <w:r w:rsidR="00FE10CB">
        <w:t>comprised</w:t>
      </w:r>
      <w:r w:rsidR="00E424CC" w:rsidRPr="00E424CC">
        <w:t xml:space="preserve"> of people </w:t>
      </w:r>
      <w:r w:rsidR="00FE10CB">
        <w:t xml:space="preserve">with </w:t>
      </w:r>
      <w:r w:rsidR="00E424CC" w:rsidRPr="00E424CC">
        <w:t>over 300</w:t>
      </w:r>
      <w:r w:rsidR="00F86CD4">
        <w:t> </w:t>
      </w:r>
      <w:r w:rsidR="00E424CC" w:rsidRPr="00E424CC">
        <w:t xml:space="preserve">different ancestries, </w:t>
      </w:r>
      <w:r w:rsidR="00FE10CB">
        <w:t>who speak</w:t>
      </w:r>
      <w:r w:rsidR="00E424CC" w:rsidRPr="00E424CC">
        <w:t xml:space="preserve"> </w:t>
      </w:r>
      <w:r w:rsidR="00FE10CB">
        <w:t xml:space="preserve">more than </w:t>
      </w:r>
      <w:r w:rsidR="00E424CC" w:rsidRPr="00E424CC">
        <w:t>300</w:t>
      </w:r>
      <w:r w:rsidR="00FE10CB">
        <w:t xml:space="preserve"> different</w:t>
      </w:r>
      <w:r w:rsidR="00E424CC" w:rsidRPr="00E424CC">
        <w:t xml:space="preserve"> languages, and </w:t>
      </w:r>
      <w:r w:rsidR="00FE10CB">
        <w:t xml:space="preserve">practice </w:t>
      </w:r>
      <w:r w:rsidR="00E424CC" w:rsidRPr="00E424CC">
        <w:t>over 100</w:t>
      </w:r>
      <w:r w:rsidR="00F86CD4">
        <w:t> </w:t>
      </w:r>
      <w:r w:rsidR="00E424CC" w:rsidRPr="00E424CC">
        <w:t>religions.</w:t>
      </w:r>
    </w:p>
    <w:p w14:paraId="1E8E73B8" w14:textId="77777777" w:rsidR="00837E39" w:rsidRDefault="00E57CEE" w:rsidP="00C17FA3">
      <w:pPr>
        <w:spacing w:before="120" w:after="120" w:line="270" w:lineRule="exact"/>
      </w:pPr>
      <w:r>
        <w:t>Population growth has not happened uniformly across Australia, nor has each State</w:t>
      </w:r>
      <w:r w:rsidR="00AD0484">
        <w:t xml:space="preserve"> or Territory</w:t>
      </w:r>
      <w:r>
        <w:t xml:space="preserve">’s population story been the same. </w:t>
      </w:r>
      <w:r w:rsidR="00EC2CAB">
        <w:t>All States</w:t>
      </w:r>
      <w:r w:rsidR="00AD0484">
        <w:t xml:space="preserve"> and territories</w:t>
      </w:r>
      <w:r w:rsidR="00EC2CAB">
        <w:t xml:space="preserve"> are united, however, in continuing to grow.</w:t>
      </w:r>
      <w:r>
        <w:t xml:space="preserve"> </w:t>
      </w:r>
      <w:r w:rsidR="00EC2CAB">
        <w:t xml:space="preserve">Population growth has undoubtedly contributed to the extraordinary period of </w:t>
      </w:r>
      <w:r w:rsidR="006E4D9A">
        <w:t xml:space="preserve">economic </w:t>
      </w:r>
      <w:r w:rsidR="00EC2CAB">
        <w:t xml:space="preserve">growth that Australia has experienced since the early 1990s. Migration has also </w:t>
      </w:r>
      <w:r w:rsidR="00B21F64">
        <w:t>played a role in our prosperity</w:t>
      </w:r>
      <w:r w:rsidR="006E4D9A">
        <w:t>,</w:t>
      </w:r>
      <w:r w:rsidR="00B21F64">
        <w:t xml:space="preserve"> with migrants delivering economic</w:t>
      </w:r>
      <w:r w:rsidR="00573246">
        <w:t>, social</w:t>
      </w:r>
      <w:r w:rsidR="00B21F64">
        <w:t xml:space="preserve"> and fiscal benefits for Australia.</w:t>
      </w:r>
      <w:r w:rsidR="00FE10CB">
        <w:t xml:space="preserve"> </w:t>
      </w:r>
      <w:r w:rsidR="00FE10CB" w:rsidRPr="00FE10CB">
        <w:t>Australia’s skill-focus</w:t>
      </w:r>
      <w:r w:rsidR="00FE10CB">
        <w:t>ed</w:t>
      </w:r>
      <w:r w:rsidR="00FE10CB" w:rsidRPr="00FE10CB">
        <w:t xml:space="preserve"> migration</w:t>
      </w:r>
      <w:r w:rsidR="00837E39">
        <w:t xml:space="preserve"> program</w:t>
      </w:r>
      <w:r w:rsidR="00FE10CB" w:rsidRPr="00FE10CB">
        <w:t xml:space="preserve"> </w:t>
      </w:r>
      <w:r w:rsidR="00837E39">
        <w:t>has increased the resources, skills and knowledge available in our economy, boosting opp</w:t>
      </w:r>
      <w:r w:rsidR="00C17FA3">
        <w:t>ortunities for all Australians.</w:t>
      </w:r>
    </w:p>
    <w:p w14:paraId="59FA0CA5" w14:textId="77777777" w:rsidR="001354E7" w:rsidRPr="001354E7" w:rsidRDefault="00EB4FCB" w:rsidP="00C17FA3">
      <w:pPr>
        <w:spacing w:before="120" w:after="120" w:line="270" w:lineRule="exact"/>
      </w:pPr>
      <w:r>
        <w:t>At the same time, a</w:t>
      </w:r>
      <w:r w:rsidR="001354E7" w:rsidRPr="001354E7">
        <w:t xml:space="preserve"> growing population </w:t>
      </w:r>
      <w:r w:rsidR="00B21F64">
        <w:t>heighten</w:t>
      </w:r>
      <w:r w:rsidR="00757995">
        <w:t>s existing</w:t>
      </w:r>
      <w:r w:rsidR="001354E7" w:rsidRPr="001354E7">
        <w:t xml:space="preserve"> pressure on infrastructure, housing, transport networks and our environment</w:t>
      </w:r>
      <w:r w:rsidR="0044007D">
        <w:t>—</w:t>
      </w:r>
      <w:r w:rsidR="001354E7" w:rsidRPr="001354E7">
        <w:t>especially in major cities</w:t>
      </w:r>
      <w:r w:rsidR="0044007D">
        <w:t>—</w:t>
      </w:r>
      <w:r w:rsidR="001354E7" w:rsidRPr="001354E7">
        <w:t xml:space="preserve">and the distribution of population growth will be a key factor in </w:t>
      </w:r>
      <w:r w:rsidR="00FA1A54">
        <w:t>shaping</w:t>
      </w:r>
      <w:r w:rsidR="00FA1A54" w:rsidRPr="001354E7">
        <w:t xml:space="preserve"> </w:t>
      </w:r>
      <w:r w:rsidR="001354E7" w:rsidRPr="001354E7">
        <w:t>the future of regional centres.</w:t>
      </w:r>
      <w:r w:rsidR="00B21F64">
        <w:t xml:space="preserve"> </w:t>
      </w:r>
      <w:r w:rsidRPr="001354E7">
        <w:t xml:space="preserve">Treasury and the Department of </w:t>
      </w:r>
      <w:r w:rsidR="001D4765">
        <w:t>Home Affairs</w:t>
      </w:r>
      <w:r w:rsidRPr="001354E7">
        <w:t xml:space="preserve"> have worked together to better understand the trends driving </w:t>
      </w:r>
      <w:r>
        <w:t>Australia’s growing population and the influence of migration on our economy and society</w:t>
      </w:r>
      <w:r w:rsidRPr="001354E7">
        <w:t>.</w:t>
      </w:r>
      <w:r>
        <w:t xml:space="preserve"> </w:t>
      </w:r>
      <w:r w:rsidR="001354E7" w:rsidRPr="001354E7">
        <w:t>As this paper highlights, policy makers will need to think carefully about the steps that can be taken now to ensure Australia can co</w:t>
      </w:r>
      <w:r w:rsidR="00B21F64">
        <w:t xml:space="preserve">ntinue to reap the benefits of </w:t>
      </w:r>
      <w:r w:rsidR="001354E7" w:rsidRPr="001354E7">
        <w:t>migration and population growth.</w:t>
      </w:r>
    </w:p>
    <w:p w14:paraId="68C3F59F" w14:textId="77777777" w:rsidR="00EB4FCB" w:rsidRDefault="001354E7" w:rsidP="00C17FA3">
      <w:pPr>
        <w:spacing w:before="120" w:after="120" w:line="270" w:lineRule="exact"/>
      </w:pPr>
      <w:r w:rsidRPr="001354E7">
        <w:t>This joint research</w:t>
      </w:r>
      <w:r w:rsidR="005E0EA8">
        <w:t>,</w:t>
      </w:r>
      <w:r w:rsidRPr="001354E7">
        <w:t xml:space="preserve"> which has been undertaken by our Departments </w:t>
      </w:r>
      <w:r w:rsidR="001D4765">
        <w:t>over the course of 2017</w:t>
      </w:r>
      <w:r w:rsidR="005E0EA8">
        <w:t>,</w:t>
      </w:r>
      <w:r w:rsidR="001D4765">
        <w:t xml:space="preserve"> </w:t>
      </w:r>
      <w:r w:rsidRPr="001354E7">
        <w:t>aims to inform discussion and debate. The comments and analysis in this paper are those of the Departments and do not represent or imply Australian Government policy.</w:t>
      </w:r>
      <w:r w:rsidR="00B21F64">
        <w:t xml:space="preserve"> </w:t>
      </w:r>
      <w:r w:rsidR="00B21F64" w:rsidRPr="001354E7">
        <w:t xml:space="preserve">There is more work to be done and our two Departments will continue to focus on these issues. </w:t>
      </w:r>
      <w:r w:rsidR="00FA1A54">
        <w:t>Included in t</w:t>
      </w:r>
      <w:r w:rsidR="00B21F64" w:rsidRPr="001354E7">
        <w:t xml:space="preserve">his paper </w:t>
      </w:r>
      <w:r w:rsidR="00FA1A54">
        <w:t xml:space="preserve">is </w:t>
      </w:r>
      <w:r w:rsidR="00B21F64" w:rsidRPr="001354E7">
        <w:t>a list of possible issues for further research.</w:t>
      </w:r>
    </w:p>
    <w:p w14:paraId="40B2D33E" w14:textId="77777777" w:rsidR="00475085" w:rsidRDefault="00EB4FCB" w:rsidP="00C17FA3">
      <w:pPr>
        <w:spacing w:before="120" w:after="120" w:line="270" w:lineRule="exact"/>
      </w:pPr>
      <w:r>
        <w:t>We would like to thank</w:t>
      </w:r>
      <w:r w:rsidR="00FE10CB">
        <w:t xml:space="preserve"> Mirren Allica, Christopher Short, Jacinta Greenwell, Lucy Lu, Son Vu, Eugen </w:t>
      </w:r>
      <w:proofErr w:type="spellStart"/>
      <w:r w:rsidR="00FE10CB">
        <w:t>Kovac</w:t>
      </w:r>
      <w:proofErr w:type="spellEnd"/>
      <w:r w:rsidR="00FE10CB">
        <w:t xml:space="preserve"> and Su</w:t>
      </w:r>
      <w:r w:rsidR="008D3795">
        <w:t>san</w:t>
      </w:r>
      <w:r w:rsidR="00FE10CB">
        <w:t xml:space="preserve"> Love for their work on this paper</w:t>
      </w:r>
      <w:r>
        <w:t>.</w:t>
      </w:r>
    </w:p>
    <w:p w14:paraId="275EBC61" w14:textId="77777777" w:rsidR="00C17FA3" w:rsidRPr="00C17FA3" w:rsidRDefault="00C17FA3" w:rsidP="00C17FA3">
      <w:pPr>
        <w:pStyle w:val="TableGraphic"/>
        <w:tabs>
          <w:tab w:val="left" w:pos="4395"/>
        </w:tabs>
        <w:spacing w:before="300" w:after="180"/>
        <w:ind w:left="-284"/>
      </w:pPr>
      <w:r w:rsidRPr="00C17FA3">
        <w:rPr>
          <w:noProof/>
        </w:rPr>
        <w:drawing>
          <wp:inline distT="0" distB="0" distL="0" distR="0" wp14:anchorId="75DFFA0A" wp14:editId="2C883B0F">
            <wp:extent cx="2207895" cy="542925"/>
            <wp:effectExtent l="0" t="0" r="1905" b="9525"/>
            <wp:docPr id="1" name="Picture 1" descr="Signature of John A. F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MCD\Publishing\Graphic Design Services Team\Digital_Assets\Signatures\John A Fraser\John A Fraser.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49" t="4376" r="3728" b="4374"/>
                    <a:stretch/>
                  </pic:blipFill>
                  <pic:spPr bwMode="auto">
                    <a:xfrm>
                      <a:off x="0" y="0"/>
                      <a:ext cx="2207895" cy="54292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14E77CF" wp14:editId="3A56ED02">
            <wp:extent cx="1897811" cy="440177"/>
            <wp:effectExtent l="0" t="0" r="7620" b="0"/>
            <wp:docPr id="2" name="Picture 2" descr="Signature of Michael Pezz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Pezzullo signa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9648" cy="440603"/>
                    </a:xfrm>
                    <a:prstGeom prst="rect">
                      <a:avLst/>
                    </a:prstGeom>
                  </pic:spPr>
                </pic:pic>
              </a:graphicData>
            </a:graphic>
          </wp:inline>
        </w:drawing>
      </w:r>
    </w:p>
    <w:p w14:paraId="786D9A52" w14:textId="77777777" w:rsidR="00C17FA3" w:rsidRPr="00437834" w:rsidRDefault="00C17FA3" w:rsidP="00C17FA3">
      <w:pPr>
        <w:tabs>
          <w:tab w:val="left" w:pos="4395"/>
        </w:tabs>
        <w:spacing w:before="0" w:after="0"/>
        <w:jc w:val="left"/>
        <w:rPr>
          <w:b/>
          <w:szCs w:val="22"/>
        </w:rPr>
        <w:sectPr w:rsidR="00C17FA3" w:rsidRPr="00437834" w:rsidSect="005D0DBA">
          <w:headerReference w:type="even" r:id="rId34"/>
          <w:headerReference w:type="default" r:id="rId35"/>
          <w:footerReference w:type="default" r:id="rId36"/>
          <w:headerReference w:type="first" r:id="rId37"/>
          <w:footerReference w:type="first" r:id="rId38"/>
          <w:type w:val="oddPage"/>
          <w:pgSz w:w="11906" w:h="16838" w:code="277"/>
          <w:pgMar w:top="1418" w:right="1418" w:bottom="1418" w:left="1418" w:header="709" w:footer="709" w:gutter="0"/>
          <w:pgNumType w:fmt="lowerRoman"/>
          <w:cols w:space="708"/>
          <w:titlePg/>
          <w:docGrid w:linePitch="360"/>
        </w:sectPr>
      </w:pPr>
      <w:r w:rsidRPr="00437834">
        <w:rPr>
          <w:b/>
          <w:szCs w:val="22"/>
        </w:rPr>
        <w:t>John A. Fraser</w:t>
      </w:r>
      <w:r w:rsidRPr="00437834">
        <w:rPr>
          <w:b/>
          <w:szCs w:val="22"/>
        </w:rPr>
        <w:tab/>
        <w:t xml:space="preserve">Michael </w:t>
      </w:r>
      <w:proofErr w:type="spellStart"/>
      <w:r w:rsidRPr="00437834">
        <w:rPr>
          <w:b/>
          <w:szCs w:val="22"/>
        </w:rPr>
        <w:t>Pezzullo</w:t>
      </w:r>
      <w:proofErr w:type="spellEnd"/>
      <w:r w:rsidRPr="00437834">
        <w:rPr>
          <w:b/>
          <w:szCs w:val="22"/>
        </w:rPr>
        <w:br/>
        <w:t>Secretary</w:t>
      </w:r>
      <w:r w:rsidRPr="00437834">
        <w:rPr>
          <w:b/>
          <w:szCs w:val="22"/>
        </w:rPr>
        <w:tab/>
      </w:r>
      <w:proofErr w:type="spellStart"/>
      <w:r w:rsidRPr="00437834">
        <w:rPr>
          <w:b/>
          <w:szCs w:val="22"/>
        </w:rPr>
        <w:t>Secretary</w:t>
      </w:r>
      <w:proofErr w:type="spellEnd"/>
      <w:r w:rsidRPr="00437834">
        <w:rPr>
          <w:b/>
          <w:szCs w:val="22"/>
        </w:rPr>
        <w:br/>
      </w:r>
      <w:proofErr w:type="gramStart"/>
      <w:r w:rsidRPr="00437834">
        <w:rPr>
          <w:b/>
          <w:szCs w:val="22"/>
        </w:rPr>
        <w:t>The</w:t>
      </w:r>
      <w:proofErr w:type="gramEnd"/>
      <w:r w:rsidRPr="00437834">
        <w:rPr>
          <w:b/>
          <w:szCs w:val="22"/>
        </w:rPr>
        <w:t xml:space="preserve"> Treasury</w:t>
      </w:r>
      <w:r w:rsidRPr="00437834">
        <w:rPr>
          <w:b/>
          <w:szCs w:val="22"/>
        </w:rPr>
        <w:tab/>
        <w:t xml:space="preserve">Department of </w:t>
      </w:r>
      <w:r w:rsidR="001D4765">
        <w:rPr>
          <w:b/>
          <w:szCs w:val="22"/>
        </w:rPr>
        <w:t>Home Affairs</w:t>
      </w:r>
    </w:p>
    <w:p w14:paraId="1FC627C3" w14:textId="77777777" w:rsidR="001354E7" w:rsidRPr="00F86CD4" w:rsidRDefault="001354E7" w:rsidP="004E1B97">
      <w:pPr>
        <w:pStyle w:val="Heading1-NoTOC"/>
      </w:pPr>
      <w:r w:rsidRPr="00F86CD4">
        <w:lastRenderedPageBreak/>
        <w:t>Contents</w:t>
      </w:r>
    </w:p>
    <w:p w14:paraId="0FF033F1" w14:textId="77777777" w:rsidR="00F93488" w:rsidRDefault="001354E7">
      <w:pPr>
        <w:pStyle w:val="TOC1"/>
        <w:rPr>
          <w:rFonts w:asciiTheme="minorHAnsi" w:eastAsiaTheme="minorEastAsia" w:hAnsiTheme="minorHAnsi" w:cstheme="minorBidi"/>
          <w:b w:val="0"/>
          <w:caps w:val="0"/>
          <w:color w:val="auto"/>
        </w:rPr>
      </w:pPr>
      <w:r>
        <w:fldChar w:fldCharType="begin"/>
      </w:r>
      <w:r>
        <w:instrText xml:space="preserve"> TOC \o "1-2" \h \z \u </w:instrText>
      </w:r>
      <w:r>
        <w:fldChar w:fldCharType="separate"/>
      </w:r>
      <w:hyperlink w:anchor="_Toc495402475" w:history="1">
        <w:r w:rsidR="00F93488" w:rsidRPr="00C959AF">
          <w:rPr>
            <w:rStyle w:val="Hyperlink"/>
          </w:rPr>
          <w:t>Foreword</w:t>
        </w:r>
        <w:r w:rsidR="00F93488">
          <w:rPr>
            <w:webHidden/>
          </w:rPr>
          <w:tab/>
        </w:r>
        <w:r w:rsidR="00F93488">
          <w:rPr>
            <w:webHidden/>
          </w:rPr>
          <w:fldChar w:fldCharType="begin"/>
        </w:r>
        <w:r w:rsidR="00F93488">
          <w:rPr>
            <w:webHidden/>
          </w:rPr>
          <w:instrText xml:space="preserve"> PAGEREF _Toc495402475 \h </w:instrText>
        </w:r>
        <w:r w:rsidR="00F93488">
          <w:rPr>
            <w:webHidden/>
          </w:rPr>
        </w:r>
        <w:r w:rsidR="00F93488">
          <w:rPr>
            <w:webHidden/>
          </w:rPr>
          <w:fldChar w:fldCharType="separate"/>
        </w:r>
        <w:r w:rsidR="0015687E">
          <w:rPr>
            <w:webHidden/>
          </w:rPr>
          <w:t>iii</w:t>
        </w:r>
        <w:r w:rsidR="00F93488">
          <w:rPr>
            <w:webHidden/>
          </w:rPr>
          <w:fldChar w:fldCharType="end"/>
        </w:r>
      </w:hyperlink>
    </w:p>
    <w:p w14:paraId="0D055EB3" w14:textId="77777777" w:rsidR="00F93488" w:rsidRDefault="009E1A5E">
      <w:pPr>
        <w:pStyle w:val="TOC1"/>
        <w:rPr>
          <w:rFonts w:asciiTheme="minorHAnsi" w:eastAsiaTheme="minorEastAsia" w:hAnsiTheme="minorHAnsi" w:cstheme="minorBidi"/>
          <w:b w:val="0"/>
          <w:caps w:val="0"/>
          <w:color w:val="auto"/>
        </w:rPr>
      </w:pPr>
      <w:hyperlink w:anchor="_Toc495402476" w:history="1">
        <w:r w:rsidR="00F93488" w:rsidRPr="00C959AF">
          <w:rPr>
            <w:rStyle w:val="Hyperlink"/>
          </w:rPr>
          <w:t>Executive Summary</w:t>
        </w:r>
        <w:r w:rsidR="00F93488">
          <w:rPr>
            <w:webHidden/>
          </w:rPr>
          <w:tab/>
        </w:r>
        <w:r w:rsidR="00F93488">
          <w:rPr>
            <w:webHidden/>
          </w:rPr>
          <w:fldChar w:fldCharType="begin"/>
        </w:r>
        <w:r w:rsidR="00F93488">
          <w:rPr>
            <w:webHidden/>
          </w:rPr>
          <w:instrText xml:space="preserve"> PAGEREF _Toc495402476 \h </w:instrText>
        </w:r>
        <w:r w:rsidR="00F93488">
          <w:rPr>
            <w:webHidden/>
          </w:rPr>
        </w:r>
        <w:r w:rsidR="00F93488">
          <w:rPr>
            <w:webHidden/>
          </w:rPr>
          <w:fldChar w:fldCharType="separate"/>
        </w:r>
        <w:r w:rsidR="0015687E">
          <w:rPr>
            <w:webHidden/>
          </w:rPr>
          <w:t>1</w:t>
        </w:r>
        <w:r w:rsidR="00F93488">
          <w:rPr>
            <w:webHidden/>
          </w:rPr>
          <w:fldChar w:fldCharType="end"/>
        </w:r>
      </w:hyperlink>
    </w:p>
    <w:p w14:paraId="220EAAB5" w14:textId="77777777" w:rsidR="00F93488" w:rsidRDefault="009E1A5E">
      <w:pPr>
        <w:pStyle w:val="TOC1"/>
        <w:rPr>
          <w:rFonts w:asciiTheme="minorHAnsi" w:eastAsiaTheme="minorEastAsia" w:hAnsiTheme="minorHAnsi" w:cstheme="minorBidi"/>
          <w:b w:val="0"/>
          <w:caps w:val="0"/>
          <w:color w:val="auto"/>
        </w:rPr>
      </w:pPr>
      <w:hyperlink w:anchor="_Toc495402477" w:history="1">
        <w:r w:rsidR="00F93488" w:rsidRPr="00C959AF">
          <w:rPr>
            <w:rStyle w:val="Hyperlink"/>
          </w:rPr>
          <w:t>Population and Immigration: Trends and Implications</w:t>
        </w:r>
        <w:r w:rsidR="00F93488">
          <w:rPr>
            <w:webHidden/>
          </w:rPr>
          <w:tab/>
        </w:r>
        <w:r w:rsidR="00F93488">
          <w:rPr>
            <w:webHidden/>
          </w:rPr>
          <w:fldChar w:fldCharType="begin"/>
        </w:r>
        <w:r w:rsidR="00F93488">
          <w:rPr>
            <w:webHidden/>
          </w:rPr>
          <w:instrText xml:space="preserve"> PAGEREF _Toc495402477 \h </w:instrText>
        </w:r>
        <w:r w:rsidR="00F93488">
          <w:rPr>
            <w:webHidden/>
          </w:rPr>
        </w:r>
        <w:r w:rsidR="00F93488">
          <w:rPr>
            <w:webHidden/>
          </w:rPr>
          <w:fldChar w:fldCharType="separate"/>
        </w:r>
        <w:r w:rsidR="0015687E">
          <w:rPr>
            <w:webHidden/>
          </w:rPr>
          <w:t>2</w:t>
        </w:r>
        <w:r w:rsidR="00F93488">
          <w:rPr>
            <w:webHidden/>
          </w:rPr>
          <w:fldChar w:fldCharType="end"/>
        </w:r>
      </w:hyperlink>
    </w:p>
    <w:p w14:paraId="27B7A5A4" w14:textId="77777777" w:rsidR="00F93488" w:rsidRDefault="009E1A5E">
      <w:pPr>
        <w:pStyle w:val="TOC2"/>
        <w:rPr>
          <w:rFonts w:asciiTheme="minorHAnsi" w:eastAsiaTheme="minorEastAsia" w:hAnsiTheme="minorHAnsi" w:cstheme="minorBidi"/>
          <w:color w:val="auto"/>
          <w:szCs w:val="22"/>
        </w:rPr>
      </w:pPr>
      <w:hyperlink w:anchor="_Toc495402478" w:history="1">
        <w:r w:rsidR="00F93488" w:rsidRPr="00C959AF">
          <w:rPr>
            <w:rStyle w:val="Hyperlink"/>
          </w:rPr>
          <w:t>1.</w:t>
        </w:r>
        <w:r w:rsidR="00F93488">
          <w:rPr>
            <w:rFonts w:asciiTheme="minorHAnsi" w:eastAsiaTheme="minorEastAsia" w:hAnsiTheme="minorHAnsi" w:cstheme="minorBidi"/>
            <w:color w:val="auto"/>
            <w:szCs w:val="22"/>
          </w:rPr>
          <w:tab/>
        </w:r>
        <w:r w:rsidR="00F93488" w:rsidRPr="00C959AF">
          <w:rPr>
            <w:rStyle w:val="Hyperlink"/>
          </w:rPr>
          <w:t>Australia’s population: growth over the last century</w:t>
        </w:r>
        <w:r w:rsidR="00F93488">
          <w:rPr>
            <w:webHidden/>
          </w:rPr>
          <w:tab/>
        </w:r>
        <w:r w:rsidR="00F93488">
          <w:rPr>
            <w:webHidden/>
          </w:rPr>
          <w:fldChar w:fldCharType="begin"/>
        </w:r>
        <w:r w:rsidR="00F93488">
          <w:rPr>
            <w:webHidden/>
          </w:rPr>
          <w:instrText xml:space="preserve"> PAGEREF _Toc495402478 \h </w:instrText>
        </w:r>
        <w:r w:rsidR="00F93488">
          <w:rPr>
            <w:webHidden/>
          </w:rPr>
        </w:r>
        <w:r w:rsidR="00F93488">
          <w:rPr>
            <w:webHidden/>
          </w:rPr>
          <w:fldChar w:fldCharType="separate"/>
        </w:r>
        <w:r w:rsidR="0015687E">
          <w:rPr>
            <w:webHidden/>
          </w:rPr>
          <w:t>2</w:t>
        </w:r>
        <w:r w:rsidR="00F93488">
          <w:rPr>
            <w:webHidden/>
          </w:rPr>
          <w:fldChar w:fldCharType="end"/>
        </w:r>
      </w:hyperlink>
    </w:p>
    <w:p w14:paraId="4B5A4DC8" w14:textId="77777777" w:rsidR="00F93488" w:rsidRDefault="009E1A5E">
      <w:pPr>
        <w:pStyle w:val="TOC2"/>
        <w:rPr>
          <w:rFonts w:asciiTheme="minorHAnsi" w:eastAsiaTheme="minorEastAsia" w:hAnsiTheme="minorHAnsi" w:cstheme="minorBidi"/>
          <w:color w:val="auto"/>
          <w:szCs w:val="22"/>
        </w:rPr>
      </w:pPr>
      <w:hyperlink w:anchor="_Toc495402479" w:history="1">
        <w:r w:rsidR="00F93488" w:rsidRPr="00C959AF">
          <w:rPr>
            <w:rStyle w:val="Hyperlink"/>
          </w:rPr>
          <w:t>2.</w:t>
        </w:r>
        <w:r w:rsidR="00F93488">
          <w:rPr>
            <w:rFonts w:asciiTheme="minorHAnsi" w:eastAsiaTheme="minorEastAsia" w:hAnsiTheme="minorHAnsi" w:cstheme="minorBidi"/>
            <w:color w:val="auto"/>
            <w:szCs w:val="22"/>
          </w:rPr>
          <w:tab/>
        </w:r>
        <w:r w:rsidR="00F93488" w:rsidRPr="00C959AF">
          <w:rPr>
            <w:rStyle w:val="Hyperlink"/>
          </w:rPr>
          <w:t>Population components</w:t>
        </w:r>
        <w:r w:rsidR="00F93488">
          <w:rPr>
            <w:webHidden/>
          </w:rPr>
          <w:tab/>
        </w:r>
        <w:r w:rsidR="00F93488">
          <w:rPr>
            <w:webHidden/>
          </w:rPr>
          <w:fldChar w:fldCharType="begin"/>
        </w:r>
        <w:r w:rsidR="00F93488">
          <w:rPr>
            <w:webHidden/>
          </w:rPr>
          <w:instrText xml:space="preserve"> PAGEREF _Toc495402479 \h </w:instrText>
        </w:r>
        <w:r w:rsidR="00F93488">
          <w:rPr>
            <w:webHidden/>
          </w:rPr>
        </w:r>
        <w:r w:rsidR="00F93488">
          <w:rPr>
            <w:webHidden/>
          </w:rPr>
          <w:fldChar w:fldCharType="separate"/>
        </w:r>
        <w:r w:rsidR="0015687E">
          <w:rPr>
            <w:webHidden/>
          </w:rPr>
          <w:t>5</w:t>
        </w:r>
        <w:r w:rsidR="00F93488">
          <w:rPr>
            <w:webHidden/>
          </w:rPr>
          <w:fldChar w:fldCharType="end"/>
        </w:r>
      </w:hyperlink>
    </w:p>
    <w:p w14:paraId="6266DD40" w14:textId="77777777" w:rsidR="00F93488" w:rsidRDefault="009E1A5E">
      <w:pPr>
        <w:pStyle w:val="TOC2"/>
        <w:rPr>
          <w:rFonts w:asciiTheme="minorHAnsi" w:eastAsiaTheme="minorEastAsia" w:hAnsiTheme="minorHAnsi" w:cstheme="minorBidi"/>
          <w:color w:val="auto"/>
          <w:szCs w:val="22"/>
        </w:rPr>
      </w:pPr>
      <w:hyperlink w:anchor="_Toc495402480" w:history="1">
        <w:r w:rsidR="00F93488" w:rsidRPr="00C959AF">
          <w:rPr>
            <w:rStyle w:val="Hyperlink"/>
          </w:rPr>
          <w:t>3.</w:t>
        </w:r>
        <w:r w:rsidR="00F93488">
          <w:rPr>
            <w:rFonts w:asciiTheme="minorHAnsi" w:eastAsiaTheme="minorEastAsia" w:hAnsiTheme="minorHAnsi" w:cstheme="minorBidi"/>
            <w:color w:val="auto"/>
            <w:szCs w:val="22"/>
          </w:rPr>
          <w:tab/>
        </w:r>
        <w:r w:rsidR="00F93488" w:rsidRPr="00C959AF">
          <w:rPr>
            <w:rStyle w:val="Hyperlink"/>
          </w:rPr>
          <w:t>Population trends across the States</w:t>
        </w:r>
        <w:r w:rsidR="00F93488">
          <w:rPr>
            <w:webHidden/>
          </w:rPr>
          <w:tab/>
        </w:r>
        <w:r w:rsidR="00F93488">
          <w:rPr>
            <w:webHidden/>
          </w:rPr>
          <w:fldChar w:fldCharType="begin"/>
        </w:r>
        <w:r w:rsidR="00F93488">
          <w:rPr>
            <w:webHidden/>
          </w:rPr>
          <w:instrText xml:space="preserve"> PAGEREF _Toc495402480 \h </w:instrText>
        </w:r>
        <w:r w:rsidR="00F93488">
          <w:rPr>
            <w:webHidden/>
          </w:rPr>
        </w:r>
        <w:r w:rsidR="00F93488">
          <w:rPr>
            <w:webHidden/>
          </w:rPr>
          <w:fldChar w:fldCharType="separate"/>
        </w:r>
        <w:r w:rsidR="0015687E">
          <w:rPr>
            <w:webHidden/>
          </w:rPr>
          <w:t>6</w:t>
        </w:r>
        <w:r w:rsidR="00F93488">
          <w:rPr>
            <w:webHidden/>
          </w:rPr>
          <w:fldChar w:fldCharType="end"/>
        </w:r>
      </w:hyperlink>
    </w:p>
    <w:p w14:paraId="1F42DA29" w14:textId="77777777" w:rsidR="00F93488" w:rsidRDefault="009E1A5E">
      <w:pPr>
        <w:pStyle w:val="TOC2"/>
        <w:rPr>
          <w:rFonts w:asciiTheme="minorHAnsi" w:eastAsiaTheme="minorEastAsia" w:hAnsiTheme="minorHAnsi" w:cstheme="minorBidi"/>
          <w:color w:val="auto"/>
          <w:szCs w:val="22"/>
        </w:rPr>
      </w:pPr>
      <w:hyperlink w:anchor="_Toc495402481" w:history="1">
        <w:r w:rsidR="00F93488" w:rsidRPr="00C959AF">
          <w:rPr>
            <w:rStyle w:val="Hyperlink"/>
          </w:rPr>
          <w:t>4.</w:t>
        </w:r>
        <w:r w:rsidR="00F93488">
          <w:rPr>
            <w:rFonts w:asciiTheme="minorHAnsi" w:eastAsiaTheme="minorEastAsia" w:hAnsiTheme="minorHAnsi" w:cstheme="minorBidi"/>
            <w:color w:val="auto"/>
            <w:szCs w:val="22"/>
          </w:rPr>
          <w:tab/>
        </w:r>
        <w:r w:rsidR="00F93488" w:rsidRPr="00C959AF">
          <w:rPr>
            <w:rStyle w:val="Hyperlink"/>
          </w:rPr>
          <w:t>Distribution of Australia’s population</w:t>
        </w:r>
        <w:r w:rsidR="00F93488">
          <w:rPr>
            <w:webHidden/>
          </w:rPr>
          <w:tab/>
        </w:r>
        <w:r w:rsidR="00F93488">
          <w:rPr>
            <w:webHidden/>
          </w:rPr>
          <w:fldChar w:fldCharType="begin"/>
        </w:r>
        <w:r w:rsidR="00F93488">
          <w:rPr>
            <w:webHidden/>
          </w:rPr>
          <w:instrText xml:space="preserve"> PAGEREF _Toc495402481 \h </w:instrText>
        </w:r>
        <w:r w:rsidR="00F93488">
          <w:rPr>
            <w:webHidden/>
          </w:rPr>
        </w:r>
        <w:r w:rsidR="00F93488">
          <w:rPr>
            <w:webHidden/>
          </w:rPr>
          <w:fldChar w:fldCharType="separate"/>
        </w:r>
        <w:r w:rsidR="0015687E">
          <w:rPr>
            <w:webHidden/>
          </w:rPr>
          <w:t>9</w:t>
        </w:r>
        <w:r w:rsidR="00F93488">
          <w:rPr>
            <w:webHidden/>
          </w:rPr>
          <w:fldChar w:fldCharType="end"/>
        </w:r>
      </w:hyperlink>
    </w:p>
    <w:p w14:paraId="62B81EAD" w14:textId="77777777" w:rsidR="00F93488" w:rsidRDefault="009E1A5E">
      <w:pPr>
        <w:pStyle w:val="TOC2"/>
        <w:rPr>
          <w:rFonts w:asciiTheme="minorHAnsi" w:eastAsiaTheme="minorEastAsia" w:hAnsiTheme="minorHAnsi" w:cstheme="minorBidi"/>
          <w:color w:val="auto"/>
          <w:szCs w:val="22"/>
        </w:rPr>
      </w:pPr>
      <w:hyperlink w:anchor="_Toc495402482" w:history="1">
        <w:r w:rsidR="00F93488" w:rsidRPr="00C959AF">
          <w:rPr>
            <w:rStyle w:val="Hyperlink"/>
          </w:rPr>
          <w:t>5.</w:t>
        </w:r>
        <w:r w:rsidR="00F93488">
          <w:rPr>
            <w:rFonts w:asciiTheme="minorHAnsi" w:eastAsiaTheme="minorEastAsia" w:hAnsiTheme="minorHAnsi" w:cstheme="minorBidi"/>
            <w:color w:val="auto"/>
            <w:szCs w:val="22"/>
          </w:rPr>
          <w:tab/>
        </w:r>
        <w:r w:rsidR="00F93488" w:rsidRPr="00C959AF">
          <w:rPr>
            <w:rStyle w:val="Hyperlink"/>
          </w:rPr>
          <w:t>Net overseas migration — a closer look</w:t>
        </w:r>
        <w:r w:rsidR="00F93488">
          <w:rPr>
            <w:webHidden/>
          </w:rPr>
          <w:tab/>
        </w:r>
        <w:r w:rsidR="00F93488">
          <w:rPr>
            <w:webHidden/>
          </w:rPr>
          <w:fldChar w:fldCharType="begin"/>
        </w:r>
        <w:r w:rsidR="00F93488">
          <w:rPr>
            <w:webHidden/>
          </w:rPr>
          <w:instrText xml:space="preserve"> PAGEREF _Toc495402482 \h </w:instrText>
        </w:r>
        <w:r w:rsidR="00F93488">
          <w:rPr>
            <w:webHidden/>
          </w:rPr>
        </w:r>
        <w:r w:rsidR="00F93488">
          <w:rPr>
            <w:webHidden/>
          </w:rPr>
          <w:fldChar w:fldCharType="separate"/>
        </w:r>
        <w:r w:rsidR="0015687E">
          <w:rPr>
            <w:webHidden/>
          </w:rPr>
          <w:t>14</w:t>
        </w:r>
        <w:r w:rsidR="00F93488">
          <w:rPr>
            <w:webHidden/>
          </w:rPr>
          <w:fldChar w:fldCharType="end"/>
        </w:r>
      </w:hyperlink>
    </w:p>
    <w:p w14:paraId="4C7DAD23" w14:textId="77777777" w:rsidR="00F93488" w:rsidRDefault="009E1A5E">
      <w:pPr>
        <w:pStyle w:val="TOC2"/>
        <w:rPr>
          <w:rFonts w:asciiTheme="minorHAnsi" w:eastAsiaTheme="minorEastAsia" w:hAnsiTheme="minorHAnsi" w:cstheme="minorBidi"/>
          <w:color w:val="auto"/>
          <w:szCs w:val="22"/>
        </w:rPr>
      </w:pPr>
      <w:hyperlink w:anchor="_Toc495402483" w:history="1">
        <w:r w:rsidR="00F93488" w:rsidRPr="00C959AF">
          <w:rPr>
            <w:rStyle w:val="Hyperlink"/>
          </w:rPr>
          <w:t>6.</w:t>
        </w:r>
        <w:r w:rsidR="00F93488">
          <w:rPr>
            <w:rFonts w:asciiTheme="minorHAnsi" w:eastAsiaTheme="minorEastAsia" w:hAnsiTheme="minorHAnsi" w:cstheme="minorBidi"/>
            <w:color w:val="auto"/>
            <w:szCs w:val="22"/>
          </w:rPr>
          <w:tab/>
        </w:r>
        <w:r w:rsidR="00F93488" w:rsidRPr="00C959AF">
          <w:rPr>
            <w:rStyle w:val="Hyperlink"/>
          </w:rPr>
          <w:t>Relationship between migration and economic growth</w:t>
        </w:r>
        <w:r w:rsidR="00F93488">
          <w:rPr>
            <w:webHidden/>
          </w:rPr>
          <w:tab/>
        </w:r>
        <w:r w:rsidR="00F93488">
          <w:rPr>
            <w:webHidden/>
          </w:rPr>
          <w:fldChar w:fldCharType="begin"/>
        </w:r>
        <w:r w:rsidR="00F93488">
          <w:rPr>
            <w:webHidden/>
          </w:rPr>
          <w:instrText xml:space="preserve"> PAGEREF _Toc495402483 \h </w:instrText>
        </w:r>
        <w:r w:rsidR="00F93488">
          <w:rPr>
            <w:webHidden/>
          </w:rPr>
        </w:r>
        <w:r w:rsidR="00F93488">
          <w:rPr>
            <w:webHidden/>
          </w:rPr>
          <w:fldChar w:fldCharType="separate"/>
        </w:r>
        <w:r w:rsidR="0015687E">
          <w:rPr>
            <w:webHidden/>
          </w:rPr>
          <w:t>22</w:t>
        </w:r>
        <w:r w:rsidR="00F93488">
          <w:rPr>
            <w:webHidden/>
          </w:rPr>
          <w:fldChar w:fldCharType="end"/>
        </w:r>
      </w:hyperlink>
    </w:p>
    <w:p w14:paraId="0C67ECD6" w14:textId="77777777" w:rsidR="00F93488" w:rsidRDefault="009E1A5E">
      <w:pPr>
        <w:pStyle w:val="TOC2"/>
        <w:rPr>
          <w:rFonts w:asciiTheme="minorHAnsi" w:eastAsiaTheme="minorEastAsia" w:hAnsiTheme="minorHAnsi" w:cstheme="minorBidi"/>
          <w:color w:val="auto"/>
          <w:szCs w:val="22"/>
        </w:rPr>
      </w:pPr>
      <w:hyperlink w:anchor="_Toc495402484" w:history="1">
        <w:r w:rsidR="00F93488" w:rsidRPr="00C959AF">
          <w:rPr>
            <w:rStyle w:val="Hyperlink"/>
          </w:rPr>
          <w:t>7.</w:t>
        </w:r>
        <w:r w:rsidR="00F93488">
          <w:rPr>
            <w:rFonts w:asciiTheme="minorHAnsi" w:eastAsiaTheme="minorEastAsia" w:hAnsiTheme="minorHAnsi" w:cstheme="minorBidi"/>
            <w:color w:val="auto"/>
            <w:szCs w:val="22"/>
          </w:rPr>
          <w:tab/>
        </w:r>
        <w:r w:rsidR="00F93488" w:rsidRPr="00C959AF">
          <w:rPr>
            <w:rStyle w:val="Hyperlink"/>
          </w:rPr>
          <w:t>Fiscal impact of migrants</w:t>
        </w:r>
        <w:r w:rsidR="00F93488">
          <w:rPr>
            <w:webHidden/>
          </w:rPr>
          <w:tab/>
        </w:r>
        <w:r w:rsidR="00F93488">
          <w:rPr>
            <w:webHidden/>
          </w:rPr>
          <w:fldChar w:fldCharType="begin"/>
        </w:r>
        <w:r w:rsidR="00F93488">
          <w:rPr>
            <w:webHidden/>
          </w:rPr>
          <w:instrText xml:space="preserve"> PAGEREF _Toc495402484 \h </w:instrText>
        </w:r>
        <w:r w:rsidR="00F93488">
          <w:rPr>
            <w:webHidden/>
          </w:rPr>
        </w:r>
        <w:r w:rsidR="00F93488">
          <w:rPr>
            <w:webHidden/>
          </w:rPr>
          <w:fldChar w:fldCharType="separate"/>
        </w:r>
        <w:r w:rsidR="0015687E">
          <w:rPr>
            <w:webHidden/>
          </w:rPr>
          <w:t>32</w:t>
        </w:r>
        <w:r w:rsidR="00F93488">
          <w:rPr>
            <w:webHidden/>
          </w:rPr>
          <w:fldChar w:fldCharType="end"/>
        </w:r>
      </w:hyperlink>
    </w:p>
    <w:p w14:paraId="09F58E69" w14:textId="77777777" w:rsidR="00F93488" w:rsidRDefault="009E1A5E">
      <w:pPr>
        <w:pStyle w:val="TOC2"/>
        <w:rPr>
          <w:rFonts w:asciiTheme="minorHAnsi" w:eastAsiaTheme="minorEastAsia" w:hAnsiTheme="minorHAnsi" w:cstheme="minorBidi"/>
          <w:color w:val="auto"/>
          <w:szCs w:val="22"/>
        </w:rPr>
      </w:pPr>
      <w:hyperlink w:anchor="_Toc495402485" w:history="1">
        <w:r w:rsidR="00F93488" w:rsidRPr="00C959AF">
          <w:rPr>
            <w:rStyle w:val="Hyperlink"/>
          </w:rPr>
          <w:t>8.</w:t>
        </w:r>
        <w:r w:rsidR="00F93488">
          <w:rPr>
            <w:rFonts w:asciiTheme="minorHAnsi" w:eastAsiaTheme="minorEastAsia" w:hAnsiTheme="minorHAnsi" w:cstheme="minorBidi"/>
            <w:color w:val="auto"/>
            <w:szCs w:val="22"/>
          </w:rPr>
          <w:tab/>
        </w:r>
        <w:r w:rsidR="00F93488" w:rsidRPr="00C959AF">
          <w:rPr>
            <w:rStyle w:val="Hyperlink"/>
          </w:rPr>
          <w:t>Population growth and associated pressures</w:t>
        </w:r>
        <w:r w:rsidR="00F93488">
          <w:rPr>
            <w:webHidden/>
          </w:rPr>
          <w:tab/>
        </w:r>
        <w:r w:rsidR="00F93488">
          <w:rPr>
            <w:webHidden/>
          </w:rPr>
          <w:fldChar w:fldCharType="begin"/>
        </w:r>
        <w:r w:rsidR="00F93488">
          <w:rPr>
            <w:webHidden/>
          </w:rPr>
          <w:instrText xml:space="preserve"> PAGEREF _Toc495402485 \h </w:instrText>
        </w:r>
        <w:r w:rsidR="00F93488">
          <w:rPr>
            <w:webHidden/>
          </w:rPr>
        </w:r>
        <w:r w:rsidR="00F93488">
          <w:rPr>
            <w:webHidden/>
          </w:rPr>
          <w:fldChar w:fldCharType="separate"/>
        </w:r>
        <w:r w:rsidR="0015687E">
          <w:rPr>
            <w:webHidden/>
          </w:rPr>
          <w:t>35</w:t>
        </w:r>
        <w:r w:rsidR="00F93488">
          <w:rPr>
            <w:webHidden/>
          </w:rPr>
          <w:fldChar w:fldCharType="end"/>
        </w:r>
      </w:hyperlink>
    </w:p>
    <w:p w14:paraId="2C64FC41" w14:textId="77777777" w:rsidR="00F93488" w:rsidRDefault="009E1A5E">
      <w:pPr>
        <w:pStyle w:val="TOC1"/>
        <w:rPr>
          <w:rFonts w:asciiTheme="minorHAnsi" w:eastAsiaTheme="minorEastAsia" w:hAnsiTheme="minorHAnsi" w:cstheme="minorBidi"/>
          <w:b w:val="0"/>
          <w:caps w:val="0"/>
          <w:color w:val="auto"/>
        </w:rPr>
      </w:pPr>
      <w:hyperlink w:anchor="_Toc495402486" w:history="1">
        <w:r w:rsidR="00F93488" w:rsidRPr="00C959AF">
          <w:rPr>
            <w:rStyle w:val="Hyperlink"/>
          </w:rPr>
          <w:t>Conclusion</w:t>
        </w:r>
        <w:r w:rsidR="00F93488">
          <w:rPr>
            <w:webHidden/>
          </w:rPr>
          <w:tab/>
        </w:r>
        <w:r w:rsidR="00F93488">
          <w:rPr>
            <w:webHidden/>
          </w:rPr>
          <w:fldChar w:fldCharType="begin"/>
        </w:r>
        <w:r w:rsidR="00F93488">
          <w:rPr>
            <w:webHidden/>
          </w:rPr>
          <w:instrText xml:space="preserve"> PAGEREF _Toc495402486 \h </w:instrText>
        </w:r>
        <w:r w:rsidR="00F93488">
          <w:rPr>
            <w:webHidden/>
          </w:rPr>
        </w:r>
        <w:r w:rsidR="00F93488">
          <w:rPr>
            <w:webHidden/>
          </w:rPr>
          <w:fldChar w:fldCharType="separate"/>
        </w:r>
        <w:r w:rsidR="0015687E">
          <w:rPr>
            <w:webHidden/>
          </w:rPr>
          <w:t>49</w:t>
        </w:r>
        <w:r w:rsidR="00F93488">
          <w:rPr>
            <w:webHidden/>
          </w:rPr>
          <w:fldChar w:fldCharType="end"/>
        </w:r>
      </w:hyperlink>
    </w:p>
    <w:p w14:paraId="392E269A" w14:textId="77777777" w:rsidR="00F93488" w:rsidRDefault="009E1A5E">
      <w:pPr>
        <w:pStyle w:val="TOC1"/>
        <w:rPr>
          <w:rFonts w:asciiTheme="minorHAnsi" w:eastAsiaTheme="minorEastAsia" w:hAnsiTheme="minorHAnsi" w:cstheme="minorBidi"/>
          <w:b w:val="0"/>
          <w:caps w:val="0"/>
          <w:color w:val="auto"/>
        </w:rPr>
      </w:pPr>
      <w:hyperlink w:anchor="_Toc495402487" w:history="1">
        <w:r w:rsidR="00F93488" w:rsidRPr="00C959AF">
          <w:rPr>
            <w:rStyle w:val="Hyperlink"/>
          </w:rPr>
          <w:t>Treasury Research Institute — possible questions for further research</w:t>
        </w:r>
        <w:r w:rsidR="00F93488">
          <w:rPr>
            <w:webHidden/>
          </w:rPr>
          <w:tab/>
        </w:r>
        <w:r w:rsidR="00F93488">
          <w:rPr>
            <w:webHidden/>
          </w:rPr>
          <w:fldChar w:fldCharType="begin"/>
        </w:r>
        <w:r w:rsidR="00F93488">
          <w:rPr>
            <w:webHidden/>
          </w:rPr>
          <w:instrText xml:space="preserve"> PAGEREF _Toc495402487 \h </w:instrText>
        </w:r>
        <w:r w:rsidR="00F93488">
          <w:rPr>
            <w:webHidden/>
          </w:rPr>
        </w:r>
        <w:r w:rsidR="00F93488">
          <w:rPr>
            <w:webHidden/>
          </w:rPr>
          <w:fldChar w:fldCharType="separate"/>
        </w:r>
        <w:r w:rsidR="0015687E">
          <w:rPr>
            <w:webHidden/>
          </w:rPr>
          <w:t>50</w:t>
        </w:r>
        <w:r w:rsidR="00F93488">
          <w:rPr>
            <w:webHidden/>
          </w:rPr>
          <w:fldChar w:fldCharType="end"/>
        </w:r>
      </w:hyperlink>
    </w:p>
    <w:p w14:paraId="3A8BA562" w14:textId="77777777" w:rsidR="00F93488" w:rsidRDefault="009E1A5E">
      <w:pPr>
        <w:pStyle w:val="TOC1"/>
        <w:rPr>
          <w:rFonts w:asciiTheme="minorHAnsi" w:eastAsiaTheme="minorEastAsia" w:hAnsiTheme="minorHAnsi" w:cstheme="minorBidi"/>
          <w:b w:val="0"/>
          <w:caps w:val="0"/>
          <w:color w:val="auto"/>
        </w:rPr>
      </w:pPr>
      <w:hyperlink w:anchor="_Toc495402488" w:history="1">
        <w:r w:rsidR="00F93488" w:rsidRPr="00C959AF">
          <w:rPr>
            <w:rStyle w:val="Hyperlink"/>
          </w:rPr>
          <w:t>References</w:t>
        </w:r>
        <w:r w:rsidR="00F93488">
          <w:rPr>
            <w:webHidden/>
          </w:rPr>
          <w:tab/>
        </w:r>
        <w:r w:rsidR="00F93488">
          <w:rPr>
            <w:webHidden/>
          </w:rPr>
          <w:fldChar w:fldCharType="begin"/>
        </w:r>
        <w:r w:rsidR="00F93488">
          <w:rPr>
            <w:webHidden/>
          </w:rPr>
          <w:instrText xml:space="preserve"> PAGEREF _Toc495402488 \h </w:instrText>
        </w:r>
        <w:r w:rsidR="00F93488">
          <w:rPr>
            <w:webHidden/>
          </w:rPr>
        </w:r>
        <w:r w:rsidR="00F93488">
          <w:rPr>
            <w:webHidden/>
          </w:rPr>
          <w:fldChar w:fldCharType="separate"/>
        </w:r>
        <w:r w:rsidR="0015687E">
          <w:rPr>
            <w:webHidden/>
          </w:rPr>
          <w:t>51</w:t>
        </w:r>
        <w:r w:rsidR="00F93488">
          <w:rPr>
            <w:webHidden/>
          </w:rPr>
          <w:fldChar w:fldCharType="end"/>
        </w:r>
      </w:hyperlink>
    </w:p>
    <w:p w14:paraId="1A54665D" w14:textId="77777777" w:rsidR="00C17FA3" w:rsidRPr="00C17FA3" w:rsidRDefault="001354E7" w:rsidP="00C17FA3">
      <w:r>
        <w:rPr>
          <w:noProof/>
        </w:rPr>
        <w:fldChar w:fldCharType="end"/>
      </w:r>
    </w:p>
    <w:p w14:paraId="32E7B562" w14:textId="77777777" w:rsidR="00C17FA3" w:rsidRPr="00C17FA3" w:rsidRDefault="00C17FA3" w:rsidP="00C17FA3">
      <w:pPr>
        <w:sectPr w:rsidR="00C17FA3" w:rsidRPr="00C17FA3" w:rsidSect="006401CA">
          <w:headerReference w:type="even" r:id="rId39"/>
          <w:headerReference w:type="default" r:id="rId40"/>
          <w:footerReference w:type="default" r:id="rId41"/>
          <w:headerReference w:type="first" r:id="rId42"/>
          <w:footerReference w:type="first" r:id="rId43"/>
          <w:type w:val="oddPage"/>
          <w:pgSz w:w="11906" w:h="16838" w:code="277"/>
          <w:pgMar w:top="1418" w:right="1418" w:bottom="1418" w:left="1418" w:header="709" w:footer="709" w:gutter="0"/>
          <w:pgNumType w:fmt="lowerRoman" w:start="3"/>
          <w:cols w:space="708"/>
          <w:titlePg/>
          <w:docGrid w:linePitch="360"/>
        </w:sectPr>
      </w:pPr>
    </w:p>
    <w:p w14:paraId="7E2641E5" w14:textId="77777777" w:rsidR="006C5B73" w:rsidRDefault="008F6FD3" w:rsidP="004E1B97">
      <w:pPr>
        <w:pStyle w:val="Heading1"/>
      </w:pPr>
      <w:bookmarkStart w:id="6" w:name="_Toc495402476"/>
      <w:r>
        <w:lastRenderedPageBreak/>
        <w:t xml:space="preserve">Executive </w:t>
      </w:r>
      <w:r w:rsidR="006C5B73" w:rsidRPr="00A524B9">
        <w:t>Summary</w:t>
      </w:r>
      <w:bookmarkEnd w:id="6"/>
    </w:p>
    <w:p w14:paraId="1CBAF178" w14:textId="77777777" w:rsidR="00CE789F" w:rsidRDefault="00CE789F" w:rsidP="00BA5783">
      <w:r>
        <w:t>Population growth and population distribution affect most areas of public policy. This paper examines the benefits that population growth and migration bring to Australia, while remaining alive to the challenges brought by a larger population.</w:t>
      </w:r>
    </w:p>
    <w:p w14:paraId="4ACE4510" w14:textId="77777777" w:rsidR="00BA5783" w:rsidRDefault="00BA5783" w:rsidP="00BA5783">
      <w:r>
        <w:t xml:space="preserve">Australia has </w:t>
      </w:r>
      <w:r w:rsidR="00E544AF">
        <w:t xml:space="preserve">long </w:t>
      </w:r>
      <w:r w:rsidR="0085322E">
        <w:t>stood out from other nations as a country</w:t>
      </w:r>
      <w:r>
        <w:t xml:space="preserve"> shaped by strong population growth</w:t>
      </w:r>
      <w:r w:rsidR="00E544AF">
        <w:t xml:space="preserve"> and migration</w:t>
      </w:r>
      <w:r w:rsidR="005A0FBF">
        <w:t>.</w:t>
      </w:r>
      <w:r w:rsidR="00FD7DC4">
        <w:t xml:space="preserve"> Population growth</w:t>
      </w:r>
      <w:r w:rsidR="005A0FBF">
        <w:t xml:space="preserve"> has </w:t>
      </w:r>
      <w:r w:rsidR="00E544AF">
        <w:t xml:space="preserve">increased in recent </w:t>
      </w:r>
      <w:r w:rsidR="00274A2B">
        <w:t>times</w:t>
      </w:r>
      <w:r w:rsidR="00FD7DC4">
        <w:t xml:space="preserve"> but still remains </w:t>
      </w:r>
      <w:r w:rsidR="005A0FBF">
        <w:t>lower than</w:t>
      </w:r>
      <w:r w:rsidR="00E544AF">
        <w:t xml:space="preserve"> in the 1960s and </w:t>
      </w:r>
      <w:r w:rsidR="00274A2B">
        <w:t>19</w:t>
      </w:r>
      <w:r w:rsidR="00E544AF">
        <w:t xml:space="preserve">70s. </w:t>
      </w:r>
      <w:r w:rsidR="00FD7DC4">
        <w:t xml:space="preserve">While births have been the main driver of population growth over the last century, there have been times when </w:t>
      </w:r>
      <w:r w:rsidR="00EB4FCB">
        <w:t xml:space="preserve">net </w:t>
      </w:r>
      <w:r w:rsidR="00FD7DC4">
        <w:t>overseas migration has contributed a larger share, including over the most</w:t>
      </w:r>
      <w:r w:rsidR="00E544AF">
        <w:t xml:space="preserve"> recent decade</w:t>
      </w:r>
      <w:r w:rsidR="00512F30">
        <w:t xml:space="preserve"> or so</w:t>
      </w:r>
      <w:r w:rsidR="000A07A2">
        <w:t>.</w:t>
      </w:r>
    </w:p>
    <w:p w14:paraId="663C40B1" w14:textId="77777777" w:rsidR="002173FB" w:rsidRDefault="002173FB" w:rsidP="00BA5783">
      <w:r>
        <w:t>Australia’s population growth has varied widely across the States and sub</w:t>
      </w:r>
      <w:r>
        <w:noBreakHyphen/>
        <w:t xml:space="preserve">state regions. In general, however, Australia’s cities have grown strongly while population growth in regional areas has been more mixed. </w:t>
      </w:r>
      <w:r w:rsidR="000E11E3">
        <w:t>Over the last decade, m</w:t>
      </w:r>
      <w:r>
        <w:t xml:space="preserve">igration has contributed </w:t>
      </w:r>
      <w:r w:rsidR="000E11E3">
        <w:t xml:space="preserve">particularly </w:t>
      </w:r>
      <w:r>
        <w:t xml:space="preserve">strongly to population growth </w:t>
      </w:r>
      <w:r w:rsidR="00486A12">
        <w:t xml:space="preserve">in </w:t>
      </w:r>
      <w:r w:rsidR="00C14928">
        <w:t>Sydney</w:t>
      </w:r>
      <w:r w:rsidR="000E11E3">
        <w:t>, Perth and Melbourne</w:t>
      </w:r>
      <w:r w:rsidR="000A07A2">
        <w:t>.</w:t>
      </w:r>
    </w:p>
    <w:p w14:paraId="308AA3E3" w14:textId="77777777" w:rsidR="002173FB" w:rsidRDefault="00FD7DC4" w:rsidP="00BA5783">
      <w:r>
        <w:t xml:space="preserve">While migrants from the United Kingdom featured strongly in </w:t>
      </w:r>
      <w:r w:rsidR="00E51EA5">
        <w:t>Australia’s</w:t>
      </w:r>
      <w:r>
        <w:t xml:space="preserve"> early migration efforts and remain the largest group of overseas</w:t>
      </w:r>
      <w:r>
        <w:noBreakHyphen/>
        <w:t>born residents, migrants from China, India and other Asian countries now also feature strongly.</w:t>
      </w:r>
      <w:r w:rsidR="00E424CC">
        <w:t xml:space="preserve"> According to the 2016 Census, for the first time in </w:t>
      </w:r>
      <w:r w:rsidR="00E51EA5">
        <w:t>Australia’s</w:t>
      </w:r>
      <w:r w:rsidR="00E424CC">
        <w:t xml:space="preserve"> history, </w:t>
      </w:r>
      <w:r w:rsidR="00791A5D">
        <w:t xml:space="preserve">a greater proportion </w:t>
      </w:r>
      <w:r w:rsidR="00E424CC">
        <w:t>of people born overseas are now from Asia rather than from Europe. However, more of Australia’s residents still have European ancestry.</w:t>
      </w:r>
    </w:p>
    <w:p w14:paraId="51BE1048" w14:textId="77777777" w:rsidR="002173FB" w:rsidRDefault="00C14928" w:rsidP="00BA5783">
      <w:r>
        <w:t>Australia’s m</w:t>
      </w:r>
      <w:r w:rsidR="002173FB">
        <w:t xml:space="preserve">igrants increasingly first enter </w:t>
      </w:r>
      <w:r>
        <w:t>the country</w:t>
      </w:r>
      <w:r w:rsidR="002173FB">
        <w:t xml:space="preserve"> on temporary visas before transitioning to permanent residency. Permanent migrants are also increasingly coming through skilled pathways, including employer sponsored pathways.</w:t>
      </w:r>
    </w:p>
    <w:p w14:paraId="03838BAD" w14:textId="77777777" w:rsidR="00FD7DC4" w:rsidRDefault="00FD7DC4" w:rsidP="000E77F4">
      <w:r>
        <w:t>Migrants deliver an economic dividend for Australia</w:t>
      </w:r>
      <w:r w:rsidR="0085322E">
        <w:t xml:space="preserve"> due to current policy settings which favour migrants of working age </w:t>
      </w:r>
      <w:r w:rsidR="004B3E00">
        <w:t>who have</w:t>
      </w:r>
      <w:r w:rsidR="0085322E">
        <w:t xml:space="preserve"> skills to contribute to the economy</w:t>
      </w:r>
      <w:r>
        <w:t>.</w:t>
      </w:r>
      <w:r w:rsidRPr="00FD7DC4">
        <w:t xml:space="preserve"> </w:t>
      </w:r>
      <w:r>
        <w:t>This leads to higher rates of workforce participation</w:t>
      </w:r>
      <w:r w:rsidR="0085322E">
        <w:t xml:space="preserve"> and likely productivity benefits. This,</w:t>
      </w:r>
      <w:r>
        <w:t xml:space="preserve"> in turn</w:t>
      </w:r>
      <w:r w:rsidR="0085322E">
        <w:t>,</w:t>
      </w:r>
      <w:r>
        <w:t xml:space="preserve"> increas</w:t>
      </w:r>
      <w:r w:rsidR="0085322E">
        <w:t>es</w:t>
      </w:r>
      <w:r>
        <w:t xml:space="preserve"> Australia’s GDP and GDP per person</w:t>
      </w:r>
      <w:r w:rsidR="0085322E">
        <w:t>, with positive flow</w:t>
      </w:r>
      <w:r w:rsidR="0085322E">
        <w:noBreakHyphen/>
        <w:t>on effects for</w:t>
      </w:r>
      <w:r>
        <w:t xml:space="preserve"> living standards.</w:t>
      </w:r>
    </w:p>
    <w:p w14:paraId="68922670" w14:textId="77777777" w:rsidR="00FD7DC4" w:rsidRDefault="00FD7DC4" w:rsidP="00FD7DC4">
      <w:r>
        <w:t>As well as deliverin</w:t>
      </w:r>
      <w:r w:rsidR="0085322E">
        <w:t xml:space="preserve">g an economic growth dividend, </w:t>
      </w:r>
      <w:r>
        <w:t>migration improves the Commonwealth’s fiscal position</w:t>
      </w:r>
      <w:r w:rsidR="004B3E00">
        <w:t>,</w:t>
      </w:r>
      <w:r w:rsidR="0085322E">
        <w:t xml:space="preserve"> since m</w:t>
      </w:r>
      <w:r>
        <w:t xml:space="preserve">igrants are likely to contribute </w:t>
      </w:r>
      <w:r w:rsidR="004B3E00">
        <w:t xml:space="preserve">more </w:t>
      </w:r>
      <w:r>
        <w:t xml:space="preserve">to tax revenue </w:t>
      </w:r>
      <w:r w:rsidR="004B3E00">
        <w:t>than they</w:t>
      </w:r>
      <w:r>
        <w:t xml:space="preserve"> claim </w:t>
      </w:r>
      <w:r w:rsidR="004B3E00">
        <w:t xml:space="preserve">in </w:t>
      </w:r>
      <w:r>
        <w:t xml:space="preserve">social services or </w:t>
      </w:r>
      <w:r w:rsidR="00EB4FCB">
        <w:t xml:space="preserve">other </w:t>
      </w:r>
      <w:r w:rsidR="000A07A2">
        <w:t>government support.</w:t>
      </w:r>
    </w:p>
    <w:p w14:paraId="49D9988A" w14:textId="77777777" w:rsidR="006C5B73" w:rsidRPr="004E1B97" w:rsidRDefault="0085322E" w:rsidP="004E1B97">
      <w:r>
        <w:t>The positive effects of migration on economic growth and Australia’s fiscal position are well documented</w:t>
      </w:r>
      <w:r w:rsidR="00EA6D81">
        <w:t>. However</w:t>
      </w:r>
      <w:r w:rsidR="004B3E00">
        <w:t>,</w:t>
      </w:r>
      <w:r>
        <w:t xml:space="preserve"> the effects of migration </w:t>
      </w:r>
      <w:r w:rsidR="00EA6D81">
        <w:t xml:space="preserve">and population growth more generally </w:t>
      </w:r>
      <w:r>
        <w:t xml:space="preserve">on the geographic distribution of Australia’s population are less </w:t>
      </w:r>
      <w:r w:rsidR="00EA6D81">
        <w:t>well documented</w:t>
      </w:r>
      <w:r>
        <w:t>. High rates of population growth can heighten existing pressures on infrastructure, housing, and the environment. Without continuing action to find innovative solutions, high rates of growth may also intensify issues such as congestion and excessive waste production.</w:t>
      </w:r>
      <w:r w:rsidR="00CE789F">
        <w:t xml:space="preserve"> </w:t>
      </w:r>
      <w:r>
        <w:t>To fully reap the benefits of immigration and population growth, Australia must continue to ex</w:t>
      </w:r>
      <w:r w:rsidR="004E1B97">
        <w:t>plore and address these issues.</w:t>
      </w:r>
    </w:p>
    <w:p w14:paraId="3BBDB7A8" w14:textId="77777777" w:rsidR="0005138B" w:rsidRDefault="0005138B" w:rsidP="005F3E79">
      <w:pPr>
        <w:pStyle w:val="SingleParagraph"/>
        <w:sectPr w:rsidR="0005138B" w:rsidSect="005D0DBA">
          <w:footerReference w:type="default" r:id="rId44"/>
          <w:footerReference w:type="first" r:id="rId45"/>
          <w:type w:val="oddPage"/>
          <w:pgSz w:w="11906" w:h="16838" w:code="277"/>
          <w:pgMar w:top="1418" w:right="1418" w:bottom="1418" w:left="1418" w:header="709" w:footer="709" w:gutter="0"/>
          <w:pgNumType w:start="1"/>
          <w:cols w:space="708"/>
          <w:titlePg/>
          <w:docGrid w:linePitch="360"/>
        </w:sectPr>
      </w:pPr>
    </w:p>
    <w:p w14:paraId="783B737B" w14:textId="77777777" w:rsidR="008F6FD3" w:rsidRDefault="008F6FD3" w:rsidP="004E1B97">
      <w:pPr>
        <w:pStyle w:val="Heading1"/>
      </w:pPr>
      <w:bookmarkStart w:id="7" w:name="_Toc495402477"/>
      <w:r>
        <w:lastRenderedPageBreak/>
        <w:t>Population and Immigrat</w:t>
      </w:r>
      <w:r w:rsidRPr="000102F5">
        <w:t>i</w:t>
      </w:r>
      <w:r>
        <w:t xml:space="preserve">on: Trends and </w:t>
      </w:r>
      <w:r w:rsidR="004B5829">
        <w:t>I</w:t>
      </w:r>
      <w:r>
        <w:t>mplications</w:t>
      </w:r>
      <w:bookmarkEnd w:id="7"/>
    </w:p>
    <w:p w14:paraId="1BCA3284" w14:textId="77777777" w:rsidR="008F6FD3" w:rsidRPr="002427F4" w:rsidRDefault="008A5743" w:rsidP="004E1B97">
      <w:pPr>
        <w:pStyle w:val="Heading2Numbered"/>
      </w:pPr>
      <w:bookmarkStart w:id="8" w:name="_Toc495402478"/>
      <w:r w:rsidRPr="002427F4">
        <w:t>Australia</w:t>
      </w:r>
      <w:r w:rsidR="00021968" w:rsidRPr="002427F4">
        <w:t>’</w:t>
      </w:r>
      <w:r w:rsidRPr="002427F4">
        <w:t xml:space="preserve">s population: </w:t>
      </w:r>
      <w:r w:rsidR="002B7A38" w:rsidRPr="002427F4">
        <w:t xml:space="preserve">growth </w:t>
      </w:r>
      <w:r w:rsidRPr="002427F4">
        <w:t>over the last century</w:t>
      </w:r>
      <w:bookmarkEnd w:id="8"/>
    </w:p>
    <w:p w14:paraId="3700BCF5" w14:textId="77777777" w:rsidR="008A5743" w:rsidRDefault="00CC4EC3">
      <w:r w:rsidRPr="00CC4EC3">
        <w:t>The story of Australia’s population over the last century is one shaped by baby booms and successive waves of migration.</w:t>
      </w:r>
      <w:r>
        <w:t xml:space="preserve"> </w:t>
      </w:r>
      <w:r w:rsidR="008A5743">
        <w:t>Australia</w:t>
      </w:r>
      <w:r w:rsidR="00021968">
        <w:t>’</w:t>
      </w:r>
      <w:r w:rsidR="008A5743">
        <w:t>s population</w:t>
      </w:r>
      <w:r>
        <w:t xml:space="preserve"> is now </w:t>
      </w:r>
      <w:r w:rsidR="0079183F">
        <w:t>almost 25</w:t>
      </w:r>
      <w:r>
        <w:t xml:space="preserve"> million, having</w:t>
      </w:r>
      <w:r w:rsidR="008A5743">
        <w:t xml:space="preserve"> increased by </w:t>
      </w:r>
      <w:r w:rsidR="00233645">
        <w:t xml:space="preserve">almost </w:t>
      </w:r>
      <w:r w:rsidR="004733AD">
        <w:t>five</w:t>
      </w:r>
      <w:r w:rsidR="009B3592">
        <w:t> </w:t>
      </w:r>
      <w:r w:rsidR="008A5743">
        <w:t>times over the last century</w:t>
      </w:r>
      <w:r w:rsidR="00E50C62">
        <w:t xml:space="preserve">. </w:t>
      </w:r>
      <w:r w:rsidR="008A5743">
        <w:t xml:space="preserve">Over nearly </w:t>
      </w:r>
      <w:r w:rsidR="002C4E55">
        <w:t>five</w:t>
      </w:r>
      <w:r w:rsidR="008A5743">
        <w:t xml:space="preserve"> decades, Australia</w:t>
      </w:r>
      <w:r w:rsidR="00021968">
        <w:t>’</w:t>
      </w:r>
      <w:r w:rsidR="008A5743">
        <w:t xml:space="preserve">s </w:t>
      </w:r>
      <w:r w:rsidR="002B7A38">
        <w:t xml:space="preserve">population </w:t>
      </w:r>
      <w:r w:rsidR="008A5743">
        <w:t>growth rate has changed only slightly</w:t>
      </w:r>
      <w:r w:rsidR="004B5829">
        <w:t>,</w:t>
      </w:r>
      <w:r w:rsidR="00E50C62">
        <w:t xml:space="preserve"> </w:t>
      </w:r>
      <w:r w:rsidR="008A5743">
        <w:t xml:space="preserve">although it has been high compared to </w:t>
      </w:r>
      <w:r w:rsidR="009456FF">
        <w:t xml:space="preserve">population growth rates in </w:t>
      </w:r>
      <w:r w:rsidR="008A5743">
        <w:t>most OECD countries (Figure 1). Canada and New</w:t>
      </w:r>
      <w:r w:rsidR="000C7EEA">
        <w:t> </w:t>
      </w:r>
      <w:r w:rsidR="008A5743">
        <w:t>Zealand</w:t>
      </w:r>
      <w:r w:rsidR="00F92DEF">
        <w:t xml:space="preserve"> – countries often considered similar to Australia – </w:t>
      </w:r>
      <w:r w:rsidR="008A5743">
        <w:t xml:space="preserve">have also experienced high </w:t>
      </w:r>
      <w:r w:rsidR="009D3690">
        <w:t xml:space="preserve">population </w:t>
      </w:r>
      <w:r w:rsidR="008A5743">
        <w:t>growth rates, although not as high as Australia</w:t>
      </w:r>
      <w:r w:rsidR="00F92DEF">
        <w:t>’s</w:t>
      </w:r>
      <w:r w:rsidR="000A07A2">
        <w:t>.</w:t>
      </w:r>
    </w:p>
    <w:p w14:paraId="325DD607" w14:textId="77777777" w:rsidR="0005138B" w:rsidRDefault="00177BEA" w:rsidP="00631304">
      <w:r>
        <w:t xml:space="preserve">As at 2016, </w:t>
      </w:r>
      <w:r w:rsidR="008A5743">
        <w:t xml:space="preserve">Australia </w:t>
      </w:r>
      <w:r>
        <w:t>had</w:t>
      </w:r>
      <w:r w:rsidR="008A5743">
        <w:t xml:space="preserve"> the </w:t>
      </w:r>
      <w:r w:rsidR="001202E8">
        <w:t xml:space="preserve">sixth </w:t>
      </w:r>
      <w:r w:rsidR="008A5743">
        <w:t xml:space="preserve">highest </w:t>
      </w:r>
      <w:r w:rsidR="002B7A38">
        <w:t xml:space="preserve">population </w:t>
      </w:r>
      <w:r w:rsidR="008A5743">
        <w:t xml:space="preserve">growth rate in the OECD, </w:t>
      </w:r>
      <w:r w:rsidR="00B6715A">
        <w:t xml:space="preserve">the same </w:t>
      </w:r>
      <w:r w:rsidR="00AD0484">
        <w:t xml:space="preserve">ranking </w:t>
      </w:r>
      <w:r w:rsidR="00B6715A">
        <w:t xml:space="preserve">as in the </w:t>
      </w:r>
      <w:r w:rsidR="008A5743">
        <w:t xml:space="preserve">1960s. </w:t>
      </w:r>
      <w:r w:rsidR="00573B62">
        <w:t>Population</w:t>
      </w:r>
      <w:r w:rsidR="00B6715A">
        <w:t xml:space="preserve"> growth </w:t>
      </w:r>
      <w:r w:rsidR="00573B62">
        <w:t>rates have</w:t>
      </w:r>
      <w:r w:rsidR="00B6715A">
        <w:t xml:space="preserve"> slowed across many OECD countries</w:t>
      </w:r>
      <w:r w:rsidR="00573B62">
        <w:t>. However</w:t>
      </w:r>
      <w:r w:rsidR="00B6715A">
        <w:t>,</w:t>
      </w:r>
      <w:r w:rsidR="008A5743">
        <w:t xml:space="preserve"> Australia</w:t>
      </w:r>
      <w:r w:rsidR="00B858DB">
        <w:t xml:space="preserve">’s </w:t>
      </w:r>
      <w:r w:rsidR="008A5743">
        <w:t xml:space="preserve">population growth </w:t>
      </w:r>
      <w:r w:rsidR="00573B62">
        <w:t xml:space="preserve">rate </w:t>
      </w:r>
      <w:r>
        <w:t>was</w:t>
      </w:r>
      <w:r w:rsidR="00B6715A">
        <w:t xml:space="preserve"> higher</w:t>
      </w:r>
      <w:r>
        <w:t xml:space="preserve"> in 2016</w:t>
      </w:r>
      <w:r w:rsidR="00B6715A">
        <w:t xml:space="preserve"> than it was at its low point </w:t>
      </w:r>
      <w:r w:rsidR="00573B62">
        <w:t>during</w:t>
      </w:r>
      <w:r w:rsidR="00B6715A">
        <w:t xml:space="preserve"> the 1990s, despite </w:t>
      </w:r>
      <w:r w:rsidR="00573B62">
        <w:t>remaining</w:t>
      </w:r>
      <w:r w:rsidR="00A44DA8">
        <w:t xml:space="preserve"> lower than </w:t>
      </w:r>
      <w:r w:rsidR="00573B62">
        <w:t>during</w:t>
      </w:r>
      <w:r w:rsidR="008A5743">
        <w:t xml:space="preserve"> the 1960s and </w:t>
      </w:r>
      <w:r w:rsidR="00247214">
        <w:t>19</w:t>
      </w:r>
      <w:r w:rsidR="008A5743">
        <w:t>70s</w:t>
      </w:r>
      <w:r w:rsidR="00B858DB">
        <w:t xml:space="preserve"> </w:t>
      </w:r>
      <w:r w:rsidR="00573B62">
        <w:t>(Figure 1)</w:t>
      </w:r>
      <w:r w:rsidR="008A5743">
        <w:t>.</w:t>
      </w:r>
    </w:p>
    <w:p w14:paraId="54E887E9" w14:textId="77777777" w:rsidR="008A5743" w:rsidRPr="000102F5" w:rsidRDefault="008A5743" w:rsidP="004E1B97">
      <w:pPr>
        <w:pStyle w:val="ChartMainHeading"/>
      </w:pPr>
      <w:r w:rsidRPr="000102F5">
        <w:t xml:space="preserve">Figure 1: </w:t>
      </w:r>
      <w:r w:rsidR="00225233" w:rsidRPr="000102F5">
        <w:t>P</w:t>
      </w:r>
      <w:r w:rsidRPr="000102F5">
        <w:t xml:space="preserve">opulation growth rates across </w:t>
      </w:r>
      <w:r w:rsidR="00225233" w:rsidRPr="000102F5">
        <w:t>OECD countries</w:t>
      </w:r>
    </w:p>
    <w:p w14:paraId="77B2C66A" w14:textId="3C21032D" w:rsidR="005F3E79" w:rsidRDefault="00302A39" w:rsidP="005F3E79">
      <w:pPr>
        <w:pStyle w:val="ChartGraphic"/>
      </w:pPr>
      <w:r>
        <w:pict w14:anchorId="0025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25pt">
            <v:imagedata r:id="rId46" o:title="" cropbottom="823f" cropleft="1270f"/>
          </v:shape>
        </w:pict>
      </w:r>
    </w:p>
    <w:p w14:paraId="2072C95F" w14:textId="77777777" w:rsidR="00A44DA8" w:rsidRPr="005F3E79" w:rsidRDefault="00A44DA8" w:rsidP="004E1B97">
      <w:pPr>
        <w:pStyle w:val="ChartorTableNote"/>
      </w:pPr>
      <w:r w:rsidRPr="005F3E79">
        <w:t>Note: Australia had the sixth highest growth rate in the OECD in 2016 but the fourth highest, on average, over</w:t>
      </w:r>
      <w:r w:rsidR="005F3E79">
        <w:t> </w:t>
      </w:r>
      <w:r w:rsidRPr="005F3E79">
        <w:t>the 2010</w:t>
      </w:r>
      <w:r w:rsidR="00E46233">
        <w:t>s</w:t>
      </w:r>
      <w:r w:rsidRPr="005F3E79">
        <w:t>.</w:t>
      </w:r>
    </w:p>
    <w:p w14:paraId="6EA3F489" w14:textId="77777777" w:rsidR="005F3E79" w:rsidRPr="004E1B97" w:rsidRDefault="008A5743" w:rsidP="004E1B97">
      <w:pPr>
        <w:pStyle w:val="ChartorTableNote"/>
      </w:pPr>
      <w:r w:rsidRPr="005F3E79">
        <w:t xml:space="preserve">Source: </w:t>
      </w:r>
      <w:r w:rsidR="00225233" w:rsidRPr="005F3E79">
        <w:t>World Bank</w:t>
      </w:r>
      <w:r w:rsidR="00245BD9" w:rsidRPr="005F3E79">
        <w:t xml:space="preserve"> </w:t>
      </w:r>
      <w:r w:rsidR="003B4EAE" w:rsidRPr="005F3E79">
        <w:t>2017</w:t>
      </w:r>
      <w:r w:rsidR="00245BD9" w:rsidRPr="005F3E79">
        <w:t xml:space="preserve">, authors’ </w:t>
      </w:r>
      <w:r w:rsidR="00665A80" w:rsidRPr="005F3E79">
        <w:t>calculations</w:t>
      </w:r>
      <w:r w:rsidR="00225233" w:rsidRPr="005F3E79">
        <w:t>.</w:t>
      </w:r>
    </w:p>
    <w:p w14:paraId="22E9205C" w14:textId="77777777" w:rsidR="008814BD" w:rsidRDefault="008A5743" w:rsidP="004E1B97">
      <w:r>
        <w:t>Australia</w:t>
      </w:r>
      <w:r w:rsidR="00021968">
        <w:t>’</w:t>
      </w:r>
      <w:r>
        <w:t>s population has had periods of faster growth and slower growth over the past century. As Australia emerged from World War</w:t>
      </w:r>
      <w:r w:rsidR="00AE407D">
        <w:t xml:space="preserve"> I</w:t>
      </w:r>
      <w:r>
        <w:t xml:space="preserve">, </w:t>
      </w:r>
      <w:r w:rsidR="002C4E55">
        <w:t xml:space="preserve">the </w:t>
      </w:r>
      <w:r>
        <w:t xml:space="preserve">population grew rapidly, and continued to do so </w:t>
      </w:r>
      <w:r w:rsidR="002610BE">
        <w:t>during</w:t>
      </w:r>
      <w:r>
        <w:t xml:space="preserve"> the 1920s. Population growth then slowed to its lowest point during the Great Depression of the 1930s, fallin</w:t>
      </w:r>
      <w:r w:rsidR="000A07A2">
        <w:t>g to just 0.7 per cent in 1935.</w:t>
      </w:r>
      <w:r w:rsidR="008814BD">
        <w:br w:type="page"/>
      </w:r>
    </w:p>
    <w:p w14:paraId="648B352C" w14:textId="77777777" w:rsidR="008A5743" w:rsidRDefault="008A5743" w:rsidP="005F3E79">
      <w:r>
        <w:lastRenderedPageBreak/>
        <w:t xml:space="preserve">The highest </w:t>
      </w:r>
      <w:r w:rsidR="002B7A38">
        <w:t xml:space="preserve">population </w:t>
      </w:r>
      <w:r>
        <w:t xml:space="preserve">growth occurred after World War </w:t>
      </w:r>
      <w:r w:rsidR="00AE407D">
        <w:t>II</w:t>
      </w:r>
      <w:r w:rsidR="002C4E55">
        <w:t>,</w:t>
      </w:r>
      <w:r>
        <w:t xml:space="preserve"> from 1946 to 197</w:t>
      </w:r>
      <w:r w:rsidR="007637FF">
        <w:t>0</w:t>
      </w:r>
      <w:r w:rsidR="002C4E55">
        <w:t>,</w:t>
      </w:r>
      <w:r>
        <w:t xml:space="preserve"> during which time annual population growth rates averaged 2.2 per cent. After a relatively slow growth period over the 1980s and 1990s, Australia</w:t>
      </w:r>
      <w:r w:rsidR="00021968">
        <w:t>’</w:t>
      </w:r>
      <w:r>
        <w:t xml:space="preserve">s </w:t>
      </w:r>
      <w:r w:rsidR="00D65B81">
        <w:t>population</w:t>
      </w:r>
      <w:r w:rsidR="002B7A38">
        <w:t xml:space="preserve"> growth rate</w:t>
      </w:r>
      <w:r w:rsidR="00D65B81">
        <w:t xml:space="preserve"> increased </w:t>
      </w:r>
      <w:r w:rsidR="00441B97">
        <w:t xml:space="preserve">again </w:t>
      </w:r>
      <w:r w:rsidR="00D65B81">
        <w:t>in the mid</w:t>
      </w:r>
      <w:r w:rsidR="00D65B81">
        <w:noBreakHyphen/>
      </w:r>
      <w:r>
        <w:t>2000s</w:t>
      </w:r>
      <w:r w:rsidR="00AD59E9">
        <w:t xml:space="preserve"> before</w:t>
      </w:r>
      <w:r w:rsidR="009734CA">
        <w:t xml:space="preserve"> peaking in 2008</w:t>
      </w:r>
      <w:r w:rsidR="000A07A2">
        <w:t xml:space="preserve"> (Figure 2).</w:t>
      </w:r>
    </w:p>
    <w:p w14:paraId="4B83CB53" w14:textId="77777777" w:rsidR="008A5743" w:rsidRDefault="008A5743" w:rsidP="004E1B97">
      <w:pPr>
        <w:pStyle w:val="ChartMainHeading"/>
      </w:pPr>
      <w:r>
        <w:t xml:space="preserve">Figure 2: </w:t>
      </w:r>
      <w:r w:rsidR="00225233">
        <w:t>Australia’s p</w:t>
      </w:r>
      <w:r>
        <w:t>opulation growth over the last century</w:t>
      </w:r>
    </w:p>
    <w:tbl>
      <w:tblPr>
        <w:tblW w:w="5058" w:type="pct"/>
        <w:tblInd w:w="-60" w:type="dxa"/>
        <w:tblLook w:val="01E0" w:firstRow="1" w:lastRow="1" w:firstColumn="1" w:lastColumn="1" w:noHBand="0" w:noVBand="0"/>
      </w:tblPr>
      <w:tblGrid>
        <w:gridCol w:w="4610"/>
        <w:gridCol w:w="4784"/>
      </w:tblGrid>
      <w:tr w:rsidR="005D0DBA" w:rsidRPr="005F3E79" w14:paraId="31D80407" w14:textId="77777777" w:rsidTr="005D0DBA">
        <w:trPr>
          <w:cantSplit/>
          <w:trHeight w:val="368"/>
        </w:trPr>
        <w:tc>
          <w:tcPr>
            <w:tcW w:w="2453" w:type="pct"/>
          </w:tcPr>
          <w:p w14:paraId="1A1C100A" w14:textId="77777777" w:rsidR="0031143D" w:rsidRPr="005F3E79" w:rsidRDefault="0031143D" w:rsidP="004E1B97">
            <w:pPr>
              <w:pStyle w:val="ChartSecondHeading"/>
            </w:pPr>
            <w:r w:rsidRPr="005F3E79">
              <w:t>Population (level)</w:t>
            </w:r>
          </w:p>
        </w:tc>
        <w:tc>
          <w:tcPr>
            <w:tcW w:w="2547" w:type="pct"/>
          </w:tcPr>
          <w:p w14:paraId="419FFDCA" w14:textId="77777777" w:rsidR="0031143D" w:rsidRPr="005F3E79" w:rsidRDefault="0031143D" w:rsidP="004E1B97">
            <w:pPr>
              <w:pStyle w:val="ChartSecondHeading"/>
            </w:pPr>
            <w:r w:rsidRPr="005F3E79">
              <w:t>Growth rate</w:t>
            </w:r>
          </w:p>
        </w:tc>
      </w:tr>
      <w:tr w:rsidR="005D0DBA" w14:paraId="501B615C" w14:textId="77777777" w:rsidTr="005D0DBA">
        <w:trPr>
          <w:cantSplit/>
          <w:trHeight w:val="4536"/>
        </w:trPr>
        <w:tc>
          <w:tcPr>
            <w:tcW w:w="2453" w:type="pct"/>
          </w:tcPr>
          <w:p w14:paraId="471F4B9F" w14:textId="63AD9596" w:rsidR="0031143D" w:rsidRDefault="0031143D" w:rsidP="008814BD">
            <w:pPr>
              <w:pStyle w:val="ChartGraphic"/>
              <w:jc w:val="left"/>
            </w:pPr>
            <w:r>
              <w:br w:type="page"/>
            </w:r>
            <w:r w:rsidR="00302A39">
              <w:pict w14:anchorId="50E105EF">
                <v:shape id="_x0000_i1026" type="#_x0000_t75" style="width:219.75pt;height:221.25pt;mso-position-vertical:absolute">
                  <v:imagedata r:id="rId47" o:title="" croptop="411f" cropleft="1152f" cropright="-411f"/>
                </v:shape>
              </w:pict>
            </w:r>
          </w:p>
        </w:tc>
        <w:tc>
          <w:tcPr>
            <w:tcW w:w="2547" w:type="pct"/>
          </w:tcPr>
          <w:p w14:paraId="16A4ECC1" w14:textId="3DBB9749" w:rsidR="0031143D" w:rsidRDefault="00302A39" w:rsidP="008814BD">
            <w:pPr>
              <w:pStyle w:val="ChartGraphic"/>
              <w:jc w:val="right"/>
            </w:pPr>
            <w:r>
              <w:pict w14:anchorId="2C471349">
                <v:shape id="_x0000_i1027" type="#_x0000_t75" style="width:219pt;height:221.25pt;mso-position-vertical:absolute">
                  <v:imagedata r:id="rId48" o:title="" cropbottom="410f" cropleft="1640f"/>
                  <o:lock v:ext="edit" aspectratio="f"/>
                </v:shape>
              </w:pict>
            </w:r>
          </w:p>
        </w:tc>
      </w:tr>
    </w:tbl>
    <w:p w14:paraId="4572D792" w14:textId="77777777" w:rsidR="00D65B81" w:rsidRPr="004E1B97" w:rsidRDefault="005E1DCE" w:rsidP="004E1B97">
      <w:pPr>
        <w:pStyle w:val="ChartorTableNote"/>
      </w:pPr>
      <w:r w:rsidRPr="004E1B97">
        <w:t xml:space="preserve">Note: </w:t>
      </w:r>
      <w:r w:rsidR="00D65B81" w:rsidRPr="004E1B97">
        <w:t xml:space="preserve">The break in the </w:t>
      </w:r>
      <w:r w:rsidR="00441B97" w:rsidRPr="004E1B97">
        <w:t xml:space="preserve">right hand side </w:t>
      </w:r>
      <w:r w:rsidR="00D65B81" w:rsidRPr="004E1B97">
        <w:t>chart reflects a series break</w:t>
      </w:r>
      <w:r w:rsidR="0031143D" w:rsidRPr="004E1B97">
        <w:t xml:space="preserve"> in </w:t>
      </w:r>
      <w:r w:rsidR="00E52073" w:rsidRPr="004E1B97">
        <w:t>1971. Series breaks also occurred in 1922, 1925, and 2006. Series break</w:t>
      </w:r>
      <w:r w:rsidR="004733AD" w:rsidRPr="004E1B97">
        <w:t>s</w:t>
      </w:r>
      <w:r w:rsidR="00E52073" w:rsidRPr="004E1B97">
        <w:t xml:space="preserve"> can limit the comparability of data over time</w:t>
      </w:r>
      <w:r w:rsidR="00D65B81" w:rsidRPr="004E1B97">
        <w:t>.</w:t>
      </w:r>
    </w:p>
    <w:p w14:paraId="61C4CB03" w14:textId="77777777" w:rsidR="005F3E79" w:rsidRPr="004E1B97" w:rsidRDefault="008A5743" w:rsidP="004E1B97">
      <w:pPr>
        <w:pStyle w:val="ChartorTableNote"/>
      </w:pPr>
      <w:r w:rsidRPr="004E1B97">
        <w:t xml:space="preserve">Source: </w:t>
      </w:r>
      <w:r w:rsidR="00526801" w:rsidRPr="004E1B97">
        <w:t>Australian Bureau of Statistics (</w:t>
      </w:r>
      <w:r w:rsidRPr="004E1B97">
        <w:t>ABS</w:t>
      </w:r>
      <w:r w:rsidR="00526801" w:rsidRPr="004E1B97">
        <w:t>)</w:t>
      </w:r>
      <w:r w:rsidR="00245BD9" w:rsidRPr="004E1B97">
        <w:t xml:space="preserve"> </w:t>
      </w:r>
      <w:r w:rsidR="001F5756" w:rsidRPr="004E1B97">
        <w:t>2014</w:t>
      </w:r>
      <w:r w:rsidR="00B211A0" w:rsidRPr="004E1B97">
        <w:t>a &amp; ABS 2017a</w:t>
      </w:r>
      <w:r w:rsidR="004E1B97" w:rsidRPr="004E1B97">
        <w:t>.</w:t>
      </w:r>
    </w:p>
    <w:p w14:paraId="55AD1D29" w14:textId="77777777" w:rsidR="008A5743" w:rsidRDefault="008A5743" w:rsidP="005F3E79">
      <w:r>
        <w:t>Australia</w:t>
      </w:r>
      <w:r w:rsidR="00021968">
        <w:t>’</w:t>
      </w:r>
      <w:r>
        <w:t xml:space="preserve">s population growth is determined by two components: natural increase and net overseas migration (NOM). </w:t>
      </w:r>
      <w:r w:rsidR="00E5777E">
        <w:t xml:space="preserve">Natural increase measures the excess of births over deaths where births and deaths are determined by the fertility rate and life expectancy respectively. </w:t>
      </w:r>
      <w:r>
        <w:t>NOM is the difference between the annual intake of immigrants into Australia and the outflow of emigrants departing Australia. It is primarily determined by Australia</w:t>
      </w:r>
      <w:r w:rsidR="00021968">
        <w:t>’</w:t>
      </w:r>
      <w:r>
        <w:t xml:space="preserve">s migration programs for permanent residence together with the annual changes in arrivals and departures </w:t>
      </w:r>
      <w:r w:rsidR="000A07A2">
        <w:t>of migrants on temporary visas.</w:t>
      </w:r>
    </w:p>
    <w:p w14:paraId="6D449D63" w14:textId="77777777" w:rsidR="008A5743" w:rsidRDefault="008A5743" w:rsidP="00631304">
      <w:pPr>
        <w:spacing w:before="0" w:after="160" w:line="259" w:lineRule="auto"/>
      </w:pPr>
      <w:r>
        <w:t>Changes to these two elements</w:t>
      </w:r>
      <w:r w:rsidR="00E50C62">
        <w:t xml:space="preserve"> — </w:t>
      </w:r>
      <w:r>
        <w:t>natural increase and NOM</w:t>
      </w:r>
      <w:r w:rsidR="00E50C62">
        <w:t xml:space="preserve"> — </w:t>
      </w:r>
      <w:r>
        <w:t>affect both the size and the structure of the population. Natural increase is largely outside government control</w:t>
      </w:r>
      <w:r w:rsidR="00E5777E">
        <w:t>,</w:t>
      </w:r>
      <w:r>
        <w:t xml:space="preserve"> in contrast to NOM which is heavily influenced by government policy.</w:t>
      </w:r>
    </w:p>
    <w:p w14:paraId="7C56C397" w14:textId="77777777" w:rsidR="008A5743" w:rsidRDefault="008A5743" w:rsidP="00631304">
      <w:pPr>
        <w:spacing w:before="0" w:after="160" w:line="259" w:lineRule="auto"/>
      </w:pPr>
      <w:r>
        <w:t xml:space="preserve">The relative contribution </w:t>
      </w:r>
      <w:r w:rsidR="00E5777E">
        <w:t xml:space="preserve">of </w:t>
      </w:r>
      <w:r>
        <w:t>natural increase and NOM to population growth has changed over time. As shown in Figure 3, NOM has fluctuated from year to year, rising and falling with policy changes and economic conditions. In contrast, natural increase has remained relatively steady</w:t>
      </w:r>
      <w:r w:rsidR="00CC4EC3">
        <w:t>,</w:t>
      </w:r>
      <w:r>
        <w:t xml:space="preserve"> although </w:t>
      </w:r>
      <w:r w:rsidR="00CC4EC3">
        <w:t xml:space="preserve">it </w:t>
      </w:r>
      <w:r w:rsidR="000A07A2">
        <w:t>has decreased slowly over time.</w:t>
      </w:r>
    </w:p>
    <w:p w14:paraId="279A75F6" w14:textId="77777777" w:rsidR="008A5743" w:rsidRDefault="00486A12" w:rsidP="00631304">
      <w:pPr>
        <w:spacing w:before="0" w:after="160" w:line="259" w:lineRule="auto"/>
      </w:pPr>
      <w:r>
        <w:t>From the start of the 20</w:t>
      </w:r>
      <w:r w:rsidRPr="00385501">
        <w:rPr>
          <w:vertAlign w:val="superscript"/>
        </w:rPr>
        <w:t>th</w:t>
      </w:r>
      <w:r>
        <w:t xml:space="preserve"> </w:t>
      </w:r>
      <w:r w:rsidR="00526801">
        <w:t>c</w:t>
      </w:r>
      <w:r>
        <w:t>entury u</w:t>
      </w:r>
      <w:r w:rsidR="008A5743">
        <w:t>ntil 1948, natural increase almost single</w:t>
      </w:r>
      <w:r w:rsidR="00021968">
        <w:noBreakHyphen/>
      </w:r>
      <w:r w:rsidR="008A5743">
        <w:t>handedly drove Australia</w:t>
      </w:r>
      <w:r w:rsidR="00021968">
        <w:t>’</w:t>
      </w:r>
      <w:r w:rsidR="008A5743">
        <w:t>s population growth. NOM</w:t>
      </w:r>
      <w:r w:rsidR="002610BE">
        <w:t xml:space="preserve"> then </w:t>
      </w:r>
      <w:r w:rsidR="008A5743">
        <w:t>increased markedly and contributed more than half of Australia</w:t>
      </w:r>
      <w:r w:rsidR="00021968">
        <w:t>’</w:t>
      </w:r>
      <w:r w:rsidR="008A5743">
        <w:t>s population growth</w:t>
      </w:r>
      <w:r w:rsidR="002610BE">
        <w:t xml:space="preserve"> during brief</w:t>
      </w:r>
      <w:r w:rsidR="008A5743">
        <w:t xml:space="preserve"> periods in the </w:t>
      </w:r>
      <w:r w:rsidR="00526801">
        <w:t>19</w:t>
      </w:r>
      <w:r w:rsidR="00CA0599">
        <w:t>5</w:t>
      </w:r>
      <w:r w:rsidR="008A5743">
        <w:t xml:space="preserve">0s, </w:t>
      </w:r>
      <w:r w:rsidR="00526801">
        <w:t>19</w:t>
      </w:r>
      <w:r w:rsidR="008A5743">
        <w:t xml:space="preserve">60s and </w:t>
      </w:r>
      <w:r w:rsidR="00526801">
        <w:t>19</w:t>
      </w:r>
      <w:r w:rsidR="008A5743">
        <w:t>80s</w:t>
      </w:r>
      <w:r w:rsidR="00526801">
        <w:t>,</w:t>
      </w:r>
      <w:r w:rsidR="008A5743">
        <w:t xml:space="preserve"> as well as during the last decade</w:t>
      </w:r>
      <w:r w:rsidR="00D772DC">
        <w:t xml:space="preserve"> or so</w:t>
      </w:r>
      <w:r w:rsidR="008A5743">
        <w:t>. NOM under</w:t>
      </w:r>
      <w:r w:rsidR="000C7EEA">
        <w:t>went a step increase in the mid-</w:t>
      </w:r>
      <w:r w:rsidR="008A5743">
        <w:t xml:space="preserve">2000s and this, combined with a slowing rate of natural increase, meant that NOM </w:t>
      </w:r>
      <w:r w:rsidR="00526801">
        <w:t xml:space="preserve">has </w:t>
      </w:r>
      <w:r w:rsidR="008A5743">
        <w:t>contributed 5</w:t>
      </w:r>
      <w:r w:rsidR="00AD59E9">
        <w:t>9</w:t>
      </w:r>
      <w:r w:rsidR="008A5743">
        <w:t xml:space="preserve"> per cent of Australia</w:t>
      </w:r>
      <w:r w:rsidR="00021968">
        <w:t>’</w:t>
      </w:r>
      <w:r w:rsidR="008A5743">
        <w:t xml:space="preserve">s population growth over the last decade. However, the </w:t>
      </w:r>
      <w:r w:rsidR="000C7EEA">
        <w:t>increase in NOM in the mid-</w:t>
      </w:r>
      <w:r w:rsidR="008A5743">
        <w:t>2000s may not b</w:t>
      </w:r>
      <w:r w:rsidR="000A07A2">
        <w:t>e as large as it first appears.</w:t>
      </w:r>
    </w:p>
    <w:p w14:paraId="6BAC2CD1" w14:textId="77777777" w:rsidR="00CC4EC3" w:rsidRDefault="008A5743" w:rsidP="00631304">
      <w:r>
        <w:lastRenderedPageBreak/>
        <w:t xml:space="preserve">From 2007, the ABS </w:t>
      </w:r>
      <w:r w:rsidR="00012618">
        <w:t>broadened the definition of</w:t>
      </w:r>
      <w:r>
        <w:t xml:space="preserve"> NOM. Instead of an </w:t>
      </w:r>
      <w:r w:rsidR="00E22D04">
        <w:t xml:space="preserve">Australian resident for NOM purposes </w:t>
      </w:r>
      <w:r>
        <w:t>being defined as someone who had been in Australia for at least 12 months, a</w:t>
      </w:r>
      <w:r w:rsidR="00E22D04">
        <w:t xml:space="preserve"> resident</w:t>
      </w:r>
      <w:r>
        <w:t xml:space="preserve"> was </w:t>
      </w:r>
      <w:r w:rsidR="00486A12">
        <w:t>re</w:t>
      </w:r>
      <w:r>
        <w:t>defined as someone who had been in Australia for at least 12 out of the past 16</w:t>
      </w:r>
      <w:r w:rsidR="008814BD">
        <w:t> </w:t>
      </w:r>
      <w:r>
        <w:t>months. While this new definition of a</w:t>
      </w:r>
      <w:r w:rsidR="00E22D04">
        <w:t xml:space="preserve"> resident</w:t>
      </w:r>
      <w:r>
        <w:t xml:space="preserve"> was officially adopted in 2007, the ABS measured NOM using both methods from December 2003 to September 2006. ABS analysis found that the new</w:t>
      </w:r>
      <w:r w:rsidR="00E46233">
        <w:t> </w:t>
      </w:r>
      <w:r>
        <w:t xml:space="preserve">method produced NOM levels that were 25 per cent higher </w:t>
      </w:r>
      <w:r w:rsidR="00E22D04">
        <w:t xml:space="preserve">on average </w:t>
      </w:r>
      <w:r>
        <w:t>than the old method (ABS</w:t>
      </w:r>
      <w:r w:rsidR="00E22D04">
        <w:t> </w:t>
      </w:r>
      <w:r w:rsidR="002A030C">
        <w:t>201</w:t>
      </w:r>
      <w:r w:rsidR="00B211A0">
        <w:t>7b</w:t>
      </w:r>
      <w:r w:rsidR="00CC4EC3">
        <w:t>).</w:t>
      </w:r>
    </w:p>
    <w:p w14:paraId="47402E95" w14:textId="77777777" w:rsidR="008A5743" w:rsidRDefault="00B676BF" w:rsidP="00631304">
      <w:r>
        <w:t xml:space="preserve">If this relationship between the two definitional methods holds more broadly, </w:t>
      </w:r>
      <w:r w:rsidR="00C71121">
        <w:t>a</w:t>
      </w:r>
      <w:r w:rsidR="008A5743">
        <w:t xml:space="preserve"> 25 per cent adjustment </w:t>
      </w:r>
      <w:r w:rsidR="00BD7257">
        <w:t>could be made to</w:t>
      </w:r>
      <w:r w:rsidR="008A5743">
        <w:t xml:space="preserve"> NOM </w:t>
      </w:r>
      <w:r w:rsidR="00E22D04">
        <w:t>prior to 2007</w:t>
      </w:r>
      <w:r w:rsidR="008A5743">
        <w:t xml:space="preserve"> (see</w:t>
      </w:r>
      <w:r w:rsidR="000C7EEA">
        <w:t xml:space="preserve"> </w:t>
      </w:r>
      <w:r w:rsidR="00D65B81">
        <w:t>Figure 3</w:t>
      </w:r>
      <w:r w:rsidR="008A5743">
        <w:t>). Once this adjustment is made, the increase in NOM from the mid</w:t>
      </w:r>
      <w:r w:rsidR="00021968">
        <w:noBreakHyphen/>
      </w:r>
      <w:r w:rsidR="008A5743">
        <w:t>2000s onwards</w:t>
      </w:r>
      <w:r w:rsidR="009456FF">
        <w:t xml:space="preserve"> is less pronounced</w:t>
      </w:r>
      <w:r w:rsidR="007E2801">
        <w:t>, although it is still higher on average compared to the previous three decades</w:t>
      </w:r>
      <w:r w:rsidR="008A5743">
        <w:t>.</w:t>
      </w:r>
    </w:p>
    <w:p w14:paraId="0447F01C" w14:textId="77777777" w:rsidR="009E171B" w:rsidRDefault="008A5743" w:rsidP="004E1B97">
      <w:pPr>
        <w:pStyle w:val="ChartMainHeading"/>
      </w:pPr>
      <w:r w:rsidRPr="008A5743">
        <w:t xml:space="preserve">Figure 3: </w:t>
      </w:r>
      <w:r w:rsidR="00225233">
        <w:t xml:space="preserve">Components of </w:t>
      </w:r>
      <w:r w:rsidRPr="008A5743">
        <w:t>Australia</w:t>
      </w:r>
      <w:r w:rsidR="00021968">
        <w:t>’</w:t>
      </w:r>
      <w:r w:rsidRPr="008A5743">
        <w:t>s population</w:t>
      </w:r>
      <w:r w:rsidR="00225233">
        <w:t xml:space="preserve"> growth</w:t>
      </w:r>
    </w:p>
    <w:p w14:paraId="56D31DD0" w14:textId="4C3A7D01" w:rsidR="008A5743" w:rsidRDefault="00302A39" w:rsidP="005F3E79">
      <w:pPr>
        <w:pStyle w:val="ChartGraphic"/>
      </w:pPr>
      <w:r>
        <w:pict w14:anchorId="6E6FA5DA">
          <v:shape id="_x0000_i1028" type="#_x0000_t75" style="width:438.75pt;height:231.75pt">
            <v:imagedata r:id="rId49" o:title=""/>
          </v:shape>
        </w:pict>
      </w:r>
    </w:p>
    <w:p w14:paraId="7C2BA4E0" w14:textId="77777777" w:rsidR="005F3E79" w:rsidRPr="004E1B97" w:rsidRDefault="008A5743" w:rsidP="004E1B97">
      <w:pPr>
        <w:pStyle w:val="ChartorTableNote"/>
      </w:pPr>
      <w:r w:rsidRPr="005F3E79">
        <w:t xml:space="preserve">Source: </w:t>
      </w:r>
      <w:r w:rsidR="00245BD9" w:rsidRPr="005F3E79">
        <w:t xml:space="preserve">ABS </w:t>
      </w:r>
      <w:r w:rsidR="00586AC1" w:rsidRPr="005F3E79">
        <w:t>2014</w:t>
      </w:r>
      <w:r w:rsidR="00B211A0" w:rsidRPr="005F3E79">
        <w:t>a</w:t>
      </w:r>
      <w:r w:rsidR="0044007D" w:rsidRPr="005F3E79">
        <w:t xml:space="preserve"> &amp; ABS 201</w:t>
      </w:r>
      <w:r w:rsidR="00B211A0" w:rsidRPr="005F3E79">
        <w:t>7</w:t>
      </w:r>
      <w:r w:rsidR="0044007D" w:rsidRPr="005F3E79">
        <w:t>a</w:t>
      </w:r>
      <w:r w:rsidR="00245BD9" w:rsidRPr="005F3E79">
        <w:t xml:space="preserve">, authors’ </w:t>
      </w:r>
      <w:r w:rsidR="00665A80" w:rsidRPr="005F3E79">
        <w:t>calculations</w:t>
      </w:r>
      <w:r w:rsidR="004E1B97">
        <w:t>.</w:t>
      </w:r>
    </w:p>
    <w:p w14:paraId="3161304B" w14:textId="77777777" w:rsidR="003833A7" w:rsidRDefault="007E2801" w:rsidP="005D0DBA">
      <w:r>
        <w:t>Relatively higher NOM since the mid</w:t>
      </w:r>
      <w:r>
        <w:noBreakHyphen/>
        <w:t>2000s</w:t>
      </w:r>
      <w:r w:rsidR="008A5743">
        <w:t xml:space="preserve"> is</w:t>
      </w:r>
      <w:r>
        <w:t xml:space="preserve">, in large part, </w:t>
      </w:r>
      <w:r w:rsidR="008A5743">
        <w:t>explained by changes in</w:t>
      </w:r>
      <w:r w:rsidR="005F358F">
        <w:t xml:space="preserve"> the number of </w:t>
      </w:r>
      <w:r w:rsidR="008A5743">
        <w:t>international student</w:t>
      </w:r>
      <w:r w:rsidR="005F358F">
        <w:t>s and New Zealanders</w:t>
      </w:r>
      <w:r w:rsidR="008A5743">
        <w:t xml:space="preserve">. </w:t>
      </w:r>
      <w:proofErr w:type="gramStart"/>
      <w:r w:rsidR="008A5743">
        <w:t xml:space="preserve">International student numbers increased by </w:t>
      </w:r>
      <w:r w:rsidR="007267A9">
        <w:t xml:space="preserve">almost </w:t>
      </w:r>
      <w:r w:rsidR="005F358F">
        <w:t>86 </w:t>
      </w:r>
      <w:r w:rsidR="008A5743">
        <w:t>per cent from 2006 to 200</w:t>
      </w:r>
      <w:r w:rsidR="005F358F">
        <w:t>9 (</w:t>
      </w:r>
      <w:r w:rsidR="00AD59E9">
        <w:t>Home Affairs</w:t>
      </w:r>
      <w:r w:rsidR="005F358F">
        <w:t xml:space="preserve"> 2017)</w:t>
      </w:r>
      <w:r w:rsidR="003833A7">
        <w:t>, after new pathways to permanent residency through the skilled migration program were opened in 2005 (A</w:t>
      </w:r>
      <w:r w:rsidR="00B211A0">
        <w:t xml:space="preserve">ustralian </w:t>
      </w:r>
      <w:r w:rsidR="003833A7">
        <w:t>N</w:t>
      </w:r>
      <w:r w:rsidR="00B211A0">
        <w:t xml:space="preserve">ational </w:t>
      </w:r>
      <w:r w:rsidR="003833A7">
        <w:t>A</w:t>
      </w:r>
      <w:r w:rsidR="00B211A0">
        <w:t xml:space="preserve">udit </w:t>
      </w:r>
      <w:r w:rsidR="003833A7">
        <w:t>O</w:t>
      </w:r>
      <w:r w:rsidR="00B211A0">
        <w:t>ffice</w:t>
      </w:r>
      <w:r w:rsidR="003833A7">
        <w:t xml:space="preserve"> 2011)</w:t>
      </w:r>
      <w:r w:rsidR="000A07A2">
        <w:t>.</w:t>
      </w:r>
      <w:proofErr w:type="gramEnd"/>
    </w:p>
    <w:p w14:paraId="78867DF1" w14:textId="77777777" w:rsidR="007E2801" w:rsidRDefault="00EA69D0">
      <w:r>
        <w:t>During</w:t>
      </w:r>
      <w:r w:rsidR="008A5743">
        <w:t xml:space="preserve"> 2009</w:t>
      </w:r>
      <w:r>
        <w:t xml:space="preserve"> and 20</w:t>
      </w:r>
      <w:r w:rsidR="00670884">
        <w:t>10</w:t>
      </w:r>
      <w:r w:rsidR="008A5743">
        <w:t xml:space="preserve">, </w:t>
      </w:r>
      <w:r w:rsidR="00670884">
        <w:t>a number of measures were</w:t>
      </w:r>
      <w:r w:rsidR="008A5743">
        <w:t xml:space="preserve"> introduced to improve the integrity of student visas. This</w:t>
      </w:r>
      <w:r w:rsidR="002A030C">
        <w:t>,</w:t>
      </w:r>
      <w:r w:rsidR="008A5743">
        <w:t xml:space="preserve"> combined with appreciations in the dollar and negative publicity around the safety of students</w:t>
      </w:r>
      <w:r w:rsidR="002A030C">
        <w:t>,</w:t>
      </w:r>
      <w:r w:rsidR="008A5743">
        <w:t xml:space="preserve"> may explain the </w:t>
      </w:r>
      <w:r w:rsidR="005F358F">
        <w:t>21</w:t>
      </w:r>
      <w:r w:rsidR="008A5743">
        <w:t xml:space="preserve"> per cent </w:t>
      </w:r>
      <w:r w:rsidR="007267A9">
        <w:t xml:space="preserve">drop in student numbers </w:t>
      </w:r>
      <w:r w:rsidR="005F358F">
        <w:t>between 2009 and 2013</w:t>
      </w:r>
      <w:r w:rsidR="00DB0988">
        <w:t>. Student </w:t>
      </w:r>
      <w:r w:rsidR="008A5743">
        <w:t xml:space="preserve">numbers have </w:t>
      </w:r>
      <w:r w:rsidR="00246E78">
        <w:t>again increased since 201</w:t>
      </w:r>
      <w:r w:rsidR="005F358F">
        <w:t>3</w:t>
      </w:r>
      <w:r w:rsidR="008A5743">
        <w:t>, with upwards impacts on NOM.</w:t>
      </w:r>
    </w:p>
    <w:p w14:paraId="5A9A7871" w14:textId="77777777" w:rsidR="0034314A" w:rsidRDefault="005F358F" w:rsidP="004E1B97">
      <w:r>
        <w:t xml:space="preserve">The number of New Zealanders in Australia </w:t>
      </w:r>
      <w:r w:rsidRPr="005F358F">
        <w:t xml:space="preserve">grew by more than 41 per cent between 2007 and 2012. The largest single year increase occurred from 2007 to 2008, with an almost 14 per cent increase in the number of New Zealanders. The number of New Zealanders in Australia has continued to climb since </w:t>
      </w:r>
      <w:r w:rsidR="00DB0988">
        <w:t xml:space="preserve">2013, albeit at a slower pace. </w:t>
      </w:r>
      <w:proofErr w:type="gramStart"/>
      <w:r w:rsidRPr="005F358F">
        <w:t>The combined impact of high student numbers and significant growth in New Zealanders help explain the large NOM peak in 2008 (</w:t>
      </w:r>
      <w:r w:rsidR="00AD59E9">
        <w:t>Home Affairs</w:t>
      </w:r>
      <w:r w:rsidRPr="005F358F">
        <w:t xml:space="preserve"> 2017).</w:t>
      </w:r>
      <w:proofErr w:type="gramEnd"/>
    </w:p>
    <w:p w14:paraId="730B647C" w14:textId="77777777" w:rsidR="008A5743" w:rsidRPr="002427F4" w:rsidRDefault="008A5743" w:rsidP="004E1B97">
      <w:pPr>
        <w:pStyle w:val="Heading2Numbered"/>
      </w:pPr>
      <w:bookmarkStart w:id="9" w:name="_Toc495402479"/>
      <w:r w:rsidRPr="002427F4">
        <w:lastRenderedPageBreak/>
        <w:t xml:space="preserve">Population </w:t>
      </w:r>
      <w:r w:rsidR="00327CBE" w:rsidRPr="002427F4">
        <w:t>c</w:t>
      </w:r>
      <w:r w:rsidRPr="002427F4">
        <w:t>omponents</w:t>
      </w:r>
      <w:bookmarkEnd w:id="9"/>
    </w:p>
    <w:p w14:paraId="171AD64C" w14:textId="77777777" w:rsidR="008A5743" w:rsidRPr="002427F4" w:rsidRDefault="008A5743" w:rsidP="004E1B97">
      <w:pPr>
        <w:pStyle w:val="Heading3Numbered"/>
      </w:pPr>
      <w:bookmarkStart w:id="10" w:name="_Toc491694263"/>
      <w:bookmarkStart w:id="11" w:name="_Toc491694345"/>
      <w:bookmarkStart w:id="12" w:name="_Toc491694371"/>
      <w:bookmarkStart w:id="13" w:name="_Toc493227976"/>
      <w:bookmarkStart w:id="14" w:name="_Toc493250561"/>
      <w:bookmarkStart w:id="15" w:name="_Toc493510242"/>
      <w:bookmarkStart w:id="16" w:name="_Toc493511034"/>
      <w:bookmarkStart w:id="17" w:name="_Toc493511987"/>
      <w:bookmarkStart w:id="18" w:name="_Toc493543038"/>
      <w:bookmarkStart w:id="19" w:name="_Toc493543079"/>
      <w:bookmarkStart w:id="20" w:name="_Toc491694264"/>
      <w:bookmarkStart w:id="21" w:name="_Toc491694346"/>
      <w:bookmarkStart w:id="22" w:name="_Toc491694372"/>
      <w:bookmarkStart w:id="23" w:name="_Toc493227977"/>
      <w:bookmarkStart w:id="24" w:name="_Toc493250562"/>
      <w:bookmarkStart w:id="25" w:name="_Toc493510243"/>
      <w:bookmarkStart w:id="26" w:name="_Toc493511035"/>
      <w:bookmarkStart w:id="27" w:name="_Toc493511988"/>
      <w:bookmarkStart w:id="28" w:name="_Toc493543039"/>
      <w:bookmarkStart w:id="29" w:name="_Toc49354308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427F4">
        <w:t>Natural increase has slowed over time</w:t>
      </w:r>
    </w:p>
    <w:p w14:paraId="7B9BCEA3" w14:textId="77777777" w:rsidR="008A5743" w:rsidRPr="002427F4" w:rsidRDefault="008A5743" w:rsidP="004E1B97">
      <w:pPr>
        <w:pStyle w:val="Heading4"/>
      </w:pPr>
      <w:r w:rsidRPr="002427F4">
        <w:t>Fertility has been lower over the last four decades</w:t>
      </w:r>
    </w:p>
    <w:p w14:paraId="235349CA" w14:textId="77777777" w:rsidR="008A5743" w:rsidRDefault="00D65B81" w:rsidP="00385501">
      <w:r w:rsidRPr="00904ADE">
        <w:t>Figure 4</w:t>
      </w:r>
      <w:r w:rsidR="004261A6" w:rsidRPr="00904ADE">
        <w:t xml:space="preserve"> </w:t>
      </w:r>
      <w:r w:rsidR="008A5743" w:rsidRPr="00904ADE">
        <w:t>shows the average number of babies a</w:t>
      </w:r>
      <w:r w:rsidR="00BD7257">
        <w:t>n Australian</w:t>
      </w:r>
      <w:r w:rsidR="008A5743" w:rsidRPr="00904ADE">
        <w:t xml:space="preserve"> woman might expect to have over her lifetime.</w:t>
      </w:r>
      <w:r w:rsidR="00427743">
        <w:t xml:space="preserve"> T</w:t>
      </w:r>
      <w:r w:rsidR="008A5743" w:rsidRPr="00DC385A">
        <w:t xml:space="preserve">his fell from 3.1 babies per woman in 1921 to 2.1 babies per woman in 1935. Fertility rates then increased during the </w:t>
      </w:r>
      <w:r w:rsidR="00021968">
        <w:t>‘</w:t>
      </w:r>
      <w:r w:rsidR="008A5743" w:rsidRPr="00DC385A">
        <w:t>baby boom</w:t>
      </w:r>
      <w:r w:rsidR="00021968">
        <w:t>’</w:t>
      </w:r>
      <w:r w:rsidR="008A5743" w:rsidRPr="00DC385A">
        <w:t xml:space="preserve"> years, reaching a high of 3.5 babies </w:t>
      </w:r>
      <w:r w:rsidR="003905E4" w:rsidRPr="00DC385A">
        <w:t>per</w:t>
      </w:r>
      <w:r w:rsidR="003905E4">
        <w:t> </w:t>
      </w:r>
      <w:r w:rsidR="008A5743" w:rsidRPr="00DC385A">
        <w:t xml:space="preserve">woman in 1961 and averaging 3.1 babies per woman over the period 1946 to 1972. </w:t>
      </w:r>
      <w:r w:rsidR="00327CBE">
        <w:t>Since then</w:t>
      </w:r>
      <w:r w:rsidR="008A5743" w:rsidRPr="00DC385A">
        <w:t xml:space="preserve">, fertility rates have been trending down and dropped to 1.7 in 2001, the lowest </w:t>
      </w:r>
      <w:r w:rsidR="008A5743">
        <w:t>level seen in the last century</w:t>
      </w:r>
      <w:r w:rsidR="002A62A2">
        <w:t xml:space="preserve"> (</w:t>
      </w:r>
      <w:r w:rsidR="00197A2D">
        <w:t>PC</w:t>
      </w:r>
      <w:r w:rsidR="002A62A2">
        <w:t xml:space="preserve"> 2010)</w:t>
      </w:r>
      <w:r w:rsidR="000A07A2">
        <w:t>.</w:t>
      </w:r>
    </w:p>
    <w:p w14:paraId="4D42868D" w14:textId="77777777" w:rsidR="008A5743" w:rsidRDefault="008A5743" w:rsidP="004E1B97">
      <w:pPr>
        <w:pStyle w:val="ChartMainHeading"/>
        <w:rPr>
          <w:noProof/>
        </w:rPr>
      </w:pPr>
      <w:r w:rsidRPr="008A5743">
        <w:rPr>
          <w:noProof/>
        </w:rPr>
        <w:t xml:space="preserve">Figure 4: </w:t>
      </w:r>
      <w:r w:rsidR="00225233">
        <w:rPr>
          <w:noProof/>
        </w:rPr>
        <w:t>F</w:t>
      </w:r>
      <w:r w:rsidRPr="008A5743">
        <w:rPr>
          <w:noProof/>
        </w:rPr>
        <w:t>ertility</w:t>
      </w:r>
    </w:p>
    <w:p w14:paraId="0C30A398" w14:textId="0A51C47C" w:rsidR="008A5743" w:rsidRDefault="00302A39" w:rsidP="005F3E79">
      <w:pPr>
        <w:pStyle w:val="ChartGraphic"/>
      </w:pPr>
      <w:r>
        <w:pict w14:anchorId="61BF7E01">
          <v:shape id="_x0000_i1029" type="#_x0000_t75" style="width:384pt;height:173.25pt" o:preferrelative="f">
            <v:imagedata r:id="rId50" o:title="" cropleft="635f"/>
            <o:lock v:ext="edit" aspectratio="f"/>
          </v:shape>
        </w:pict>
      </w:r>
    </w:p>
    <w:p w14:paraId="4100C5ED" w14:textId="77777777" w:rsidR="00686BB9" w:rsidRPr="004E1B97" w:rsidRDefault="008A5743" w:rsidP="004E1B97">
      <w:pPr>
        <w:pStyle w:val="ChartorTableNote"/>
      </w:pPr>
      <w:r w:rsidRPr="00686BB9">
        <w:t xml:space="preserve">Source: </w:t>
      </w:r>
      <w:r w:rsidR="00245BD9" w:rsidRPr="00686BB9">
        <w:t>ABS</w:t>
      </w:r>
      <w:r w:rsidR="00516EBF" w:rsidRPr="00686BB9">
        <w:t xml:space="preserve"> 2014</w:t>
      </w:r>
      <w:r w:rsidR="00B211A0" w:rsidRPr="00686BB9">
        <w:t>a</w:t>
      </w:r>
      <w:r w:rsidR="00516EBF" w:rsidRPr="00686BB9">
        <w:t xml:space="preserve"> </w:t>
      </w:r>
      <w:r w:rsidR="00B211A0" w:rsidRPr="00686BB9">
        <w:t>&amp;</w:t>
      </w:r>
      <w:r w:rsidR="00516EBF" w:rsidRPr="00686BB9">
        <w:t xml:space="preserve"> ABS</w:t>
      </w:r>
      <w:r w:rsidR="00245BD9" w:rsidRPr="00686BB9">
        <w:t xml:space="preserve"> </w:t>
      </w:r>
      <w:r w:rsidR="00C71163" w:rsidRPr="00686BB9">
        <w:t>201</w:t>
      </w:r>
      <w:r w:rsidR="00B211A0" w:rsidRPr="00686BB9">
        <w:t>6a</w:t>
      </w:r>
      <w:r w:rsidR="0026283D" w:rsidRPr="00686BB9">
        <w:t>.</w:t>
      </w:r>
    </w:p>
    <w:p w14:paraId="55B5E86B" w14:textId="77777777" w:rsidR="008A5743" w:rsidRPr="00F86CD4" w:rsidRDefault="008A5743" w:rsidP="004E1B97">
      <w:pPr>
        <w:pStyle w:val="Heading4"/>
      </w:pPr>
      <w:r w:rsidRPr="00F86CD4">
        <w:t>Life expectancy has increased steadily over time</w:t>
      </w:r>
    </w:p>
    <w:p w14:paraId="3EA22A1C" w14:textId="77777777" w:rsidR="008A5743" w:rsidRDefault="008A5743" w:rsidP="00F93488">
      <w:r w:rsidRPr="00DC385A">
        <w:t xml:space="preserve">As </w:t>
      </w:r>
      <w:r w:rsidR="00D65B81">
        <w:t>Figure 5</w:t>
      </w:r>
      <w:r>
        <w:t xml:space="preserve"> </w:t>
      </w:r>
      <w:r w:rsidRPr="00DC385A">
        <w:t>shows, life expectanc</w:t>
      </w:r>
      <w:r>
        <w:t>y has</w:t>
      </w:r>
      <w:r w:rsidRPr="00DC385A">
        <w:t xml:space="preserve"> risen steadily over time. Life expectanc</w:t>
      </w:r>
      <w:r>
        <w:t>y</w:t>
      </w:r>
      <w:r w:rsidRPr="00DC385A">
        <w:t xml:space="preserve"> at birth for both </w:t>
      </w:r>
      <w:r w:rsidR="009007B2">
        <w:t xml:space="preserve">Australian </w:t>
      </w:r>
      <w:r w:rsidRPr="00DC385A">
        <w:t>males and females remain</w:t>
      </w:r>
      <w:r>
        <w:t>s</w:t>
      </w:r>
      <w:r w:rsidRPr="00DC385A">
        <w:t xml:space="preserve"> among</w:t>
      </w:r>
      <w:r>
        <w:t>st</w:t>
      </w:r>
      <w:r w:rsidRPr="00DC385A">
        <w:t xml:space="preserve"> the highest in the world</w:t>
      </w:r>
      <w:r w:rsidR="00E50C62">
        <w:t xml:space="preserve"> — </w:t>
      </w:r>
      <w:r w:rsidRPr="00DC385A">
        <w:t xml:space="preserve">in 2015, life expectancy at birth was </w:t>
      </w:r>
      <w:r w:rsidR="007C5777">
        <w:t>80.4</w:t>
      </w:r>
      <w:r>
        <w:t> </w:t>
      </w:r>
      <w:r w:rsidRPr="00DC385A">
        <w:t xml:space="preserve">years for men and </w:t>
      </w:r>
      <w:r w:rsidR="005C01E7">
        <w:t>84.5</w:t>
      </w:r>
      <w:r w:rsidRPr="00DC385A">
        <w:t xml:space="preserve"> years for women, up from </w:t>
      </w:r>
      <w:r w:rsidR="000E11E3">
        <w:t>55.2</w:t>
      </w:r>
      <w:r w:rsidRPr="00DC385A">
        <w:t xml:space="preserve"> years for men and </w:t>
      </w:r>
      <w:r w:rsidR="000E11E3">
        <w:t>58.8</w:t>
      </w:r>
      <w:r w:rsidR="008814BD">
        <w:t> </w:t>
      </w:r>
      <w:r w:rsidRPr="00DC385A">
        <w:t>years for women in the period 19</w:t>
      </w:r>
      <w:r w:rsidR="000E11E3">
        <w:t>01</w:t>
      </w:r>
      <w:r w:rsidR="00021968">
        <w:noBreakHyphen/>
      </w:r>
      <w:r w:rsidRPr="00DC385A">
        <w:t>19</w:t>
      </w:r>
      <w:r w:rsidR="000E11E3">
        <w:t>10</w:t>
      </w:r>
      <w:r w:rsidRPr="00DC385A">
        <w:t xml:space="preserve">. The combination of high life expectancy and a declining fertility rate is a key reason for population ageing in Australia, discussed in detail in </w:t>
      </w:r>
      <w:r w:rsidR="00E31C86">
        <w:t>S</w:t>
      </w:r>
      <w:r w:rsidRPr="00DC385A">
        <w:t xml:space="preserve">ection </w:t>
      </w:r>
      <w:r w:rsidR="00327CBE">
        <w:t>6.4</w:t>
      </w:r>
      <w:r w:rsidRPr="00DC385A">
        <w:t>.</w:t>
      </w:r>
    </w:p>
    <w:p w14:paraId="6E365AD2" w14:textId="77777777" w:rsidR="008A5743" w:rsidRDefault="008A5743" w:rsidP="004E1B97">
      <w:pPr>
        <w:pStyle w:val="ChartMainHeading"/>
      </w:pPr>
      <w:r w:rsidRPr="008A5743">
        <w:t>Figure 5: Male and female life expectancies</w:t>
      </w:r>
    </w:p>
    <w:p w14:paraId="364724A6" w14:textId="0907DAF3" w:rsidR="008A5743" w:rsidRDefault="00302A39" w:rsidP="005F3E79">
      <w:pPr>
        <w:pStyle w:val="ChartGraphic"/>
      </w:pPr>
      <w:r>
        <w:pict w14:anchorId="31F46D0A">
          <v:shape id="_x0000_i1030" type="#_x0000_t75" style="width:387pt;height:186.75pt">
            <v:imagedata r:id="rId51" o:title="" croptop="410f" cropleft="848f"/>
            <o:lock v:ext="edit" aspectratio="f"/>
          </v:shape>
        </w:pict>
      </w:r>
    </w:p>
    <w:p w14:paraId="6255BF9B" w14:textId="77777777" w:rsidR="00F93488" w:rsidRDefault="008A5743" w:rsidP="004E1B97">
      <w:pPr>
        <w:pStyle w:val="ChartorTableNote"/>
        <w:rPr>
          <w:caps/>
        </w:rPr>
      </w:pPr>
      <w:r w:rsidRPr="00686BB9">
        <w:t xml:space="preserve">Source: </w:t>
      </w:r>
      <w:r w:rsidR="0090605D" w:rsidRPr="00686BB9">
        <w:t>ABS 2014</w:t>
      </w:r>
      <w:r w:rsidR="00B211A0" w:rsidRPr="00686BB9">
        <w:t>a</w:t>
      </w:r>
      <w:r w:rsidR="0090605D" w:rsidRPr="00686BB9">
        <w:t xml:space="preserve"> </w:t>
      </w:r>
      <w:r w:rsidR="00B211A0" w:rsidRPr="00686BB9">
        <w:t>&amp;</w:t>
      </w:r>
      <w:r w:rsidR="0090605D" w:rsidRPr="00686BB9">
        <w:t xml:space="preserve"> ABS 2016</w:t>
      </w:r>
      <w:r w:rsidR="00B211A0" w:rsidRPr="00686BB9">
        <w:t>b</w:t>
      </w:r>
      <w:r w:rsidR="0090605D" w:rsidRPr="00686BB9">
        <w:t>.</w:t>
      </w:r>
      <w:r w:rsidR="00F93488">
        <w:br w:type="page"/>
      </w:r>
    </w:p>
    <w:p w14:paraId="0EA48C35" w14:textId="77777777" w:rsidR="008A5743" w:rsidRPr="00F93488" w:rsidRDefault="008A5743" w:rsidP="004E1B97">
      <w:pPr>
        <w:pStyle w:val="Heading3Numbered"/>
      </w:pPr>
      <w:r w:rsidRPr="00F93488">
        <w:lastRenderedPageBreak/>
        <w:t xml:space="preserve">Net </w:t>
      </w:r>
      <w:r w:rsidR="00A9526C" w:rsidRPr="00F93488">
        <w:t>o</w:t>
      </w:r>
      <w:r w:rsidRPr="00F93488">
        <w:t xml:space="preserve">verseas </w:t>
      </w:r>
      <w:r w:rsidR="00A9526C" w:rsidRPr="00F93488">
        <w:t>m</w:t>
      </w:r>
      <w:r w:rsidRPr="00F93488">
        <w:t xml:space="preserve">igration </w:t>
      </w:r>
      <w:r w:rsidR="00350277" w:rsidRPr="00F93488">
        <w:t>has varied over time</w:t>
      </w:r>
    </w:p>
    <w:p w14:paraId="59A37A22" w14:textId="77777777" w:rsidR="008A5743" w:rsidRPr="008A5743" w:rsidRDefault="008A5743" w:rsidP="00385501">
      <w:r w:rsidRPr="008A5743">
        <w:t>Changes in natural increase are relatively straightforward since they involve changes to the same variable</w:t>
      </w:r>
      <w:r w:rsidR="00E50C62">
        <w:t xml:space="preserve"> — </w:t>
      </w:r>
      <w:r w:rsidRPr="008A5743">
        <w:t>the number of Australian</w:t>
      </w:r>
      <w:r w:rsidR="00327CBE">
        <w:t>-</w:t>
      </w:r>
      <w:r w:rsidRPr="008A5743">
        <w:t xml:space="preserve">born residents. However, NOM is </w:t>
      </w:r>
      <w:r w:rsidR="00674FCA">
        <w:t>more variable</w:t>
      </w:r>
      <w:r w:rsidR="00350277">
        <w:t xml:space="preserve">, </w:t>
      </w:r>
      <w:r w:rsidR="00674FCA">
        <w:t xml:space="preserve">fluctuating </w:t>
      </w:r>
      <w:r w:rsidRPr="008A5743">
        <w:t xml:space="preserve">over time with changes in policy, economic conditions and global movements of people. For this reason, NOM </w:t>
      </w:r>
      <w:r w:rsidR="00445399">
        <w:t>is</w:t>
      </w:r>
      <w:r w:rsidRPr="008A5743">
        <w:t xml:space="preserve"> covered in detail in </w:t>
      </w:r>
      <w:r w:rsidR="0029455E">
        <w:t>S</w:t>
      </w:r>
      <w:r w:rsidRPr="008A5743">
        <w:t xml:space="preserve">ection </w:t>
      </w:r>
      <w:r w:rsidR="0029455E">
        <w:t>5</w:t>
      </w:r>
      <w:r w:rsidRPr="008A5743">
        <w:t>.</w:t>
      </w:r>
      <w:bookmarkStart w:id="30" w:name="_Toc491694269"/>
      <w:bookmarkStart w:id="31" w:name="_Toc491694347"/>
      <w:bookmarkStart w:id="32" w:name="_Toc491694373"/>
      <w:bookmarkStart w:id="33" w:name="_Toc493227978"/>
      <w:bookmarkStart w:id="34" w:name="_Toc493250563"/>
      <w:bookmarkStart w:id="35" w:name="_Toc493510244"/>
      <w:bookmarkStart w:id="36" w:name="_Toc493511036"/>
      <w:bookmarkStart w:id="37" w:name="_Toc493511989"/>
      <w:bookmarkStart w:id="38" w:name="_Toc493543040"/>
      <w:bookmarkStart w:id="39" w:name="_Toc493543081"/>
      <w:bookmarkEnd w:id="30"/>
      <w:bookmarkEnd w:id="31"/>
      <w:bookmarkEnd w:id="32"/>
      <w:bookmarkEnd w:id="33"/>
      <w:bookmarkEnd w:id="34"/>
      <w:bookmarkEnd w:id="35"/>
      <w:bookmarkEnd w:id="36"/>
      <w:bookmarkEnd w:id="37"/>
      <w:bookmarkEnd w:id="38"/>
      <w:bookmarkEnd w:id="39"/>
    </w:p>
    <w:p w14:paraId="6F9162FC" w14:textId="77777777" w:rsidR="008A5743" w:rsidRPr="00F86CD4" w:rsidRDefault="00486346" w:rsidP="004E1B97">
      <w:pPr>
        <w:pStyle w:val="Heading2Numbered"/>
      </w:pPr>
      <w:bookmarkStart w:id="40" w:name="_Toc495402480"/>
      <w:r w:rsidRPr="00F86CD4">
        <w:t>Population trends across the States</w:t>
      </w:r>
      <w:bookmarkEnd w:id="40"/>
    </w:p>
    <w:p w14:paraId="378F4852" w14:textId="77777777" w:rsidR="00486346" w:rsidRDefault="00486346" w:rsidP="002427F4">
      <w:r>
        <w:t xml:space="preserve">Population trends have differed widely across the States and Territories (‘the States’) (Figure </w:t>
      </w:r>
      <w:r w:rsidR="00401F79">
        <w:t>6</w:t>
      </w:r>
      <w:r w:rsidR="000A07A2">
        <w:t>).</w:t>
      </w:r>
    </w:p>
    <w:p w14:paraId="0ED6457D" w14:textId="77777777" w:rsidR="00486346" w:rsidRDefault="00486346" w:rsidP="004E1B97">
      <w:pPr>
        <w:pStyle w:val="ChartMainHeading"/>
      </w:pPr>
      <w:r w:rsidRPr="00E50C62">
        <w:t xml:space="preserve">Figure </w:t>
      </w:r>
      <w:r w:rsidR="00C2275A">
        <w:t>6</w:t>
      </w:r>
      <w:r w:rsidRPr="00E50C62">
        <w:t>: Change in population by State, 1982 to 2016</w:t>
      </w:r>
    </w:p>
    <w:p w14:paraId="4D347BC4" w14:textId="2880735D" w:rsidR="00486346" w:rsidRDefault="00302A39" w:rsidP="005F3E79">
      <w:pPr>
        <w:pStyle w:val="ChartGraphic"/>
      </w:pPr>
      <w:r>
        <w:pict w14:anchorId="6B7CA986">
          <v:shape id="_x0000_i1031" type="#_x0000_t75" style="width:411.75pt;height:236.25pt">
            <v:imagedata r:id="rId52" o:title="" cropleft="1053f"/>
          </v:shape>
        </w:pict>
      </w:r>
    </w:p>
    <w:p w14:paraId="717CE03F" w14:textId="77777777" w:rsidR="00F93488" w:rsidRPr="004E1B97" w:rsidRDefault="00486346" w:rsidP="004E1B97">
      <w:pPr>
        <w:pStyle w:val="ChartorTableNote"/>
      </w:pPr>
      <w:r w:rsidRPr="002427F4">
        <w:t xml:space="preserve">Source: </w:t>
      </w:r>
      <w:r w:rsidR="00245BD9" w:rsidRPr="002427F4">
        <w:t>ABS</w:t>
      </w:r>
      <w:r w:rsidR="0015507F" w:rsidRPr="002427F4">
        <w:t xml:space="preserve"> 201</w:t>
      </w:r>
      <w:r w:rsidR="00B211A0" w:rsidRPr="002427F4">
        <w:t>7a</w:t>
      </w:r>
      <w:r w:rsidR="004E1B97">
        <w:t>.</w:t>
      </w:r>
    </w:p>
    <w:p w14:paraId="5EB3CD1E" w14:textId="77777777" w:rsidR="00486346" w:rsidRDefault="00486346" w:rsidP="00631304">
      <w:r>
        <w:t>As the most populous States, N</w:t>
      </w:r>
      <w:r w:rsidR="00C2275A">
        <w:t xml:space="preserve">ew </w:t>
      </w:r>
      <w:r>
        <w:t>S</w:t>
      </w:r>
      <w:r w:rsidR="00C2275A">
        <w:t xml:space="preserve">outh </w:t>
      </w:r>
      <w:r>
        <w:t>W</w:t>
      </w:r>
      <w:r w:rsidR="00C2275A">
        <w:t>ales</w:t>
      </w:r>
      <w:r>
        <w:t xml:space="preserve"> </w:t>
      </w:r>
      <w:r w:rsidR="00C2275A">
        <w:t>(</w:t>
      </w:r>
      <w:r>
        <w:t>NSW</w:t>
      </w:r>
      <w:r w:rsidR="00C2275A">
        <w:t>)</w:t>
      </w:r>
      <w:r>
        <w:t xml:space="preserve"> and Victoria’s population changes have most closely mirrored changes at the national level. </w:t>
      </w:r>
      <w:r w:rsidR="00384A12">
        <w:t>S</w:t>
      </w:r>
      <w:r w:rsidR="00CA1F94">
        <w:t xml:space="preserve">ince </w:t>
      </w:r>
      <w:r w:rsidR="00384A12">
        <w:t>1993</w:t>
      </w:r>
      <w:r w:rsidR="00CA1F94">
        <w:t xml:space="preserve"> for Victoria and </w:t>
      </w:r>
      <w:r w:rsidR="00384A12">
        <w:t>2004</w:t>
      </w:r>
      <w:r w:rsidR="00CA1F94">
        <w:t xml:space="preserve"> for NSW,</w:t>
      </w:r>
      <w:r>
        <w:t xml:space="preserve"> the trend has been for population to grow at an increasing rate</w:t>
      </w:r>
      <w:r w:rsidR="00384A12">
        <w:t>, notwithstanding some fluctuations such as the slower growth experienced around 2010</w:t>
      </w:r>
      <w:r>
        <w:t xml:space="preserve">. The </w:t>
      </w:r>
      <w:r w:rsidR="00C2275A">
        <w:t>Australian Capital Territory (</w:t>
      </w:r>
      <w:r>
        <w:t>ACT</w:t>
      </w:r>
      <w:r w:rsidR="00C2275A">
        <w:t>)</w:t>
      </w:r>
      <w:r>
        <w:t xml:space="preserve"> has also experienced strong growth. Despite only having a small population base, the ACT’s growth </w:t>
      </w:r>
      <w:r w:rsidR="002F5656">
        <w:t>rate</w:t>
      </w:r>
      <w:r>
        <w:t xml:space="preserve"> </w:t>
      </w:r>
      <w:r w:rsidR="00CD4094">
        <w:t>was</w:t>
      </w:r>
      <w:r>
        <w:t xml:space="preserve"> the strongest </w:t>
      </w:r>
      <w:r w:rsidR="00384A12">
        <w:t xml:space="preserve">on average </w:t>
      </w:r>
      <w:r>
        <w:t>of all the States between 2011 and 2016.</w:t>
      </w:r>
    </w:p>
    <w:p w14:paraId="32D0D7E2" w14:textId="77777777" w:rsidR="00DC7EB1" w:rsidRDefault="00486346" w:rsidP="00631304">
      <w:r>
        <w:t>Queensland</w:t>
      </w:r>
      <w:r w:rsidR="00DC7EB1">
        <w:t xml:space="preserve"> and</w:t>
      </w:r>
      <w:r w:rsidR="00D44B5A">
        <w:t xml:space="preserve"> </w:t>
      </w:r>
      <w:r>
        <w:t>W</w:t>
      </w:r>
      <w:r w:rsidR="00C2275A">
        <w:t xml:space="preserve">estern </w:t>
      </w:r>
      <w:r>
        <w:t>A</w:t>
      </w:r>
      <w:r w:rsidR="00C2275A">
        <w:t>ustralia (</w:t>
      </w:r>
      <w:r>
        <w:t>WA</w:t>
      </w:r>
      <w:r w:rsidR="00C2275A">
        <w:t>)</w:t>
      </w:r>
      <w:r>
        <w:t xml:space="preserve"> saw large increases in population during the mining boom</w:t>
      </w:r>
      <w:r w:rsidR="00674FCA">
        <w:t>, while S</w:t>
      </w:r>
      <w:r w:rsidR="00C2275A">
        <w:t xml:space="preserve">outh </w:t>
      </w:r>
      <w:r w:rsidR="00674FCA">
        <w:t>A</w:t>
      </w:r>
      <w:r w:rsidR="00C2275A">
        <w:t>ustralia (</w:t>
      </w:r>
      <w:r w:rsidR="00674FCA">
        <w:t>SA</w:t>
      </w:r>
      <w:r w:rsidR="00C2275A">
        <w:t>)</w:t>
      </w:r>
      <w:r w:rsidR="00674FCA">
        <w:t xml:space="preserve"> also saw smaller increases. </w:t>
      </w:r>
      <w:r w:rsidR="00856EFF">
        <w:t>Annual population g</w:t>
      </w:r>
      <w:r w:rsidR="00DC7EB1">
        <w:t xml:space="preserve">rowth in these States </w:t>
      </w:r>
      <w:r w:rsidR="00856EFF">
        <w:t xml:space="preserve">is </w:t>
      </w:r>
      <w:r w:rsidR="00DC7EB1">
        <w:t xml:space="preserve">now </w:t>
      </w:r>
      <w:r w:rsidR="00CD4094">
        <w:t>more in line with long</w:t>
      </w:r>
      <w:r w:rsidR="00CD4094">
        <w:noBreakHyphen/>
      </w:r>
      <w:r w:rsidR="00856EFF">
        <w:t>term</w:t>
      </w:r>
      <w:r w:rsidR="00DC7EB1">
        <w:t xml:space="preserve"> trend</w:t>
      </w:r>
      <w:r w:rsidR="00E45474">
        <w:t>s</w:t>
      </w:r>
      <w:r>
        <w:t>.</w:t>
      </w:r>
    </w:p>
    <w:p w14:paraId="10F6C6BB" w14:textId="77777777" w:rsidR="00486346" w:rsidRDefault="00DC7EB1" w:rsidP="00631304">
      <w:r>
        <w:t xml:space="preserve">Both Tasmania and the </w:t>
      </w:r>
      <w:r w:rsidR="00C2275A">
        <w:t>Northern Territory (</w:t>
      </w:r>
      <w:r>
        <w:t>NT</w:t>
      </w:r>
      <w:r w:rsidR="00C2275A">
        <w:t>)</w:t>
      </w:r>
      <w:r>
        <w:t xml:space="preserve"> have experienced fluctuations in population growth over time. </w:t>
      </w:r>
      <w:r w:rsidR="00193A36">
        <w:t>Currently, p</w:t>
      </w:r>
      <w:r w:rsidR="00FF1D7E">
        <w:t xml:space="preserve">opulation growth </w:t>
      </w:r>
      <w:r w:rsidR="00193A36">
        <w:t xml:space="preserve">appears to be picking up in Tasmania, while in </w:t>
      </w:r>
      <w:r w:rsidR="00FF1D7E">
        <w:t xml:space="preserve">the NT, </w:t>
      </w:r>
      <w:r w:rsidR="00193A36">
        <w:t>it</w:t>
      </w:r>
      <w:r w:rsidR="008814BD">
        <w:t> </w:t>
      </w:r>
      <w:r w:rsidR="00193A36">
        <w:t xml:space="preserve">remains </w:t>
      </w:r>
      <w:r w:rsidR="0079183F">
        <w:t>s</w:t>
      </w:r>
      <w:r w:rsidR="00193A36">
        <w:t>low</w:t>
      </w:r>
      <w:r w:rsidR="000A07A2">
        <w:t>.</w:t>
      </w:r>
    </w:p>
    <w:p w14:paraId="6632AE4D" w14:textId="77777777" w:rsidR="00486346" w:rsidRDefault="00486346" w:rsidP="00631304">
      <w:r w:rsidRPr="00E50C62">
        <w:t>The influence of the various population components</w:t>
      </w:r>
      <w:r>
        <w:t xml:space="preserve"> — </w:t>
      </w:r>
      <w:r w:rsidRPr="00E50C62">
        <w:t xml:space="preserve">natural increase, NOM, and </w:t>
      </w:r>
      <w:r>
        <w:t>net interstate migration (NIM) —</w:t>
      </w:r>
      <w:r w:rsidR="00434AA7">
        <w:t xml:space="preserve"> </w:t>
      </w:r>
      <w:r w:rsidRPr="00E50C62">
        <w:t>var</w:t>
      </w:r>
      <w:r w:rsidR="00D44B5A">
        <w:t>y</w:t>
      </w:r>
      <w:r w:rsidR="00DC7EB1">
        <w:t xml:space="preserve"> </w:t>
      </w:r>
      <w:r w:rsidRPr="00E50C62">
        <w:t xml:space="preserve">across </w:t>
      </w:r>
      <w:r>
        <w:t xml:space="preserve">the </w:t>
      </w:r>
      <w:r w:rsidRPr="00E50C62">
        <w:t>States.</w:t>
      </w:r>
    </w:p>
    <w:p w14:paraId="4155ACEB" w14:textId="77777777" w:rsidR="00827D31" w:rsidRDefault="007B55E5" w:rsidP="004E1B97">
      <w:pPr>
        <w:pStyle w:val="Heading3Numbered"/>
      </w:pPr>
      <w:r w:rsidRPr="00F86CD4">
        <w:lastRenderedPageBreak/>
        <w:t xml:space="preserve">Population trends are highly </w:t>
      </w:r>
      <w:r w:rsidRPr="00BA299D">
        <w:t>variable</w:t>
      </w:r>
      <w:r w:rsidRPr="00F86CD4">
        <w:t xml:space="preserve"> across the States</w:t>
      </w:r>
    </w:p>
    <w:tbl>
      <w:tblPr>
        <w:tblStyle w:val="TableGrid"/>
        <w:tblW w:w="0" w:type="auto"/>
        <w:tblInd w:w="-46"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
        <w:gridCol w:w="5090"/>
        <w:gridCol w:w="6"/>
        <w:gridCol w:w="4179"/>
      </w:tblGrid>
      <w:tr w:rsidR="007B55E5" w14:paraId="245018AE" w14:textId="77777777" w:rsidTr="00F93488">
        <w:trPr>
          <w:gridBefore w:val="1"/>
          <w:wBefore w:w="6" w:type="dxa"/>
        </w:trPr>
        <w:tc>
          <w:tcPr>
            <w:tcW w:w="5096" w:type="dxa"/>
            <w:gridSpan w:val="2"/>
            <w:shd w:val="clear" w:color="auto" w:fill="auto"/>
            <w:vAlign w:val="center"/>
          </w:tcPr>
          <w:p w14:paraId="0ED79142" w14:textId="7526A60F" w:rsidR="007B55E5" w:rsidRDefault="00302A39" w:rsidP="00BA299D">
            <w:pPr>
              <w:pStyle w:val="TableGraphic"/>
              <w:keepNext w:val="0"/>
              <w:jc w:val="left"/>
            </w:pPr>
            <w:r>
              <w:pict w14:anchorId="0023B6C0">
                <v:shape id="_x0000_i1032" type="#_x0000_t75" style="width:243.75pt;height:211.5pt">
                  <v:imagedata r:id="rId53" o:title="" cropleft="1234f"/>
                </v:shape>
              </w:pict>
            </w:r>
          </w:p>
        </w:tc>
        <w:tc>
          <w:tcPr>
            <w:tcW w:w="4179" w:type="dxa"/>
            <w:shd w:val="clear" w:color="auto" w:fill="auto"/>
            <w:vAlign w:val="center"/>
          </w:tcPr>
          <w:p w14:paraId="7EEC5B4D" w14:textId="77777777" w:rsidR="007B55E5" w:rsidRPr="00827D31" w:rsidRDefault="007B55E5" w:rsidP="0015687E">
            <w:pPr>
              <w:pStyle w:val="ChartGraphic-Text"/>
              <w:keepNext w:val="0"/>
              <w:spacing w:before="240"/>
            </w:pPr>
            <w:r w:rsidRPr="00827D31">
              <w:t>NSW’s population growth has been driven by natural increase and NOM</w:t>
            </w:r>
            <w:r w:rsidR="00193A36" w:rsidRPr="00827D31">
              <w:t>. B</w:t>
            </w:r>
            <w:r w:rsidRPr="00827D31">
              <w:t xml:space="preserve">oth </w:t>
            </w:r>
            <w:r w:rsidR="00193A36" w:rsidRPr="00827D31">
              <w:t xml:space="preserve">natural increase and NOM have been </w:t>
            </w:r>
            <w:r w:rsidR="00607B1E" w:rsidRPr="00827D31">
              <w:t>higher</w:t>
            </w:r>
            <w:r w:rsidRPr="00827D31">
              <w:t xml:space="preserve"> </w:t>
            </w:r>
            <w:r w:rsidR="00193A36" w:rsidRPr="00827D31">
              <w:t>on average</w:t>
            </w:r>
            <w:r w:rsidRPr="00827D31">
              <w:t xml:space="preserve"> over the last decade than during previous decades</w:t>
            </w:r>
            <w:r w:rsidR="00607B1E" w:rsidRPr="00827D31">
              <w:t xml:space="preserve"> but </w:t>
            </w:r>
            <w:r w:rsidR="000A07A2">
              <w:t>NOM has been particularly high.</w:t>
            </w:r>
          </w:p>
          <w:p w14:paraId="4C77A05E" w14:textId="77777777" w:rsidR="007B55E5" w:rsidRPr="00827D31" w:rsidRDefault="007B55E5" w:rsidP="00BA299D">
            <w:pPr>
              <w:pStyle w:val="ChartGraphic"/>
              <w:keepNext w:val="0"/>
              <w:spacing w:after="120"/>
              <w:ind w:left="33"/>
              <w:jc w:val="both"/>
              <w:rPr>
                <w:rFonts w:cs="Times New Roman"/>
                <w:bCs w:val="0"/>
                <w:color w:val="auto"/>
                <w:kern w:val="0"/>
                <w:szCs w:val="20"/>
                <w:lang w:val="en-US"/>
              </w:rPr>
            </w:pPr>
            <w:r w:rsidRPr="00827D31">
              <w:rPr>
                <w:rFonts w:cs="Times New Roman"/>
                <w:bCs w:val="0"/>
                <w:color w:val="auto"/>
                <w:kern w:val="0"/>
                <w:szCs w:val="20"/>
                <w:lang w:val="en-US"/>
              </w:rPr>
              <w:t xml:space="preserve">NSW has consistently had a net outflow of people to other States, but this outflow has lessened in the last decade presumably as some of </w:t>
            </w:r>
            <w:r w:rsidR="00827D31">
              <w:rPr>
                <w:rFonts w:cs="Times New Roman"/>
                <w:bCs w:val="0"/>
                <w:color w:val="auto"/>
                <w:kern w:val="0"/>
                <w:szCs w:val="20"/>
                <w:lang w:val="en-US"/>
              </w:rPr>
              <w:t>the mining boom flows reverse.</w:t>
            </w:r>
          </w:p>
        </w:tc>
      </w:tr>
      <w:tr w:rsidR="007B55E5" w14:paraId="3321BE0E" w14:textId="77777777" w:rsidTr="00F93488">
        <w:trPr>
          <w:gridBefore w:val="1"/>
          <w:wBefore w:w="6" w:type="dxa"/>
        </w:trPr>
        <w:tc>
          <w:tcPr>
            <w:tcW w:w="5096" w:type="dxa"/>
            <w:gridSpan w:val="2"/>
            <w:shd w:val="clear" w:color="auto" w:fill="auto"/>
            <w:vAlign w:val="center"/>
          </w:tcPr>
          <w:p w14:paraId="2FCF9F95" w14:textId="2E55D0D9" w:rsidR="007B55E5" w:rsidRDefault="00302A39" w:rsidP="00F14A56">
            <w:pPr>
              <w:pStyle w:val="TableGraphic"/>
              <w:keepNext w:val="0"/>
              <w:jc w:val="left"/>
            </w:pPr>
            <w:r>
              <w:pict w14:anchorId="2DD70E8C">
                <v:shape id="_x0000_i1033" type="#_x0000_t75" style="width:243.75pt;height:213.75pt">
                  <v:imagedata r:id="rId54" o:title="" cropleft="1234f"/>
                </v:shape>
              </w:pict>
            </w:r>
          </w:p>
        </w:tc>
        <w:tc>
          <w:tcPr>
            <w:tcW w:w="4179" w:type="dxa"/>
            <w:shd w:val="clear" w:color="auto" w:fill="auto"/>
            <w:vAlign w:val="center"/>
          </w:tcPr>
          <w:p w14:paraId="4B29DED6" w14:textId="77777777" w:rsidR="007B55E5" w:rsidRDefault="007B55E5" w:rsidP="0015687E">
            <w:pPr>
              <w:pStyle w:val="ChartGraphic-Text"/>
              <w:keepNext w:val="0"/>
              <w:spacing w:before="240"/>
            </w:pPr>
            <w:r>
              <w:t xml:space="preserve">Victoria is growing strongly. </w:t>
            </w:r>
            <w:r w:rsidRPr="00374D6A">
              <w:t>Annual</w:t>
            </w:r>
            <w:r>
              <w:t xml:space="preserve"> population</w:t>
            </w:r>
            <w:r w:rsidRPr="00374D6A">
              <w:t xml:space="preserve"> growth was 1</w:t>
            </w:r>
            <w:r w:rsidR="002535AB">
              <w:t>7</w:t>
            </w:r>
            <w:r w:rsidRPr="00374D6A">
              <w:t xml:space="preserve"> times higher in 2016 than it was at its low </w:t>
            </w:r>
            <w:r>
              <w:t xml:space="preserve">point </w:t>
            </w:r>
            <w:r w:rsidRPr="00374D6A">
              <w:t xml:space="preserve">in 1993. </w:t>
            </w:r>
            <w:r>
              <w:t>Victoria</w:t>
            </w:r>
            <w:r w:rsidR="002535AB">
              <w:t xml:space="preserve"> now has the highest annual population growth of any State, outpacing </w:t>
            </w:r>
            <w:r>
              <w:t xml:space="preserve">NSW </w:t>
            </w:r>
            <w:r w:rsidR="002535AB">
              <w:t>since 2011</w:t>
            </w:r>
            <w:r>
              <w:t>.</w:t>
            </w:r>
          </w:p>
          <w:p w14:paraId="20568B11" w14:textId="77777777" w:rsidR="007B55E5" w:rsidRDefault="007B55E5" w:rsidP="00177BEA">
            <w:pPr>
              <w:pStyle w:val="ChartGraphic-Text"/>
              <w:keepNext w:val="0"/>
            </w:pPr>
            <w:r w:rsidRPr="00374D6A">
              <w:t>Victoria is also the only State where all three population components</w:t>
            </w:r>
            <w:r>
              <w:t xml:space="preserve"> — </w:t>
            </w:r>
            <w:r w:rsidRPr="00374D6A">
              <w:t xml:space="preserve">natural increase, NOM and </w:t>
            </w:r>
            <w:r>
              <w:t>NIM</w:t>
            </w:r>
            <w:r w:rsidRPr="00374D6A">
              <w:t xml:space="preserve"> </w:t>
            </w:r>
            <w:r>
              <w:t xml:space="preserve">– </w:t>
            </w:r>
            <w:r w:rsidRPr="00374D6A">
              <w:t xml:space="preserve">are </w:t>
            </w:r>
            <w:r>
              <w:t xml:space="preserve">currently </w:t>
            </w:r>
            <w:r w:rsidRPr="00374D6A">
              <w:t>positive and</w:t>
            </w:r>
            <w:r w:rsidR="00177BEA">
              <w:t>, over the period 2010 to 2016,</w:t>
            </w:r>
            <w:r w:rsidRPr="00374D6A">
              <w:t xml:space="preserve"> growing at an increasing rate.</w:t>
            </w:r>
          </w:p>
        </w:tc>
      </w:tr>
      <w:tr w:rsidR="007B55E5" w14:paraId="5D235551" w14:textId="77777777" w:rsidTr="00F93488">
        <w:tc>
          <w:tcPr>
            <w:tcW w:w="5096" w:type="dxa"/>
            <w:gridSpan w:val="2"/>
            <w:shd w:val="clear" w:color="auto" w:fill="auto"/>
            <w:vAlign w:val="center"/>
          </w:tcPr>
          <w:p w14:paraId="3084DF60" w14:textId="16DAEB75" w:rsidR="007B55E5" w:rsidRPr="00827D31" w:rsidRDefault="00302A39" w:rsidP="00325A64">
            <w:pPr>
              <w:pStyle w:val="TableGraphic"/>
              <w:jc w:val="left"/>
            </w:pPr>
            <w:r>
              <w:pict w14:anchorId="58036F8A">
                <v:shape id="_x0000_i1034" type="#_x0000_t75" style="width:243pt;height:207.75pt">
                  <v:imagedata r:id="rId55" o:title="" cropleft="1234f"/>
                </v:shape>
              </w:pict>
            </w:r>
          </w:p>
        </w:tc>
        <w:tc>
          <w:tcPr>
            <w:tcW w:w="4185" w:type="dxa"/>
            <w:gridSpan w:val="2"/>
            <w:shd w:val="clear" w:color="auto" w:fill="auto"/>
            <w:vAlign w:val="center"/>
          </w:tcPr>
          <w:p w14:paraId="747A39DE" w14:textId="77777777" w:rsidR="007B55E5" w:rsidRDefault="007B55E5" w:rsidP="0015687E">
            <w:pPr>
              <w:pStyle w:val="ChartGraphic-Text"/>
              <w:spacing w:before="240"/>
            </w:pPr>
            <w:r>
              <w:t>Queensland is the only State where all three</w:t>
            </w:r>
            <w:r w:rsidR="003905E4">
              <w:t> </w:t>
            </w:r>
            <w:r>
              <w:t>population components have been consistently posit</w:t>
            </w:r>
            <w:r w:rsidR="000A07A2">
              <w:t xml:space="preserve">ive over the last </w:t>
            </w:r>
            <w:r w:rsidR="00DB0988">
              <w:t>30</w:t>
            </w:r>
            <w:r w:rsidR="000A07A2">
              <w:t xml:space="preserve"> years.</w:t>
            </w:r>
          </w:p>
          <w:p w14:paraId="100AEB3E" w14:textId="77777777" w:rsidR="007B55E5" w:rsidRDefault="007B55E5" w:rsidP="00827D31">
            <w:pPr>
              <w:pStyle w:val="ChartGraphic-Text"/>
            </w:pPr>
            <w:r>
              <w:t xml:space="preserve">Despite this, </w:t>
            </w:r>
            <w:r w:rsidR="006441D3">
              <w:t xml:space="preserve">annual growth in </w:t>
            </w:r>
            <w:r w:rsidRPr="001D1B2F">
              <w:t>all three</w:t>
            </w:r>
            <w:r w:rsidR="00BA299D">
              <w:t> </w:t>
            </w:r>
            <w:r w:rsidRPr="001D1B2F">
              <w:t xml:space="preserve">components </w:t>
            </w:r>
            <w:r w:rsidR="006441D3">
              <w:t xml:space="preserve">has </w:t>
            </w:r>
            <w:r w:rsidRPr="001D1B2F">
              <w:t>slow</w:t>
            </w:r>
            <w:r w:rsidR="006441D3">
              <w:t>ed since the mid</w:t>
            </w:r>
            <w:r w:rsidR="006441D3">
              <w:noBreakHyphen/>
              <w:t>2000s</w:t>
            </w:r>
            <w:r w:rsidR="006441D3">
              <w:rPr>
                <w:vertAlign w:val="superscript"/>
              </w:rPr>
              <w:t xml:space="preserve"> </w:t>
            </w:r>
            <w:r w:rsidR="006441D3">
              <w:t xml:space="preserve">with a consequential </w:t>
            </w:r>
            <w:r w:rsidRPr="001D1B2F">
              <w:t>slowing</w:t>
            </w:r>
            <w:r w:rsidR="006441D3">
              <w:t xml:space="preserve"> of Queensland’s population growth</w:t>
            </w:r>
            <w:r w:rsidRPr="001D1B2F">
              <w:t>.</w:t>
            </w:r>
          </w:p>
          <w:p w14:paraId="0DEF6B17" w14:textId="77777777" w:rsidR="007B55E5" w:rsidRDefault="007B55E5" w:rsidP="00827D31">
            <w:pPr>
              <w:pStyle w:val="ChartGraphic-Text"/>
            </w:pPr>
            <w:r>
              <w:t>NIM</w:t>
            </w:r>
            <w:r w:rsidRPr="001D1B2F">
              <w:t xml:space="preserve"> has historically been </w:t>
            </w:r>
            <w:r>
              <w:t xml:space="preserve">high, particularly compared to other States, but has </w:t>
            </w:r>
            <w:r w:rsidRPr="001D1B2F">
              <w:t>t</w:t>
            </w:r>
            <w:r w:rsidR="000A07A2">
              <w:t>ailed off over the last decade.</w:t>
            </w:r>
          </w:p>
          <w:p w14:paraId="34EC025C" w14:textId="77777777" w:rsidR="007B55E5" w:rsidRDefault="007B55E5" w:rsidP="00827D31">
            <w:pPr>
              <w:pStyle w:val="ChartGraphic-Text"/>
            </w:pPr>
            <w:r w:rsidRPr="001D1B2F">
              <w:t xml:space="preserve">NOM increased markedly </w:t>
            </w:r>
            <w:r>
              <w:t>from the mid</w:t>
            </w:r>
            <w:r>
              <w:noBreakHyphen/>
              <w:t xml:space="preserve">1990s, </w:t>
            </w:r>
            <w:r w:rsidRPr="001D1B2F">
              <w:t xml:space="preserve">but has since come off the highs of the late 2000s. Natural increase </w:t>
            </w:r>
            <w:r w:rsidR="00361B3E">
              <w:t>has been higher since the mid</w:t>
            </w:r>
            <w:r w:rsidR="00361B3E">
              <w:noBreakHyphen/>
              <w:t xml:space="preserve">2000s than during previous decades shown, despite </w:t>
            </w:r>
            <w:r w:rsidR="00946386">
              <w:t>slowing</w:t>
            </w:r>
            <w:r w:rsidR="00361B3E">
              <w:t xml:space="preserve"> slightly in recent years</w:t>
            </w:r>
            <w:r w:rsidRPr="001D1B2F">
              <w:t>.</w:t>
            </w:r>
          </w:p>
        </w:tc>
      </w:tr>
    </w:tbl>
    <w:p w14:paraId="2F8CF2B9" w14:textId="77777777" w:rsidR="00F93488" w:rsidRDefault="00F93488">
      <w:pPr>
        <w:rPr>
          <w:bCs/>
        </w:rPr>
      </w:pPr>
      <w:r>
        <w:rPr>
          <w:bCs/>
        </w:rPr>
        <w:br w:type="page"/>
      </w:r>
    </w:p>
    <w:p w14:paraId="4D486512" w14:textId="77777777" w:rsidR="00F93488" w:rsidRPr="008814BD" w:rsidRDefault="00F93488" w:rsidP="00F93488">
      <w:pPr>
        <w:pStyle w:val="TableHeadingContinued"/>
      </w:pPr>
      <w:r w:rsidRPr="008814BD">
        <w:lastRenderedPageBreak/>
        <w:t>3.1</w:t>
      </w:r>
      <w:r w:rsidRPr="008814BD">
        <w:tab/>
        <w:t>Population trends are highly variable across the States (continued)</w:t>
      </w:r>
    </w:p>
    <w:tbl>
      <w:tblPr>
        <w:tblStyle w:val="TableGrid"/>
        <w:tblW w:w="0" w:type="auto"/>
        <w:tblInd w:w="-46"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96"/>
        <w:gridCol w:w="4185"/>
      </w:tblGrid>
      <w:tr w:rsidR="007B55E5" w14:paraId="6147E349" w14:textId="77777777" w:rsidTr="00F93488">
        <w:tc>
          <w:tcPr>
            <w:tcW w:w="5096" w:type="dxa"/>
            <w:shd w:val="clear" w:color="auto" w:fill="auto"/>
            <w:vAlign w:val="center"/>
          </w:tcPr>
          <w:p w14:paraId="6D5A306A" w14:textId="7ABDBEFA" w:rsidR="007B55E5" w:rsidRDefault="009E1A5E" w:rsidP="00BA299D">
            <w:pPr>
              <w:pStyle w:val="ChartGraphic"/>
              <w:jc w:val="left"/>
            </w:pPr>
            <w:r>
              <w:pict w14:anchorId="0622A918">
                <v:shape id="_x0000_i1035" type="#_x0000_t75" style="width:243pt;height:218.25pt">
                  <v:imagedata r:id="rId56" o:title="" cropleft="1234f"/>
                </v:shape>
              </w:pict>
            </w:r>
          </w:p>
        </w:tc>
        <w:tc>
          <w:tcPr>
            <w:tcW w:w="4185" w:type="dxa"/>
            <w:shd w:val="clear" w:color="auto" w:fill="auto"/>
            <w:vAlign w:val="center"/>
          </w:tcPr>
          <w:p w14:paraId="38003A49" w14:textId="77777777" w:rsidR="007B55E5" w:rsidRPr="001D1B2F" w:rsidRDefault="007B55E5" w:rsidP="0015687E">
            <w:pPr>
              <w:pStyle w:val="ChartGraphic-Text"/>
              <w:spacing w:before="240"/>
            </w:pPr>
            <w:r w:rsidRPr="001D1B2F">
              <w:t>WA</w:t>
            </w:r>
            <w:r>
              <w:t>’</w:t>
            </w:r>
            <w:r w:rsidRPr="001D1B2F">
              <w:t>s population growth, like Q</w:t>
            </w:r>
            <w:r>
              <w:t>ueensland’</w:t>
            </w:r>
            <w:r w:rsidRPr="001D1B2F">
              <w:t xml:space="preserve">s, appears to be </w:t>
            </w:r>
            <w:r w:rsidR="00946386">
              <w:t xml:space="preserve">closer </w:t>
            </w:r>
            <w:r w:rsidRPr="001D1B2F">
              <w:t xml:space="preserve">to trend </w:t>
            </w:r>
            <w:r w:rsidR="004733AD">
              <w:t>following</w:t>
            </w:r>
            <w:r>
              <w:t xml:space="preserve"> </w:t>
            </w:r>
            <w:r w:rsidRPr="001D1B2F">
              <w:t>high population growth during the mining boom. Since WA</w:t>
            </w:r>
            <w:r>
              <w:t>’</w:t>
            </w:r>
            <w:r w:rsidRPr="001D1B2F">
              <w:t>s trend population growth was even lower than Q</w:t>
            </w:r>
            <w:r>
              <w:t>ueensland’s</w:t>
            </w:r>
            <w:r w:rsidRPr="001D1B2F">
              <w:t xml:space="preserve">, falls in </w:t>
            </w:r>
            <w:r>
              <w:t xml:space="preserve">WA’s </w:t>
            </w:r>
            <w:r w:rsidRPr="001D1B2F">
              <w:t>growth</w:t>
            </w:r>
            <w:r>
              <w:t xml:space="preserve"> </w:t>
            </w:r>
            <w:r w:rsidR="000A07A2">
              <w:t>have been even more marked.</w:t>
            </w:r>
          </w:p>
          <w:p w14:paraId="7BC8CC05" w14:textId="77777777" w:rsidR="007B55E5" w:rsidRDefault="007B55E5" w:rsidP="00F14A56">
            <w:pPr>
              <w:pStyle w:val="ChartGraphic-Text"/>
            </w:pPr>
            <w:r w:rsidRPr="001D1B2F">
              <w:t xml:space="preserve">Natural increase has not </w:t>
            </w:r>
            <w:r w:rsidR="00946386">
              <w:t>slowed</w:t>
            </w:r>
            <w:r w:rsidRPr="001D1B2F">
              <w:t xml:space="preserve"> </w:t>
            </w:r>
            <w:r w:rsidR="00946386">
              <w:t>much</w:t>
            </w:r>
            <w:r w:rsidRPr="001D1B2F">
              <w:t xml:space="preserve"> but annual NOM</w:t>
            </w:r>
            <w:r>
              <w:t xml:space="preserve"> growth</w:t>
            </w:r>
            <w:r w:rsidRPr="001D1B2F">
              <w:t xml:space="preserve"> has slowed to be </w:t>
            </w:r>
            <w:r w:rsidR="004733AD">
              <w:t>more than</w:t>
            </w:r>
            <w:r w:rsidRPr="001D1B2F">
              <w:t xml:space="preserve"> 70 per cent lower </w:t>
            </w:r>
            <w:r w:rsidR="00946386">
              <w:t xml:space="preserve">in 2016 </w:t>
            </w:r>
            <w:r w:rsidRPr="001D1B2F">
              <w:t>than</w:t>
            </w:r>
            <w:r>
              <w:t xml:space="preserve"> at</w:t>
            </w:r>
            <w:r w:rsidRPr="001D1B2F">
              <w:t xml:space="preserve"> its 2008</w:t>
            </w:r>
            <w:r w:rsidR="00F14A56">
              <w:t> </w:t>
            </w:r>
            <w:r w:rsidR="00D44B5A">
              <w:t>peak</w:t>
            </w:r>
            <w:r w:rsidRPr="001D1B2F">
              <w:t xml:space="preserve">. </w:t>
            </w:r>
            <w:r>
              <w:t>NIM</w:t>
            </w:r>
            <w:r w:rsidRPr="001D1B2F">
              <w:t xml:space="preserve"> has never been a big component of WA</w:t>
            </w:r>
            <w:r>
              <w:t>’s</w:t>
            </w:r>
            <w:r w:rsidRPr="001D1B2F">
              <w:t xml:space="preserve"> population change but is now negative.</w:t>
            </w:r>
          </w:p>
        </w:tc>
      </w:tr>
      <w:tr w:rsidR="007B55E5" w:rsidRPr="001D1B2F" w14:paraId="719BAB8E" w14:textId="77777777" w:rsidTr="00F93488">
        <w:tc>
          <w:tcPr>
            <w:tcW w:w="5096" w:type="dxa"/>
            <w:shd w:val="clear" w:color="auto" w:fill="auto"/>
            <w:vAlign w:val="center"/>
          </w:tcPr>
          <w:p w14:paraId="1DE750F2" w14:textId="17B521E2" w:rsidR="007B55E5" w:rsidRDefault="009E1A5E" w:rsidP="00325A64">
            <w:pPr>
              <w:pStyle w:val="ChartGraphic"/>
              <w:jc w:val="left"/>
            </w:pPr>
            <w:r>
              <w:pict w14:anchorId="6F0B186E">
                <v:shape id="_x0000_i1036" type="#_x0000_t75" style="width:239.25pt;height:227.25pt">
                  <v:imagedata r:id="rId57" o:title="" cropleft="1234f" cropright="411f"/>
                </v:shape>
              </w:pict>
            </w:r>
          </w:p>
        </w:tc>
        <w:tc>
          <w:tcPr>
            <w:tcW w:w="4185" w:type="dxa"/>
            <w:shd w:val="clear" w:color="auto" w:fill="auto"/>
            <w:vAlign w:val="center"/>
          </w:tcPr>
          <w:p w14:paraId="4E191D32" w14:textId="77777777" w:rsidR="007B55E5" w:rsidRDefault="007B55E5" w:rsidP="0015687E">
            <w:pPr>
              <w:pStyle w:val="ChartGraphic-Text"/>
              <w:spacing w:before="240"/>
            </w:pPr>
            <w:r w:rsidRPr="001D1B2F">
              <w:t>The predominant change to SA</w:t>
            </w:r>
            <w:r>
              <w:t>’</w:t>
            </w:r>
            <w:r w:rsidRPr="001D1B2F">
              <w:t>s population story</w:t>
            </w:r>
            <w:r>
              <w:t xml:space="preserve"> </w:t>
            </w:r>
            <w:r w:rsidRPr="001D1B2F">
              <w:t xml:space="preserve">is </w:t>
            </w:r>
            <w:r>
              <w:t>an</w:t>
            </w:r>
            <w:r w:rsidRPr="001D1B2F">
              <w:t xml:space="preserve"> increase in NOM</w:t>
            </w:r>
            <w:r>
              <w:t xml:space="preserve">, which despite levelling off is still higher than in </w:t>
            </w:r>
            <w:r w:rsidRPr="001D1B2F">
              <w:t xml:space="preserve">previous decades. </w:t>
            </w:r>
            <w:r>
              <w:t>In 2016, the NOM share of SA’s population growth was the highest of any State.</w:t>
            </w:r>
          </w:p>
          <w:p w14:paraId="3481D35E" w14:textId="77777777" w:rsidR="007B55E5" w:rsidRDefault="00CD06F8" w:rsidP="00827D31">
            <w:pPr>
              <w:pStyle w:val="ChartGraphic-Text"/>
            </w:pPr>
            <w:r>
              <w:t>N</w:t>
            </w:r>
            <w:r w:rsidR="007B55E5" w:rsidRPr="001D1B2F">
              <w:t xml:space="preserve">atural increase </w:t>
            </w:r>
            <w:r>
              <w:t>in SA, like in Tasmania,</w:t>
            </w:r>
            <w:r w:rsidR="007B55E5" w:rsidRPr="001D1B2F">
              <w:t xml:space="preserve"> is now lowe</w:t>
            </w:r>
            <w:r w:rsidR="000A07A2">
              <w:t>r than it was in the early 80s.</w:t>
            </w:r>
          </w:p>
          <w:p w14:paraId="73968C92" w14:textId="77777777" w:rsidR="007B55E5" w:rsidRPr="001D1B2F" w:rsidRDefault="007B55E5" w:rsidP="00827D31">
            <w:pPr>
              <w:pStyle w:val="ChartGraphic-Text"/>
            </w:pPr>
            <w:r w:rsidRPr="001D1B2F">
              <w:t>Apart from three years,</w:t>
            </w:r>
            <w:r>
              <w:t xml:space="preserve"> NIM has been negative </w:t>
            </w:r>
            <w:r w:rsidR="00D44B5A">
              <w:t xml:space="preserve">over the period shown, </w:t>
            </w:r>
            <w:r>
              <w:t xml:space="preserve">due to </w:t>
            </w:r>
            <w:r w:rsidR="00D44B5A">
              <w:t>a</w:t>
            </w:r>
            <w:r w:rsidRPr="001D1B2F">
              <w:t xml:space="preserve"> net outflow of people.</w:t>
            </w:r>
          </w:p>
        </w:tc>
      </w:tr>
      <w:tr w:rsidR="007B55E5" w:rsidRPr="001D1B2F" w14:paraId="75ACCF31" w14:textId="77777777" w:rsidTr="00F93488">
        <w:tblPrEx>
          <w:tblBorders>
            <w:insideH w:val="none" w:sz="0" w:space="0" w:color="auto"/>
          </w:tblBorders>
        </w:tblPrEx>
        <w:tc>
          <w:tcPr>
            <w:tcW w:w="5096" w:type="dxa"/>
            <w:shd w:val="clear" w:color="auto" w:fill="auto"/>
            <w:vAlign w:val="center"/>
          </w:tcPr>
          <w:p w14:paraId="7C1163CA" w14:textId="314259B1" w:rsidR="007B55E5" w:rsidRPr="00381B47" w:rsidRDefault="009E1A5E" w:rsidP="00325A64">
            <w:pPr>
              <w:pStyle w:val="ChartGraphic"/>
              <w:jc w:val="left"/>
              <w:rPr>
                <w:noProof/>
                <w:highlight w:val="yellow"/>
              </w:rPr>
            </w:pPr>
            <w:r>
              <w:rPr>
                <w:noProof/>
                <w:highlight w:val="yellow"/>
              </w:rPr>
              <w:pict w14:anchorId="654F60D3">
                <v:shape id="_x0000_i1037" type="#_x0000_t75" style="width:239.25pt;height:219pt">
                  <v:imagedata r:id="rId58" o:title="" cropleft="1234f" cropright="411f"/>
                </v:shape>
              </w:pict>
            </w:r>
          </w:p>
        </w:tc>
        <w:tc>
          <w:tcPr>
            <w:tcW w:w="4185" w:type="dxa"/>
            <w:shd w:val="clear" w:color="auto" w:fill="auto"/>
            <w:vAlign w:val="center"/>
          </w:tcPr>
          <w:p w14:paraId="422E2A4E" w14:textId="77777777" w:rsidR="007B55E5" w:rsidRPr="00F7487C" w:rsidRDefault="007B55E5" w:rsidP="0015687E">
            <w:pPr>
              <w:pStyle w:val="ChartGraphic-Text"/>
              <w:spacing w:before="240"/>
            </w:pPr>
            <w:r>
              <w:t>Tasmania’s</w:t>
            </w:r>
            <w:r w:rsidRPr="00F7487C">
              <w:t xml:space="preserve"> population growth</w:t>
            </w:r>
            <w:r>
              <w:t xml:space="preserve"> </w:t>
            </w:r>
            <w:r w:rsidR="001E2ADF">
              <w:t>decreased</w:t>
            </w:r>
            <w:r w:rsidRPr="00F7487C">
              <w:t xml:space="preserve"> from 2008 to 2015, but in 2016 a swing from negative to positive NIM, in addition to a slight uptick in natural increase, saw</w:t>
            </w:r>
            <w:r>
              <w:t xml:space="preserve"> </w:t>
            </w:r>
            <w:r w:rsidRPr="00F7487C">
              <w:t>population growth</w:t>
            </w:r>
            <w:r>
              <w:t xml:space="preserve"> </w:t>
            </w:r>
            <w:r w:rsidRPr="00F7487C">
              <w:t>increase.</w:t>
            </w:r>
          </w:p>
          <w:p w14:paraId="0019B7CC" w14:textId="77777777" w:rsidR="007B55E5" w:rsidRDefault="007B55E5" w:rsidP="00827D31">
            <w:pPr>
              <w:pStyle w:val="ChartGraphic-Text"/>
            </w:pPr>
            <w:r w:rsidRPr="00F7487C">
              <w:t>NIM has been the most volatile component of T</w:t>
            </w:r>
            <w:r>
              <w:t>asmania</w:t>
            </w:r>
            <w:r w:rsidRPr="00F7487C">
              <w:t>’s population growth. From 1992 to 2001, and again from 2011 to 2</w:t>
            </w:r>
            <w:r>
              <w:t>015, NIM was negative and relatively large compared to</w:t>
            </w:r>
            <w:r w:rsidRPr="00F7487C">
              <w:t xml:space="preserve"> the offsetting </w:t>
            </w:r>
            <w:r>
              <w:t>positive impact of</w:t>
            </w:r>
            <w:r w:rsidRPr="00F7487C">
              <w:t xml:space="preserve"> NOM and natural increase.</w:t>
            </w:r>
          </w:p>
        </w:tc>
      </w:tr>
    </w:tbl>
    <w:p w14:paraId="019592F3" w14:textId="77777777" w:rsidR="00BA299D" w:rsidRDefault="00BA299D" w:rsidP="00BA299D">
      <w:pPr>
        <w:pStyle w:val="SingleParagraph"/>
      </w:pPr>
    </w:p>
    <w:p w14:paraId="62333709" w14:textId="77777777" w:rsidR="00486346" w:rsidRPr="009C65FE" w:rsidRDefault="00486346" w:rsidP="002427F4">
      <w:pPr>
        <w:pStyle w:val="Heading2Numbered"/>
      </w:pPr>
      <w:bookmarkStart w:id="41" w:name="_Toc495402481"/>
      <w:r w:rsidRPr="00D415F9">
        <w:lastRenderedPageBreak/>
        <w:t>Distribution of Australia’s population</w:t>
      </w:r>
      <w:r w:rsidR="008E33F9" w:rsidRPr="00603AFB">
        <w:rPr>
          <w:rStyle w:val="FootnoteReference"/>
          <w:sz w:val="36"/>
        </w:rPr>
        <w:footnoteReference w:id="2"/>
      </w:r>
      <w:bookmarkEnd w:id="41"/>
    </w:p>
    <w:p w14:paraId="61D34E67" w14:textId="77777777" w:rsidR="00A35DF8" w:rsidRDefault="00DB30C1" w:rsidP="00385501">
      <w:r>
        <w:t>Population trends have not only varied across the States</w:t>
      </w:r>
      <w:r w:rsidR="00D90CE6">
        <w:t>, but</w:t>
      </w:r>
      <w:r w:rsidR="00F758C4">
        <w:t xml:space="preserve"> the variation has been even more significant at the sub</w:t>
      </w:r>
      <w:r w:rsidR="00F758C4">
        <w:noBreakHyphen/>
        <w:t>state level</w:t>
      </w:r>
      <w:r w:rsidR="005270B7">
        <w:t>.</w:t>
      </w:r>
      <w:r w:rsidR="0071226C">
        <w:t xml:space="preserve"> </w:t>
      </w:r>
      <w:r w:rsidR="00F758C4">
        <w:t>Australia’s capital cities</w:t>
      </w:r>
      <w:r w:rsidR="00DE0EDC">
        <w:t>, with the exception of Adelaide and Hobart,</w:t>
      </w:r>
      <w:r w:rsidR="00F758C4">
        <w:t xml:space="preserve"> have experienced particularly strong growth</w:t>
      </w:r>
      <w:r w:rsidR="00DE0EDC">
        <w:t xml:space="preserve">. </w:t>
      </w:r>
      <w:r w:rsidR="00D90CE6">
        <w:t xml:space="preserve">Between 1996 and 2016, the population </w:t>
      </w:r>
      <w:r w:rsidR="00DE0EDC">
        <w:t xml:space="preserve">across Australia’s capital cities </w:t>
      </w:r>
      <w:r w:rsidR="005E6AD4">
        <w:t>grew</w:t>
      </w:r>
      <w:r w:rsidR="00D90CE6">
        <w:t xml:space="preserve"> by</w:t>
      </w:r>
      <w:r w:rsidR="005E6AD4">
        <w:t xml:space="preserve"> </w:t>
      </w:r>
      <w:r w:rsidR="00F758C4">
        <w:t>37 per cent</w:t>
      </w:r>
      <w:r w:rsidR="00C03E3F">
        <w:t xml:space="preserve"> on average</w:t>
      </w:r>
      <w:r w:rsidR="00F758C4">
        <w:t>. Growth in regional areas was lower at 2</w:t>
      </w:r>
      <w:r w:rsidR="00931CFD">
        <w:t>4</w:t>
      </w:r>
      <w:r w:rsidR="008D3795">
        <w:t> </w:t>
      </w:r>
      <w:r w:rsidR="00F758C4">
        <w:t>per cent on average, although</w:t>
      </w:r>
      <w:r w:rsidR="004F766C">
        <w:t xml:space="preserve"> this average masks significant variation from </w:t>
      </w:r>
      <w:r w:rsidR="008D3795">
        <w:t>80</w:t>
      </w:r>
      <w:r w:rsidR="004F766C">
        <w:t xml:space="preserve"> per cent growth on the Gold Coast to negative </w:t>
      </w:r>
      <w:r w:rsidR="008D3795">
        <w:t>5.6</w:t>
      </w:r>
      <w:r w:rsidR="004F766C">
        <w:t xml:space="preserve"> per cent in </w:t>
      </w:r>
      <w:r w:rsidR="008D3795">
        <w:t>far west N</w:t>
      </w:r>
      <w:r w:rsidR="004733AD">
        <w:t>SW</w:t>
      </w:r>
      <w:r w:rsidR="004F766C">
        <w:t>.</w:t>
      </w:r>
      <w:r w:rsidR="00F758C4">
        <w:t xml:space="preserve"> </w:t>
      </w:r>
      <w:r w:rsidR="00DE0EDC">
        <w:t xml:space="preserve">Higher growth, on average, in Australia’s capital cities compared to </w:t>
      </w:r>
      <w:r w:rsidR="00CA1F94">
        <w:t>regional Australia</w:t>
      </w:r>
      <w:r w:rsidR="00DE0EDC">
        <w:t xml:space="preserve"> has meant that </w:t>
      </w:r>
      <w:r w:rsidR="00AD5DEF">
        <w:t>by 2016</w:t>
      </w:r>
      <w:r w:rsidR="00A0793E">
        <w:t>,</w:t>
      </w:r>
      <w:r w:rsidR="00AD5DEF">
        <w:t xml:space="preserve"> </w:t>
      </w:r>
      <w:r w:rsidR="00DE0EDC">
        <w:t>67 per cent of the population live</w:t>
      </w:r>
      <w:r w:rsidR="00AD5DEF">
        <w:t>d</w:t>
      </w:r>
      <w:r w:rsidR="00DE0EDC">
        <w:t xml:space="preserve"> in capital cities, compared to 6</w:t>
      </w:r>
      <w:r w:rsidR="008D3795">
        <w:t>5</w:t>
      </w:r>
      <w:r w:rsidR="003905E4">
        <w:t> </w:t>
      </w:r>
      <w:r w:rsidR="00DE0EDC">
        <w:t>per</w:t>
      </w:r>
      <w:r w:rsidR="003905E4">
        <w:t> </w:t>
      </w:r>
      <w:r w:rsidR="000A07A2">
        <w:t>cent in 1996.</w:t>
      </w:r>
    </w:p>
    <w:p w14:paraId="0273AD93" w14:textId="77777777" w:rsidR="00121C81" w:rsidRPr="00F86CD4" w:rsidRDefault="00121C81" w:rsidP="002427F4">
      <w:pPr>
        <w:pStyle w:val="Heading3Numbered"/>
      </w:pPr>
      <w:r w:rsidRPr="00F86CD4">
        <w:t>Pop</w:t>
      </w:r>
      <w:r w:rsidR="007B55E5" w:rsidRPr="00F86CD4">
        <w:t xml:space="preserve">ulation growth is concentrated </w:t>
      </w:r>
      <w:r w:rsidRPr="00F86CD4">
        <w:t>in capital cities</w:t>
      </w:r>
    </w:p>
    <w:p w14:paraId="2AD67FF3" w14:textId="77777777" w:rsidR="00350897" w:rsidRDefault="00350897" w:rsidP="00350897">
      <w:r>
        <w:t>Australia is, and has been for most of its history, a highly urbanised country (BITRE 2014). However, the proportion of people concentrated in cities, and particularly capital cities, is larger now than at any time in history. In 1911, the eight capital cities accounted for nearly 40 per cent of the population; by 1944 more than half of the population, and by 1996 almost two</w:t>
      </w:r>
      <w:r>
        <w:noBreakHyphen/>
        <w:t>thirds (ABS 2014</w:t>
      </w:r>
      <w:r w:rsidR="00B211A0">
        <w:t>a</w:t>
      </w:r>
      <w:r w:rsidR="000A07A2">
        <w:t>).</w:t>
      </w:r>
    </w:p>
    <w:p w14:paraId="01F752D1" w14:textId="77777777" w:rsidR="00121C81" w:rsidRDefault="00350897" w:rsidP="00350897">
      <w:r>
        <w:t xml:space="preserve">Between 1996 and 2016, </w:t>
      </w:r>
      <w:r w:rsidR="00121C81" w:rsidRPr="00121C81">
        <w:t>Australia’s population increased by more th</w:t>
      </w:r>
      <w:r w:rsidR="005F528A">
        <w:t>an 6 million people</w:t>
      </w:r>
      <w:r w:rsidR="009B3592">
        <w:t>,</w:t>
      </w:r>
      <w:r w:rsidR="00121C81" w:rsidRPr="00121C81">
        <w:t xml:space="preserve"> </w:t>
      </w:r>
      <w:r w:rsidR="0071226C">
        <w:t>with</w:t>
      </w:r>
      <w:r w:rsidR="00121C81" w:rsidRPr="00121C81">
        <w:t xml:space="preserve"> capital cities account</w:t>
      </w:r>
      <w:r w:rsidR="0071226C">
        <w:t>ing</w:t>
      </w:r>
      <w:r w:rsidR="00121C81" w:rsidRPr="00121C81">
        <w:t xml:space="preserve"> for 75 per cent of </w:t>
      </w:r>
      <w:r w:rsidR="003021CA">
        <w:t>th</w:t>
      </w:r>
      <w:r w:rsidR="002A3C57">
        <w:t>is</w:t>
      </w:r>
      <w:r w:rsidR="0071226C">
        <w:t xml:space="preserve"> increase</w:t>
      </w:r>
      <w:r w:rsidR="00121C81" w:rsidRPr="00121C81">
        <w:t xml:space="preserve">. </w:t>
      </w:r>
      <w:r>
        <w:t>In total</w:t>
      </w:r>
      <w:r w:rsidR="006E7B7A">
        <w:t xml:space="preserve">, </w:t>
      </w:r>
      <w:r w:rsidR="00B947DD">
        <w:t xml:space="preserve">Australia’s </w:t>
      </w:r>
      <w:r w:rsidR="006E7B7A">
        <w:t xml:space="preserve">capital cities grew by 4.2 million people, with </w:t>
      </w:r>
      <w:r w:rsidR="003709C8">
        <w:t>31 per cent</w:t>
      </w:r>
      <w:r w:rsidR="00121C81" w:rsidRPr="00121C81">
        <w:t xml:space="preserve"> of that growth occurr</w:t>
      </w:r>
      <w:r w:rsidR="006E7B7A">
        <w:t>ing</w:t>
      </w:r>
      <w:r w:rsidR="00121C81" w:rsidRPr="00121C81">
        <w:t xml:space="preserve"> in Melbourne, </w:t>
      </w:r>
      <w:r w:rsidR="003709C8">
        <w:t>26 per cent</w:t>
      </w:r>
      <w:r w:rsidR="00121C81" w:rsidRPr="00121C81">
        <w:t xml:space="preserve"> in Sydney, </w:t>
      </w:r>
      <w:r w:rsidR="00B947DD">
        <w:t>17 </w:t>
      </w:r>
      <w:r w:rsidR="003709C8">
        <w:t>per cent in Brisbane, 15 per cent in</w:t>
      </w:r>
      <w:r w:rsidR="00121C81" w:rsidRPr="00121C81">
        <w:t xml:space="preserve"> Perth</w:t>
      </w:r>
      <w:r w:rsidR="003709C8">
        <w:t xml:space="preserve">, </w:t>
      </w:r>
      <w:r w:rsidR="003021CA">
        <w:t xml:space="preserve">and 11 per cent across </w:t>
      </w:r>
      <w:r w:rsidR="00AD5DEF">
        <w:t xml:space="preserve">the </w:t>
      </w:r>
      <w:r w:rsidR="003021CA">
        <w:t xml:space="preserve">remaining capital cities </w:t>
      </w:r>
      <w:r w:rsidR="00121C81" w:rsidRPr="00121C81">
        <w:t>(</w:t>
      </w:r>
      <w:r w:rsidR="00401F79">
        <w:t>Figure 7</w:t>
      </w:r>
      <w:r w:rsidR="00121C81" w:rsidRPr="00121C81">
        <w:t>).</w:t>
      </w:r>
    </w:p>
    <w:p w14:paraId="0830D5A0" w14:textId="77777777" w:rsidR="00AB515C" w:rsidRDefault="00AB515C" w:rsidP="000B438C">
      <w:pPr>
        <w:pStyle w:val="ChartMainHeading"/>
      </w:pPr>
      <w:r>
        <w:t>Figure 7</w:t>
      </w:r>
      <w:r w:rsidRPr="008A5743">
        <w:t xml:space="preserve">: </w:t>
      </w:r>
      <w:r>
        <w:t>Regional and metropolitan population growth, 1996</w:t>
      </w:r>
      <w:r>
        <w:noBreakHyphen/>
        <w:t>2016</w:t>
      </w:r>
    </w:p>
    <w:p w14:paraId="5480095B" w14:textId="77777777" w:rsidR="00121C81" w:rsidRDefault="00994B65" w:rsidP="005F3E79">
      <w:pPr>
        <w:pStyle w:val="ChartGraphic"/>
      </w:pPr>
      <w:r w:rsidRPr="00266286">
        <w:rPr>
          <w:noProof/>
        </w:rPr>
        <w:drawing>
          <wp:inline distT="0" distB="0" distL="0" distR="0" wp14:anchorId="20242ACD" wp14:editId="268ACDA5">
            <wp:extent cx="5304371" cy="3631720"/>
            <wp:effectExtent l="0" t="0" r="0" b="6985"/>
            <wp:docPr id="20" name="Picture 20" descr="Z:\2017\Reports and Reviews\S50478 Shaping a nation\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2017\Reports and Reviews\S50478 Shaping a nation\Figure 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26" r="878" b="2597"/>
                    <a:stretch/>
                  </pic:blipFill>
                  <pic:spPr bwMode="auto">
                    <a:xfrm>
                      <a:off x="0" y="0"/>
                      <a:ext cx="5305097" cy="3632217"/>
                    </a:xfrm>
                    <a:prstGeom prst="rect">
                      <a:avLst/>
                    </a:prstGeom>
                    <a:noFill/>
                    <a:ln>
                      <a:noFill/>
                    </a:ln>
                    <a:extLst>
                      <a:ext uri="{53640926-AAD7-44D8-BBD7-CCE9431645EC}">
                        <a14:shadowObscured xmlns:a14="http://schemas.microsoft.com/office/drawing/2010/main"/>
                      </a:ext>
                    </a:extLst>
                  </pic:spPr>
                </pic:pic>
              </a:graphicData>
            </a:graphic>
          </wp:inline>
        </w:drawing>
      </w:r>
    </w:p>
    <w:p w14:paraId="4EF3DBAA" w14:textId="77777777" w:rsidR="00994B65" w:rsidRPr="00994B65" w:rsidRDefault="00121C81" w:rsidP="001659D6">
      <w:pPr>
        <w:pStyle w:val="ChartorTableNote"/>
      </w:pPr>
      <w:r w:rsidRPr="00994B65">
        <w:t xml:space="preserve">Source: ABS </w:t>
      </w:r>
      <w:r w:rsidR="003162F0" w:rsidRPr="00994B65">
        <w:t>2017</w:t>
      </w:r>
      <w:r w:rsidR="00B211A0" w:rsidRPr="00994B65">
        <w:t>d &amp;</w:t>
      </w:r>
      <w:r w:rsidR="003162F0" w:rsidRPr="00994B65">
        <w:t xml:space="preserve"> ABS 2017</w:t>
      </w:r>
      <w:r w:rsidR="00B211A0" w:rsidRPr="00994B65">
        <w:t>e</w:t>
      </w:r>
      <w:r w:rsidR="003162F0" w:rsidRPr="00994B65">
        <w:t>,</w:t>
      </w:r>
      <w:r w:rsidR="00AD5DEF" w:rsidRPr="00994B65">
        <w:t xml:space="preserve"> authors’ </w:t>
      </w:r>
      <w:r w:rsidR="00665A80" w:rsidRPr="00994B65">
        <w:t>calculations</w:t>
      </w:r>
      <w:r w:rsidR="00D13882" w:rsidRPr="00994B65">
        <w:t>.</w:t>
      </w:r>
    </w:p>
    <w:p w14:paraId="7C3EDDB9" w14:textId="77777777" w:rsidR="00A35DF8" w:rsidRDefault="00693DC0" w:rsidP="00994B65">
      <w:r>
        <w:lastRenderedPageBreak/>
        <w:t>Melbourne’s West</w:t>
      </w:r>
      <w:r w:rsidR="00A35DF8">
        <w:t xml:space="preserve"> experienced the largest population increase</w:t>
      </w:r>
      <w:r>
        <w:t>,</w:t>
      </w:r>
      <w:r w:rsidR="00A35DF8">
        <w:t xml:space="preserve"> with the population rising from 4</w:t>
      </w:r>
      <w:r w:rsidR="003162F0">
        <w:t>1</w:t>
      </w:r>
      <w:r w:rsidR="00A35DF8">
        <w:t>0,000 to 7</w:t>
      </w:r>
      <w:r w:rsidR="003162F0">
        <w:t>66</w:t>
      </w:r>
      <w:r w:rsidR="00A35DF8">
        <w:t>,000. Melbourne’s</w:t>
      </w:r>
      <w:r>
        <w:t xml:space="preserve"> South</w:t>
      </w:r>
      <w:r>
        <w:noBreakHyphen/>
        <w:t xml:space="preserve">East and </w:t>
      </w:r>
      <w:r w:rsidR="00CD39FE">
        <w:t>I</w:t>
      </w:r>
      <w:r>
        <w:t>nner-</w:t>
      </w:r>
      <w:r w:rsidR="00CD39FE">
        <w:t>C</w:t>
      </w:r>
      <w:r>
        <w:t>ity</w:t>
      </w:r>
      <w:r w:rsidR="00A35DF8">
        <w:t xml:space="preserve">, then Perth’s </w:t>
      </w:r>
      <w:r w:rsidR="003162F0">
        <w:t>North</w:t>
      </w:r>
      <w:r w:rsidR="003162F0">
        <w:noBreakHyphen/>
        <w:t xml:space="preserve">West, </w:t>
      </w:r>
      <w:r w:rsidR="00A35DF8">
        <w:t>South</w:t>
      </w:r>
      <w:r w:rsidR="00A35DF8">
        <w:noBreakHyphen/>
        <w:t xml:space="preserve">East, </w:t>
      </w:r>
      <w:r w:rsidR="003162F0">
        <w:t xml:space="preserve">and </w:t>
      </w:r>
      <w:r w:rsidR="00A35DF8">
        <w:t>South</w:t>
      </w:r>
      <w:r w:rsidR="00A35DF8">
        <w:noBreakHyphen/>
        <w:t>West respectively experienced the</w:t>
      </w:r>
      <w:r>
        <w:t xml:space="preserve"> </w:t>
      </w:r>
      <w:r w:rsidR="000A07A2">
        <w:t>next largest increases.</w:t>
      </w:r>
    </w:p>
    <w:p w14:paraId="12CD01AA" w14:textId="77777777" w:rsidR="00374EF1" w:rsidRDefault="00A35DF8" w:rsidP="00994B65">
      <w:r>
        <w:t xml:space="preserve">In percentage terms, </w:t>
      </w:r>
      <w:r w:rsidR="00693DC0">
        <w:t xml:space="preserve">Perth’s </w:t>
      </w:r>
      <w:r w:rsidR="005F528A" w:rsidRPr="005F528A">
        <w:t xml:space="preserve">Mandurah </w:t>
      </w:r>
      <w:r w:rsidR="00693DC0">
        <w:t>topped the list by more than doubling in size. Brisbane’s Moreton Bay South and Melbourne’s West represented the next biggest increases</w:t>
      </w:r>
      <w:r>
        <w:t xml:space="preserve"> </w:t>
      </w:r>
      <w:r w:rsidR="00E3489E" w:rsidRPr="005F528A">
        <w:t>(</w:t>
      </w:r>
      <w:r w:rsidR="00E3489E">
        <w:t xml:space="preserve">Figure </w:t>
      </w:r>
      <w:r w:rsidR="00374EF1">
        <w:t>8</w:t>
      </w:r>
      <w:r w:rsidR="00E3489E" w:rsidRPr="005F528A">
        <w:t>)</w:t>
      </w:r>
      <w:r w:rsidR="00374EF1">
        <w:t xml:space="preserve">. </w:t>
      </w:r>
      <w:r w:rsidR="00F92675">
        <w:t>Melbourne and Perth’s population growth was the least uniform of the capitals, while Adelaide experienced relatively more uniform</w:t>
      </w:r>
      <w:r w:rsidR="00374EF1">
        <w:t xml:space="preserve"> population growth</w:t>
      </w:r>
      <w:r w:rsidR="00F92675">
        <w:t xml:space="preserve"> (Figure 9)</w:t>
      </w:r>
      <w:r w:rsidR="00374EF1">
        <w:t xml:space="preserve">. </w:t>
      </w:r>
      <w:r w:rsidR="00F92675">
        <w:t>For Sydney, t</w:t>
      </w:r>
      <w:r w:rsidR="00374EF1" w:rsidRPr="0011168A">
        <w:t xml:space="preserve">he largest </w:t>
      </w:r>
      <w:r w:rsidR="00A53358">
        <w:t xml:space="preserve">percentage </w:t>
      </w:r>
      <w:r w:rsidR="00374EF1" w:rsidRPr="0011168A">
        <w:t>increase in population occurred in Parramatta</w:t>
      </w:r>
      <w:r w:rsidR="00374EF1">
        <w:t>,</w:t>
      </w:r>
      <w:r w:rsidR="00374EF1" w:rsidRPr="0011168A">
        <w:t xml:space="preserve"> </w:t>
      </w:r>
      <w:r w:rsidR="00374EF1">
        <w:t>which</w:t>
      </w:r>
      <w:r w:rsidR="00374EF1" w:rsidRPr="0011168A">
        <w:t xml:space="preserve"> increase</w:t>
      </w:r>
      <w:r w:rsidR="00374EF1">
        <w:t>d by close to</w:t>
      </w:r>
      <w:r w:rsidR="00374EF1" w:rsidRPr="0011168A">
        <w:t xml:space="preserve"> 40 per cent</w:t>
      </w:r>
      <w:r w:rsidR="000A07A2">
        <w:t>.</w:t>
      </w:r>
    </w:p>
    <w:p w14:paraId="5DC5892F" w14:textId="77777777" w:rsidR="00374EF1" w:rsidRDefault="00374EF1" w:rsidP="000B438C">
      <w:pPr>
        <w:pStyle w:val="ChartMainHeading"/>
      </w:pPr>
      <w:r>
        <w:t>Figure 8: Population increases across selected capital cities, 1996</w:t>
      </w:r>
      <w:r>
        <w:noBreakHyphen/>
        <w:t>2016</w:t>
      </w:r>
    </w:p>
    <w:p w14:paraId="7E2CB347" w14:textId="77777777" w:rsidR="00374EF1" w:rsidRDefault="001A44A5" w:rsidP="00994B65">
      <w:pPr>
        <w:pStyle w:val="ChartGraphic"/>
      </w:pPr>
      <w:r>
        <w:rPr>
          <w:noProof/>
        </w:rPr>
        <w:drawing>
          <wp:inline distT="0" distB="0" distL="0" distR="0" wp14:anchorId="35FFFE3F" wp14:editId="38C97F6B">
            <wp:extent cx="5255207" cy="4322439"/>
            <wp:effectExtent l="0" t="0" r="3175" b="2540"/>
            <wp:docPr id="15" name="Picture 15" descr="POPULATION INCREASES ACROSS SELECTED CAPITAL CITIES, 1996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55207" cy="4322439"/>
                    </a:xfrm>
                    <a:prstGeom prst="rect">
                      <a:avLst/>
                    </a:prstGeom>
                  </pic:spPr>
                </pic:pic>
              </a:graphicData>
            </a:graphic>
          </wp:inline>
        </w:drawing>
      </w:r>
    </w:p>
    <w:p w14:paraId="13E69784" w14:textId="77777777" w:rsidR="00994B65" w:rsidRPr="00994B65" w:rsidRDefault="00374EF1" w:rsidP="001659D6">
      <w:pPr>
        <w:pStyle w:val="ChartorTableNote"/>
        <w:spacing w:before="120"/>
      </w:pPr>
      <w:r w:rsidRPr="00CB155A">
        <w:t xml:space="preserve">Source: </w:t>
      </w:r>
      <w:r w:rsidR="003162F0" w:rsidRPr="00CB155A">
        <w:t>ABS 2017</w:t>
      </w:r>
      <w:r w:rsidR="00B211A0" w:rsidRPr="00CB155A">
        <w:t>d &amp;</w:t>
      </w:r>
      <w:r w:rsidR="003162F0" w:rsidRPr="00CB155A">
        <w:t xml:space="preserve"> ABS 2017</w:t>
      </w:r>
      <w:r w:rsidR="00B211A0" w:rsidRPr="00CB155A">
        <w:t>e</w:t>
      </w:r>
      <w:r w:rsidR="003162F0" w:rsidRPr="00CB155A">
        <w:t>,</w:t>
      </w:r>
      <w:r w:rsidR="005E6AD4" w:rsidRPr="00CB155A">
        <w:t xml:space="preserve"> authors’</w:t>
      </w:r>
      <w:r w:rsidR="0026283D" w:rsidRPr="00CB155A">
        <w:t xml:space="preserve"> </w:t>
      </w:r>
      <w:r w:rsidR="00665A80" w:rsidRPr="00CB155A">
        <w:t>calculations</w:t>
      </w:r>
      <w:r w:rsidR="001659D6">
        <w:t>.</w:t>
      </w:r>
    </w:p>
    <w:p w14:paraId="104F6C03" w14:textId="77777777" w:rsidR="00B947DD" w:rsidRPr="00CB155A" w:rsidRDefault="00B947DD" w:rsidP="00CB155A">
      <w:pPr>
        <w:pStyle w:val="ChartMainHeading"/>
      </w:pPr>
      <w:r w:rsidRPr="00CB155A">
        <w:lastRenderedPageBreak/>
        <w:t xml:space="preserve">Figure </w:t>
      </w:r>
      <w:r w:rsidR="00374EF1" w:rsidRPr="00CB155A">
        <w:t>9</w:t>
      </w:r>
      <w:r w:rsidRPr="00CB155A">
        <w:t>: Population growth rates across Australian capital cities, 1996</w:t>
      </w:r>
      <w:r w:rsidRPr="00CB155A">
        <w:noBreakHyphen/>
        <w:t>2016</w:t>
      </w:r>
    </w:p>
    <w:p w14:paraId="51EF6663" w14:textId="6D09779F" w:rsidR="00B947DD" w:rsidRDefault="009E1A5E" w:rsidP="005F3E79">
      <w:pPr>
        <w:pStyle w:val="ChartGraphic"/>
      </w:pPr>
      <w:r>
        <w:pict w14:anchorId="5C7E1C1D">
          <v:shape id="_x0000_i1038" type="#_x0000_t75" style="width:430.5pt;height:225pt">
            <v:imagedata r:id="rId61" o:title="" cropleft="1270f"/>
          </v:shape>
        </w:pict>
      </w:r>
    </w:p>
    <w:p w14:paraId="6837BFC0" w14:textId="77777777" w:rsidR="00B947DD" w:rsidRPr="00CB155A" w:rsidRDefault="00B947DD" w:rsidP="00CB155A">
      <w:pPr>
        <w:pStyle w:val="ChartorTableNote"/>
      </w:pPr>
      <w:r w:rsidRPr="00CB155A">
        <w:t xml:space="preserve">Note: The number of SA4 regions for each capital city is: Sydney 15, Melbourne 9, Brisbane 9, Perth 6, Adelaide 4, </w:t>
      </w:r>
      <w:proofErr w:type="gramStart"/>
      <w:r w:rsidRPr="00CB155A">
        <w:t>Others</w:t>
      </w:r>
      <w:proofErr w:type="gramEnd"/>
      <w:r w:rsidRPr="00CB155A">
        <w:t xml:space="preserve"> 1.</w:t>
      </w:r>
    </w:p>
    <w:p w14:paraId="3DC41625" w14:textId="77777777" w:rsidR="00B947DD" w:rsidRPr="00CB155A" w:rsidRDefault="00B947DD" w:rsidP="00CB155A">
      <w:pPr>
        <w:pStyle w:val="ChartorTableNote"/>
      </w:pPr>
      <w:r w:rsidRPr="00CB155A">
        <w:t xml:space="preserve">Source: </w:t>
      </w:r>
      <w:r w:rsidR="007525B1" w:rsidRPr="00CB155A">
        <w:t>ABS 2017</w:t>
      </w:r>
      <w:r w:rsidR="00B211A0" w:rsidRPr="00CB155A">
        <w:t>d</w:t>
      </w:r>
      <w:r w:rsidR="007525B1" w:rsidRPr="00CB155A">
        <w:t xml:space="preserve"> &amp; ABS 2017</w:t>
      </w:r>
      <w:r w:rsidR="00B211A0" w:rsidRPr="00CB155A">
        <w:t>e</w:t>
      </w:r>
      <w:r w:rsidRPr="00CB155A">
        <w:t xml:space="preserve">, authors’ </w:t>
      </w:r>
      <w:r w:rsidRPr="00CB155A" w:rsidDel="005E6AD4">
        <w:t>calculations</w:t>
      </w:r>
      <w:r w:rsidR="00401F79" w:rsidRPr="00CB155A">
        <w:t>.</w:t>
      </w:r>
    </w:p>
    <w:p w14:paraId="26926AC6" w14:textId="77777777" w:rsidR="00C14B5C" w:rsidRDefault="00C14B5C" w:rsidP="002427F4">
      <w:pPr>
        <w:pStyle w:val="Heading3Numbered"/>
      </w:pPr>
      <w:r>
        <w:t>Contrasting growth within regional Australia and capital cities</w:t>
      </w:r>
    </w:p>
    <w:p w14:paraId="5A1705E5" w14:textId="77777777" w:rsidR="00C14B5C" w:rsidRDefault="000D4430" w:rsidP="007B55E5">
      <w:r>
        <w:t xml:space="preserve">Across the regions, growth was most variable in Queensland, </w:t>
      </w:r>
      <w:r w:rsidR="00A53358">
        <w:t>and least variable in Tasmania</w:t>
      </w:r>
      <w:r>
        <w:t xml:space="preserve"> (Figure</w:t>
      </w:r>
      <w:r w:rsidR="00A53358">
        <w:t> </w:t>
      </w:r>
      <w:r w:rsidR="00374EF1">
        <w:t>10</w:t>
      </w:r>
      <w:r>
        <w:t>)</w:t>
      </w:r>
      <w:r w:rsidR="004F766C">
        <w:t>.</w:t>
      </w:r>
      <w:r w:rsidR="00A53358">
        <w:t xml:space="preserve"> </w:t>
      </w:r>
      <w:r w:rsidR="004F766C">
        <w:t xml:space="preserve">The Gold Coast and the Sunshine Coast </w:t>
      </w:r>
      <w:r w:rsidR="00A53358">
        <w:t xml:space="preserve">in Queensland experienced </w:t>
      </w:r>
      <w:r w:rsidR="004F766C">
        <w:t>the largest population increases across the regions, both in absolute and percentage terms.</w:t>
      </w:r>
      <w:r w:rsidR="00E3489E">
        <w:t xml:space="preserve"> </w:t>
      </w:r>
      <w:r w:rsidR="00A53358">
        <w:t xml:space="preserve">The Far West </w:t>
      </w:r>
      <w:r w:rsidR="004733AD">
        <w:t>&amp; </w:t>
      </w:r>
      <w:r w:rsidR="00A53358">
        <w:t xml:space="preserve">Orana region of NSW </w:t>
      </w:r>
      <w:r w:rsidR="00E3489E">
        <w:t xml:space="preserve">recorded the largest decline, falling </w:t>
      </w:r>
      <w:r w:rsidR="00A53358">
        <w:t>5.6</w:t>
      </w:r>
      <w:r w:rsidR="00E3489E">
        <w:t xml:space="preserve"> per cent </w:t>
      </w:r>
      <w:r w:rsidR="00C14B5C" w:rsidRPr="00C14B5C" w:rsidDel="00374EF1">
        <w:t>(</w:t>
      </w:r>
      <w:r w:rsidR="00401F79" w:rsidRPr="005E6AD4" w:rsidDel="00374EF1">
        <w:t xml:space="preserve">Figure </w:t>
      </w:r>
      <w:r w:rsidR="00AC3DA4">
        <w:t>7</w:t>
      </w:r>
      <w:r w:rsidR="00C14B5C" w:rsidRPr="00C14B5C" w:rsidDel="00374EF1">
        <w:t>)</w:t>
      </w:r>
      <w:r w:rsidR="00C14B5C" w:rsidRPr="00C14B5C">
        <w:t>.</w:t>
      </w:r>
    </w:p>
    <w:p w14:paraId="404A0579" w14:textId="77777777" w:rsidR="00C14B5C" w:rsidRDefault="00B65EA4" w:rsidP="000B438C">
      <w:pPr>
        <w:pStyle w:val="ChartMainHeading"/>
      </w:pPr>
      <w:r>
        <w:t xml:space="preserve">Figure </w:t>
      </w:r>
      <w:r w:rsidR="00401F79">
        <w:t>10</w:t>
      </w:r>
      <w:r w:rsidR="0011168A">
        <w:t xml:space="preserve">: </w:t>
      </w:r>
      <w:r>
        <w:t>Population g</w:t>
      </w:r>
      <w:r w:rsidR="0011168A">
        <w:t>rowth rates across the States</w:t>
      </w:r>
      <w:r w:rsidR="00C14B5C">
        <w:t>, 1996</w:t>
      </w:r>
      <w:r w:rsidR="00C14B5C">
        <w:noBreakHyphen/>
        <w:t>2016</w:t>
      </w:r>
    </w:p>
    <w:p w14:paraId="72C0C048" w14:textId="7C6D0934" w:rsidR="00B65EA4" w:rsidRDefault="00302A39" w:rsidP="005F3E79">
      <w:pPr>
        <w:pStyle w:val="ChartGraphic"/>
      </w:pPr>
      <w:r>
        <w:pict w14:anchorId="321F78E0">
          <v:shape id="_x0000_i1039" type="#_x0000_t75" style="width:430.5pt;height:227.25pt">
            <v:imagedata r:id="rId62" o:title="" cropleft="1270f"/>
          </v:shape>
        </w:pict>
      </w:r>
    </w:p>
    <w:p w14:paraId="679D7560" w14:textId="77777777" w:rsidR="000D4430" w:rsidRPr="00994B65" w:rsidRDefault="000D4430" w:rsidP="00994B65">
      <w:pPr>
        <w:pStyle w:val="ChartorTableNote"/>
      </w:pPr>
      <w:r w:rsidRPr="00994B65">
        <w:t>Note: The number of SA4 regions for each State is</w:t>
      </w:r>
      <w:r w:rsidR="00B947DD" w:rsidRPr="00994B65">
        <w:t>:</w:t>
      </w:r>
      <w:r w:rsidRPr="00994B65">
        <w:t xml:space="preserve"> NSW 13, Victoria 8, Queensland 9, WA 4, SA 3, Tasmania 3 and NT 1.</w:t>
      </w:r>
    </w:p>
    <w:p w14:paraId="1EACE162" w14:textId="77777777" w:rsidR="00F93488" w:rsidRDefault="000D4430" w:rsidP="00A36CBF">
      <w:pPr>
        <w:pStyle w:val="ChartorTableNote"/>
      </w:pPr>
      <w:r w:rsidRPr="00994B65">
        <w:t xml:space="preserve">Source: </w:t>
      </w:r>
      <w:r w:rsidR="007525B1" w:rsidRPr="00994B65">
        <w:t>ABS 2017</w:t>
      </w:r>
      <w:r w:rsidR="00B211A0" w:rsidRPr="00994B65">
        <w:t>d</w:t>
      </w:r>
      <w:r w:rsidR="007525B1" w:rsidRPr="00994B65">
        <w:t xml:space="preserve"> &amp; ABS 2017</w:t>
      </w:r>
      <w:r w:rsidR="00B211A0" w:rsidRPr="00994B65">
        <w:t>e</w:t>
      </w:r>
      <w:r w:rsidRPr="00994B65">
        <w:t xml:space="preserve">, authors’ </w:t>
      </w:r>
      <w:r w:rsidRPr="00994B65" w:rsidDel="005E6AD4">
        <w:t>calculations</w:t>
      </w:r>
      <w:r w:rsidRPr="00994B65">
        <w:t>.</w:t>
      </w:r>
      <w:r w:rsidR="00F93488">
        <w:br w:type="page"/>
      </w:r>
    </w:p>
    <w:p w14:paraId="694F2997" w14:textId="77777777" w:rsidR="00374EF1" w:rsidRDefault="0011168A" w:rsidP="00994B65">
      <w:r w:rsidRPr="0011168A">
        <w:lastRenderedPageBreak/>
        <w:t xml:space="preserve">Of the 42 </w:t>
      </w:r>
      <w:r w:rsidR="000D4430">
        <w:t>sub</w:t>
      </w:r>
      <w:r w:rsidR="000D4430">
        <w:noBreakHyphen/>
        <w:t>state areas</w:t>
      </w:r>
      <w:r w:rsidRPr="0011168A">
        <w:t xml:space="preserve"> in regional Australia, 1</w:t>
      </w:r>
      <w:r w:rsidR="00A53358">
        <w:t>5</w:t>
      </w:r>
      <w:r w:rsidRPr="0011168A">
        <w:t xml:space="preserve"> exceeded the average regional population growth rate </w:t>
      </w:r>
      <w:r w:rsidR="00CA1F94">
        <w:t>of 2</w:t>
      </w:r>
      <w:r w:rsidR="00931CFD">
        <w:t>4</w:t>
      </w:r>
      <w:r w:rsidR="00CA1F94">
        <w:t xml:space="preserve"> per cent </w:t>
      </w:r>
      <w:r w:rsidR="00012618">
        <w:t>from 1996</w:t>
      </w:r>
      <w:r w:rsidR="000D4430">
        <w:t xml:space="preserve"> to 2016</w:t>
      </w:r>
      <w:r w:rsidRPr="0011168A">
        <w:t xml:space="preserve">. </w:t>
      </w:r>
      <w:r w:rsidR="006E21F8">
        <w:t>Some</w:t>
      </w:r>
      <w:r w:rsidR="000D4430">
        <w:t xml:space="preserve"> of the </w:t>
      </w:r>
      <w:r w:rsidR="006E21F8">
        <w:t xml:space="preserve">regions, such as the Southern Highlands </w:t>
      </w:r>
      <w:r w:rsidR="00CD39FE">
        <w:t xml:space="preserve">&amp; </w:t>
      </w:r>
      <w:r w:rsidR="006E21F8">
        <w:t>Shoalhaven</w:t>
      </w:r>
      <w:r w:rsidR="000D4430">
        <w:t xml:space="preserve"> in </w:t>
      </w:r>
      <w:r w:rsidR="00401F79">
        <w:t>T</w:t>
      </w:r>
      <w:r w:rsidR="000D4430">
        <w:t xml:space="preserve">able </w:t>
      </w:r>
      <w:r w:rsidR="00401F79">
        <w:t>1</w:t>
      </w:r>
      <w:r w:rsidR="000D4430">
        <w:t xml:space="preserve"> </w:t>
      </w:r>
      <w:r w:rsidR="000D4430" w:rsidRPr="007E730E">
        <w:t>below</w:t>
      </w:r>
      <w:r w:rsidR="006E21F8">
        <w:t>,</w:t>
      </w:r>
      <w:r w:rsidR="000D4430">
        <w:t xml:space="preserve"> </w:t>
      </w:r>
      <w:r w:rsidR="006E21F8">
        <w:t>are attractive destinations for retirees and this has been one of the drivers of strong population growth. Other regions, such as Geelong and the Hunter Valley, have also benefitted from being liveable</w:t>
      </w:r>
      <w:r w:rsidR="00D94129">
        <w:t xml:space="preserve"> locations</w:t>
      </w:r>
      <w:r w:rsidR="000A07A2">
        <w:t xml:space="preserve"> close to Melbourne and Sydney.</w:t>
      </w:r>
    </w:p>
    <w:p w14:paraId="1CFB8084" w14:textId="77777777" w:rsidR="0011168A" w:rsidRDefault="0011168A" w:rsidP="00994B65">
      <w:pPr>
        <w:pStyle w:val="TableMainHeading"/>
      </w:pPr>
      <w:r w:rsidRPr="00994B65">
        <w:t xml:space="preserve">Table </w:t>
      </w:r>
      <w:r w:rsidR="00401F79" w:rsidRPr="00994B65">
        <w:t>1</w:t>
      </w:r>
      <w:r w:rsidRPr="00994B65">
        <w:t>: Growth rates across the States, 1996</w:t>
      </w:r>
      <w:r w:rsidRPr="00994B65">
        <w:noBreakHyphen/>
        <w:t>2016</w:t>
      </w:r>
    </w:p>
    <w:tbl>
      <w:tblPr>
        <w:tblW w:w="9117" w:type="dxa"/>
        <w:tblInd w:w="93" w:type="dxa"/>
        <w:tblBorders>
          <w:top w:val="single" w:sz="4" w:space="0" w:color="auto"/>
          <w:bottom w:val="single" w:sz="4" w:space="0" w:color="auto"/>
        </w:tblBorders>
        <w:tblLayout w:type="fixed"/>
        <w:tblLook w:val="04A0" w:firstRow="1" w:lastRow="0" w:firstColumn="1" w:lastColumn="0" w:noHBand="0" w:noVBand="1"/>
      </w:tblPr>
      <w:tblGrid>
        <w:gridCol w:w="5035"/>
        <w:gridCol w:w="2041"/>
        <w:gridCol w:w="2041"/>
      </w:tblGrid>
      <w:tr w:rsidR="00994B65" w:rsidRPr="00DC385A" w14:paraId="43816882" w14:textId="77777777" w:rsidTr="00EB7B9E">
        <w:trPr>
          <w:trHeight w:val="123"/>
        </w:trPr>
        <w:tc>
          <w:tcPr>
            <w:tcW w:w="5035" w:type="dxa"/>
            <w:tcBorders>
              <w:top w:val="single" w:sz="4" w:space="0" w:color="808080" w:themeColor="background1" w:themeShade="80"/>
              <w:bottom w:val="single" w:sz="4" w:space="0" w:color="808080" w:themeColor="background1" w:themeShade="80"/>
            </w:tcBorders>
            <w:shd w:val="clear" w:color="auto" w:fill="DEEAF6" w:themeFill="accent1" w:themeFillTint="33"/>
            <w:noWrap/>
            <w:vAlign w:val="center"/>
            <w:hideMark/>
          </w:tcPr>
          <w:p w14:paraId="777E08B0" w14:textId="77777777" w:rsidR="00994B65" w:rsidRPr="00AF0916" w:rsidRDefault="00994B65" w:rsidP="00F93488">
            <w:pPr>
              <w:pStyle w:val="TableColumnHeadingLeft"/>
              <w:spacing w:before="56" w:after="56"/>
            </w:pPr>
            <w:r w:rsidRPr="00AF0916">
              <w:t>Region name</w:t>
            </w:r>
          </w:p>
        </w:tc>
        <w:tc>
          <w:tcPr>
            <w:tcW w:w="2041" w:type="dxa"/>
            <w:tcBorders>
              <w:top w:val="single" w:sz="4" w:space="0" w:color="808080" w:themeColor="background1" w:themeShade="80"/>
              <w:bottom w:val="single" w:sz="4" w:space="0" w:color="808080" w:themeColor="background1" w:themeShade="80"/>
            </w:tcBorders>
            <w:shd w:val="clear" w:color="auto" w:fill="DEEAF6" w:themeFill="accent1" w:themeFillTint="33"/>
            <w:vAlign w:val="center"/>
          </w:tcPr>
          <w:p w14:paraId="392045BE" w14:textId="77777777" w:rsidR="00994B65" w:rsidRPr="000C7EEA" w:rsidRDefault="00994B65" w:rsidP="00F93488">
            <w:pPr>
              <w:pStyle w:val="TableColumnHeadingCentred"/>
              <w:spacing w:before="56" w:after="56"/>
            </w:pPr>
            <w:r w:rsidRPr="00435805">
              <w:t>State</w:t>
            </w:r>
          </w:p>
        </w:tc>
        <w:tc>
          <w:tcPr>
            <w:tcW w:w="2041" w:type="dxa"/>
            <w:tcBorders>
              <w:top w:val="single" w:sz="4" w:space="0" w:color="808080" w:themeColor="background1" w:themeShade="80"/>
              <w:bottom w:val="single" w:sz="4" w:space="0" w:color="808080" w:themeColor="background1" w:themeShade="80"/>
            </w:tcBorders>
            <w:shd w:val="clear" w:color="auto" w:fill="DEEAF6" w:themeFill="accent1" w:themeFillTint="33"/>
            <w:vAlign w:val="center"/>
          </w:tcPr>
          <w:p w14:paraId="262062F7" w14:textId="77777777" w:rsidR="00994B65" w:rsidRPr="00435805" w:rsidRDefault="00994B65" w:rsidP="00F93488">
            <w:pPr>
              <w:pStyle w:val="TableColumnHeadingCentred"/>
              <w:spacing w:before="56" w:after="56"/>
            </w:pPr>
            <w:r w:rsidRPr="00435805">
              <w:t>Per cent</w:t>
            </w:r>
          </w:p>
        </w:tc>
      </w:tr>
      <w:tr w:rsidR="00994B65" w:rsidRPr="00BD12CB" w14:paraId="0B1991BB" w14:textId="77777777" w:rsidTr="00EB7B9E">
        <w:trPr>
          <w:trHeight w:val="300"/>
        </w:trPr>
        <w:tc>
          <w:tcPr>
            <w:tcW w:w="5035" w:type="dxa"/>
            <w:tcBorders>
              <w:top w:val="single" w:sz="4" w:space="0" w:color="808080" w:themeColor="background1" w:themeShade="80"/>
            </w:tcBorders>
            <w:shd w:val="clear" w:color="auto" w:fill="auto"/>
            <w:noWrap/>
          </w:tcPr>
          <w:p w14:paraId="569327B4" w14:textId="77777777" w:rsidR="00994B65" w:rsidRPr="00BD12CB" w:rsidRDefault="00994B65" w:rsidP="00F93488">
            <w:pPr>
              <w:pStyle w:val="TableTextLeft"/>
              <w:spacing w:before="56" w:after="56"/>
            </w:pPr>
            <w:r w:rsidRPr="0066146F">
              <w:t>Gold Coast</w:t>
            </w:r>
          </w:p>
        </w:tc>
        <w:tc>
          <w:tcPr>
            <w:tcW w:w="2041" w:type="dxa"/>
            <w:tcBorders>
              <w:top w:val="single" w:sz="4" w:space="0" w:color="808080" w:themeColor="background1" w:themeShade="80"/>
            </w:tcBorders>
          </w:tcPr>
          <w:p w14:paraId="6667147B" w14:textId="77777777" w:rsidR="00994B65" w:rsidRPr="00BD12CB" w:rsidRDefault="00994B65" w:rsidP="00F93488">
            <w:pPr>
              <w:pStyle w:val="TableTextCentered"/>
              <w:spacing w:before="56" w:after="56"/>
            </w:pPr>
            <w:r w:rsidRPr="00931095">
              <w:t>QLD</w:t>
            </w:r>
          </w:p>
        </w:tc>
        <w:tc>
          <w:tcPr>
            <w:tcW w:w="2041" w:type="dxa"/>
            <w:tcBorders>
              <w:top w:val="single" w:sz="4" w:space="0" w:color="808080" w:themeColor="background1" w:themeShade="80"/>
            </w:tcBorders>
          </w:tcPr>
          <w:p w14:paraId="1B89A8B3" w14:textId="77777777" w:rsidR="00994B65" w:rsidRPr="00BD12CB" w:rsidRDefault="00994B65" w:rsidP="00F93488">
            <w:pPr>
              <w:pStyle w:val="TableTextCentered"/>
              <w:spacing w:before="56" w:after="56"/>
            </w:pPr>
            <w:r w:rsidRPr="00965465">
              <w:t>80</w:t>
            </w:r>
          </w:p>
        </w:tc>
      </w:tr>
      <w:tr w:rsidR="00994B65" w:rsidRPr="00BD12CB" w14:paraId="3E2BB9E2" w14:textId="77777777" w:rsidTr="00EB7B9E">
        <w:trPr>
          <w:trHeight w:val="300"/>
        </w:trPr>
        <w:tc>
          <w:tcPr>
            <w:tcW w:w="5035" w:type="dxa"/>
            <w:shd w:val="clear" w:color="auto" w:fill="F2F2F2" w:themeFill="background1" w:themeFillShade="F2"/>
            <w:noWrap/>
          </w:tcPr>
          <w:p w14:paraId="6EF856F9" w14:textId="77777777" w:rsidR="00994B65" w:rsidRPr="00BD12CB" w:rsidRDefault="00994B65" w:rsidP="00F93488">
            <w:pPr>
              <w:pStyle w:val="TableTextLeft"/>
              <w:spacing w:before="56" w:after="56"/>
            </w:pPr>
            <w:r w:rsidRPr="0066146F">
              <w:t>Sunshine Coast</w:t>
            </w:r>
          </w:p>
        </w:tc>
        <w:tc>
          <w:tcPr>
            <w:tcW w:w="2041" w:type="dxa"/>
            <w:shd w:val="clear" w:color="auto" w:fill="F2F2F2" w:themeFill="background1" w:themeFillShade="F2"/>
          </w:tcPr>
          <w:p w14:paraId="482D7675"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132644D7" w14:textId="77777777" w:rsidR="00994B65" w:rsidRPr="00BD12CB" w:rsidRDefault="00994B65" w:rsidP="00F93488">
            <w:pPr>
              <w:pStyle w:val="TableTextCentered"/>
              <w:spacing w:before="56" w:after="56"/>
            </w:pPr>
            <w:r w:rsidRPr="00965465">
              <w:t>71</w:t>
            </w:r>
          </w:p>
        </w:tc>
      </w:tr>
      <w:tr w:rsidR="00994B65" w:rsidRPr="00BD12CB" w14:paraId="3ACDD4DC" w14:textId="77777777" w:rsidTr="00EB7B9E">
        <w:trPr>
          <w:trHeight w:val="147"/>
        </w:trPr>
        <w:tc>
          <w:tcPr>
            <w:tcW w:w="5035" w:type="dxa"/>
            <w:shd w:val="clear" w:color="auto" w:fill="auto"/>
            <w:noWrap/>
          </w:tcPr>
          <w:p w14:paraId="2E86DB69" w14:textId="77777777" w:rsidR="00994B65" w:rsidRPr="00BD12CB" w:rsidRDefault="00994B65" w:rsidP="00F93488">
            <w:pPr>
              <w:pStyle w:val="TableTextLeft"/>
              <w:spacing w:before="56" w:after="56"/>
            </w:pPr>
            <w:r w:rsidRPr="0066146F">
              <w:t>Bunbury</w:t>
            </w:r>
          </w:p>
        </w:tc>
        <w:tc>
          <w:tcPr>
            <w:tcW w:w="2041" w:type="dxa"/>
          </w:tcPr>
          <w:p w14:paraId="069C097D" w14:textId="77777777" w:rsidR="00994B65" w:rsidRPr="00BD12CB" w:rsidRDefault="00994B65" w:rsidP="00F93488">
            <w:pPr>
              <w:pStyle w:val="TableTextCentered"/>
              <w:spacing w:before="56" w:after="56"/>
            </w:pPr>
            <w:r w:rsidRPr="00931095">
              <w:t>WA</w:t>
            </w:r>
          </w:p>
        </w:tc>
        <w:tc>
          <w:tcPr>
            <w:tcW w:w="2041" w:type="dxa"/>
          </w:tcPr>
          <w:p w14:paraId="2B24B8AF" w14:textId="77777777" w:rsidR="00994B65" w:rsidRPr="00BD12CB" w:rsidRDefault="00994B65" w:rsidP="00F93488">
            <w:pPr>
              <w:pStyle w:val="TableTextCentered"/>
              <w:spacing w:before="56" w:after="56"/>
            </w:pPr>
            <w:r w:rsidRPr="00965465">
              <w:t>54</w:t>
            </w:r>
          </w:p>
        </w:tc>
      </w:tr>
      <w:tr w:rsidR="00994B65" w:rsidRPr="00BD12CB" w14:paraId="434BEC2B" w14:textId="77777777" w:rsidTr="00EB7B9E">
        <w:trPr>
          <w:trHeight w:val="124"/>
        </w:trPr>
        <w:tc>
          <w:tcPr>
            <w:tcW w:w="5035" w:type="dxa"/>
            <w:shd w:val="clear" w:color="auto" w:fill="F2F2F2" w:themeFill="background1" w:themeFillShade="F2"/>
            <w:noWrap/>
          </w:tcPr>
          <w:p w14:paraId="056BDA1C" w14:textId="77777777" w:rsidR="00994B65" w:rsidRPr="00BD12CB" w:rsidRDefault="00994B65" w:rsidP="00F93488">
            <w:pPr>
              <w:pStyle w:val="TableTextLeft"/>
              <w:spacing w:before="56" w:after="56"/>
            </w:pPr>
            <w:r w:rsidRPr="0066146F">
              <w:t>WA Outback North</w:t>
            </w:r>
          </w:p>
        </w:tc>
        <w:tc>
          <w:tcPr>
            <w:tcW w:w="2041" w:type="dxa"/>
            <w:shd w:val="clear" w:color="auto" w:fill="F2F2F2" w:themeFill="background1" w:themeFillShade="F2"/>
          </w:tcPr>
          <w:p w14:paraId="159B2404" w14:textId="77777777" w:rsidR="00994B65" w:rsidRPr="00BD12CB" w:rsidRDefault="00994B65" w:rsidP="00F93488">
            <w:pPr>
              <w:pStyle w:val="TableTextCentered"/>
              <w:spacing w:before="56" w:after="56"/>
            </w:pPr>
            <w:r w:rsidRPr="00931095">
              <w:t>WA</w:t>
            </w:r>
          </w:p>
        </w:tc>
        <w:tc>
          <w:tcPr>
            <w:tcW w:w="2041" w:type="dxa"/>
            <w:shd w:val="clear" w:color="auto" w:fill="F2F2F2" w:themeFill="background1" w:themeFillShade="F2"/>
          </w:tcPr>
          <w:p w14:paraId="7BC157A2" w14:textId="77777777" w:rsidR="00994B65" w:rsidRPr="00BD12CB" w:rsidRDefault="00994B65" w:rsidP="00F93488">
            <w:pPr>
              <w:pStyle w:val="TableTextCentered"/>
              <w:spacing w:before="56" w:after="56"/>
            </w:pPr>
            <w:r w:rsidRPr="00965465">
              <w:t>47</w:t>
            </w:r>
          </w:p>
        </w:tc>
      </w:tr>
      <w:tr w:rsidR="00994B65" w:rsidRPr="00BD12CB" w14:paraId="30CD10F1" w14:textId="77777777" w:rsidTr="00CB155A">
        <w:trPr>
          <w:trHeight w:val="124"/>
        </w:trPr>
        <w:tc>
          <w:tcPr>
            <w:tcW w:w="5035" w:type="dxa"/>
            <w:shd w:val="clear" w:color="auto" w:fill="auto"/>
            <w:noWrap/>
          </w:tcPr>
          <w:p w14:paraId="52B0134C" w14:textId="77777777" w:rsidR="00994B65" w:rsidRPr="00BD12CB" w:rsidRDefault="00994B65" w:rsidP="00F93488">
            <w:pPr>
              <w:pStyle w:val="TableTextLeft"/>
              <w:spacing w:before="56" w:after="56"/>
            </w:pPr>
            <w:r w:rsidRPr="0066146F">
              <w:t>Geelong</w:t>
            </w:r>
          </w:p>
        </w:tc>
        <w:tc>
          <w:tcPr>
            <w:tcW w:w="2041" w:type="dxa"/>
            <w:shd w:val="clear" w:color="auto" w:fill="auto"/>
          </w:tcPr>
          <w:p w14:paraId="47E1371B" w14:textId="77777777" w:rsidR="00994B65" w:rsidRPr="00BD12CB" w:rsidRDefault="00994B65" w:rsidP="00F93488">
            <w:pPr>
              <w:pStyle w:val="TableTextCentered"/>
              <w:spacing w:before="56" w:after="56"/>
            </w:pPr>
            <w:r w:rsidRPr="00931095">
              <w:t>VIC</w:t>
            </w:r>
          </w:p>
        </w:tc>
        <w:tc>
          <w:tcPr>
            <w:tcW w:w="2041" w:type="dxa"/>
            <w:shd w:val="clear" w:color="auto" w:fill="auto"/>
          </w:tcPr>
          <w:p w14:paraId="260BE140" w14:textId="77777777" w:rsidR="00994B65" w:rsidRPr="00BD12CB" w:rsidRDefault="00994B65" w:rsidP="00F93488">
            <w:pPr>
              <w:pStyle w:val="TableTextCentered"/>
              <w:spacing w:before="56" w:after="56"/>
            </w:pPr>
            <w:r w:rsidRPr="00965465">
              <w:t>35</w:t>
            </w:r>
          </w:p>
        </w:tc>
      </w:tr>
      <w:tr w:rsidR="00994B65" w:rsidRPr="00BD12CB" w14:paraId="695AEDEF" w14:textId="77777777" w:rsidTr="00CB155A">
        <w:trPr>
          <w:trHeight w:val="300"/>
        </w:trPr>
        <w:tc>
          <w:tcPr>
            <w:tcW w:w="5035" w:type="dxa"/>
            <w:shd w:val="clear" w:color="auto" w:fill="F2F2F2" w:themeFill="background1" w:themeFillShade="F2"/>
            <w:noWrap/>
          </w:tcPr>
          <w:p w14:paraId="460FCC56" w14:textId="77777777" w:rsidR="00994B65" w:rsidRPr="00BD12CB" w:rsidRDefault="00994B65" w:rsidP="00F93488">
            <w:pPr>
              <w:pStyle w:val="TableTextLeft"/>
              <w:spacing w:before="56" w:after="56"/>
            </w:pPr>
            <w:r w:rsidRPr="0066146F">
              <w:t>Cairns</w:t>
            </w:r>
          </w:p>
        </w:tc>
        <w:tc>
          <w:tcPr>
            <w:tcW w:w="2041" w:type="dxa"/>
            <w:shd w:val="clear" w:color="auto" w:fill="F2F2F2" w:themeFill="background1" w:themeFillShade="F2"/>
          </w:tcPr>
          <w:p w14:paraId="671ED076"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24303B2D" w14:textId="77777777" w:rsidR="00994B65" w:rsidRPr="00BD12CB" w:rsidRDefault="00994B65" w:rsidP="00F93488">
            <w:pPr>
              <w:pStyle w:val="TableTextCentered"/>
              <w:spacing w:before="56" w:after="56"/>
            </w:pPr>
            <w:r w:rsidRPr="00965465">
              <w:t>34</w:t>
            </w:r>
          </w:p>
        </w:tc>
      </w:tr>
      <w:tr w:rsidR="00994B65" w:rsidRPr="00BD12CB" w14:paraId="07CDF98A" w14:textId="77777777" w:rsidTr="00EB7B9E">
        <w:trPr>
          <w:trHeight w:val="300"/>
        </w:trPr>
        <w:tc>
          <w:tcPr>
            <w:tcW w:w="5035" w:type="dxa"/>
            <w:shd w:val="clear" w:color="auto" w:fill="auto"/>
            <w:noWrap/>
          </w:tcPr>
          <w:p w14:paraId="6066D9B1" w14:textId="77777777" w:rsidR="00994B65" w:rsidRPr="00BD12CB" w:rsidRDefault="00994B65" w:rsidP="00F93488">
            <w:pPr>
              <w:pStyle w:val="TableTextLeft"/>
              <w:spacing w:before="56" w:after="56"/>
            </w:pPr>
            <w:r w:rsidRPr="0066146F">
              <w:t>Wide Bay</w:t>
            </w:r>
          </w:p>
        </w:tc>
        <w:tc>
          <w:tcPr>
            <w:tcW w:w="2041" w:type="dxa"/>
          </w:tcPr>
          <w:p w14:paraId="64BA3C68" w14:textId="77777777" w:rsidR="00994B65" w:rsidRPr="00BD12CB" w:rsidRDefault="00994B65" w:rsidP="00F93488">
            <w:pPr>
              <w:pStyle w:val="TableTextCentered"/>
              <w:spacing w:before="56" w:after="56"/>
            </w:pPr>
            <w:r w:rsidRPr="00931095">
              <w:t>QLD</w:t>
            </w:r>
          </w:p>
        </w:tc>
        <w:tc>
          <w:tcPr>
            <w:tcW w:w="2041" w:type="dxa"/>
          </w:tcPr>
          <w:p w14:paraId="57AC4B34" w14:textId="77777777" w:rsidR="00994B65" w:rsidRPr="00BD12CB" w:rsidRDefault="00994B65" w:rsidP="00F93488">
            <w:pPr>
              <w:pStyle w:val="TableTextCentered"/>
              <w:spacing w:before="56" w:after="56"/>
            </w:pPr>
            <w:r w:rsidRPr="00965465">
              <w:t>34</w:t>
            </w:r>
          </w:p>
        </w:tc>
      </w:tr>
      <w:tr w:rsidR="00994B65" w:rsidRPr="00BD12CB" w14:paraId="3BC047BE" w14:textId="77777777" w:rsidTr="00EB7B9E">
        <w:trPr>
          <w:trHeight w:val="300"/>
        </w:trPr>
        <w:tc>
          <w:tcPr>
            <w:tcW w:w="5035" w:type="dxa"/>
            <w:shd w:val="clear" w:color="auto" w:fill="F2F2F2" w:themeFill="background1" w:themeFillShade="F2"/>
            <w:noWrap/>
          </w:tcPr>
          <w:p w14:paraId="03EAC8FA" w14:textId="77777777" w:rsidR="00994B65" w:rsidRPr="00BD12CB" w:rsidRDefault="00994B65" w:rsidP="00F93488">
            <w:pPr>
              <w:pStyle w:val="TableTextLeft"/>
              <w:spacing w:before="56" w:after="56"/>
            </w:pPr>
            <w:r w:rsidRPr="0066146F">
              <w:t>Townsville</w:t>
            </w:r>
          </w:p>
        </w:tc>
        <w:tc>
          <w:tcPr>
            <w:tcW w:w="2041" w:type="dxa"/>
            <w:shd w:val="clear" w:color="auto" w:fill="F2F2F2" w:themeFill="background1" w:themeFillShade="F2"/>
          </w:tcPr>
          <w:p w14:paraId="612CC7E1"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0DFCF143" w14:textId="77777777" w:rsidR="00994B65" w:rsidRPr="00BD12CB" w:rsidRDefault="00994B65" w:rsidP="00F93488">
            <w:pPr>
              <w:pStyle w:val="TableTextCentered"/>
              <w:spacing w:before="56" w:after="56"/>
            </w:pPr>
            <w:r w:rsidRPr="00965465">
              <w:t>32</w:t>
            </w:r>
          </w:p>
        </w:tc>
      </w:tr>
      <w:tr w:rsidR="00994B65" w:rsidRPr="00BD12CB" w14:paraId="1148FC47" w14:textId="77777777" w:rsidTr="00EB7B9E">
        <w:trPr>
          <w:trHeight w:val="300"/>
        </w:trPr>
        <w:tc>
          <w:tcPr>
            <w:tcW w:w="5035" w:type="dxa"/>
            <w:shd w:val="clear" w:color="auto" w:fill="auto"/>
            <w:noWrap/>
          </w:tcPr>
          <w:p w14:paraId="5A8D2AE6" w14:textId="77777777" w:rsidR="00994B65" w:rsidRPr="00BD12CB" w:rsidRDefault="00994B65" w:rsidP="00F93488">
            <w:pPr>
              <w:pStyle w:val="TableTextLeft"/>
              <w:spacing w:before="56" w:after="56"/>
            </w:pPr>
            <w:r w:rsidRPr="0066146F">
              <w:t>Hunter Valley (</w:t>
            </w:r>
            <w:proofErr w:type="spellStart"/>
            <w:r w:rsidRPr="0066146F">
              <w:t>exc</w:t>
            </w:r>
            <w:proofErr w:type="spellEnd"/>
            <w:r w:rsidRPr="0066146F">
              <w:t xml:space="preserve"> Newcastle)</w:t>
            </w:r>
          </w:p>
        </w:tc>
        <w:tc>
          <w:tcPr>
            <w:tcW w:w="2041" w:type="dxa"/>
          </w:tcPr>
          <w:p w14:paraId="74B3A274" w14:textId="77777777" w:rsidR="00994B65" w:rsidRPr="00BD12CB" w:rsidRDefault="00994B65" w:rsidP="00F93488">
            <w:pPr>
              <w:pStyle w:val="TableTextCentered"/>
              <w:spacing w:before="56" w:after="56"/>
            </w:pPr>
            <w:r w:rsidRPr="00931095">
              <w:t>NSW</w:t>
            </w:r>
          </w:p>
        </w:tc>
        <w:tc>
          <w:tcPr>
            <w:tcW w:w="2041" w:type="dxa"/>
          </w:tcPr>
          <w:p w14:paraId="2A6C215F" w14:textId="77777777" w:rsidR="00994B65" w:rsidRPr="00BD12CB" w:rsidRDefault="00994B65" w:rsidP="00F93488">
            <w:pPr>
              <w:pStyle w:val="TableTextCentered"/>
              <w:spacing w:before="56" w:after="56"/>
            </w:pPr>
            <w:r w:rsidRPr="00965465">
              <w:t>32</w:t>
            </w:r>
          </w:p>
        </w:tc>
      </w:tr>
      <w:tr w:rsidR="00994B65" w:rsidRPr="00BD12CB" w14:paraId="32833386" w14:textId="77777777" w:rsidTr="00EB7B9E">
        <w:trPr>
          <w:trHeight w:val="300"/>
        </w:trPr>
        <w:tc>
          <w:tcPr>
            <w:tcW w:w="5035" w:type="dxa"/>
            <w:shd w:val="clear" w:color="auto" w:fill="F2F2F2" w:themeFill="background1" w:themeFillShade="F2"/>
            <w:noWrap/>
          </w:tcPr>
          <w:p w14:paraId="3802DD33" w14:textId="77777777" w:rsidR="00994B65" w:rsidRPr="00BD12CB" w:rsidRDefault="00994B65" w:rsidP="00F93488">
            <w:pPr>
              <w:pStyle w:val="TableTextLeft"/>
              <w:spacing w:before="56" w:after="56"/>
            </w:pPr>
            <w:r w:rsidRPr="0066146F">
              <w:t>Mackay - Isaac - Whitsunday</w:t>
            </w:r>
          </w:p>
        </w:tc>
        <w:tc>
          <w:tcPr>
            <w:tcW w:w="2041" w:type="dxa"/>
            <w:shd w:val="clear" w:color="auto" w:fill="F2F2F2" w:themeFill="background1" w:themeFillShade="F2"/>
          </w:tcPr>
          <w:p w14:paraId="60ECCA36"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77166DE7" w14:textId="77777777" w:rsidR="00994B65" w:rsidRPr="00BD12CB" w:rsidRDefault="00994B65" w:rsidP="00F93488">
            <w:pPr>
              <w:pStyle w:val="TableTextCentered"/>
              <w:spacing w:before="56" w:after="56"/>
            </w:pPr>
            <w:r w:rsidRPr="00965465">
              <w:t>31</w:t>
            </w:r>
          </w:p>
        </w:tc>
      </w:tr>
      <w:tr w:rsidR="00994B65" w:rsidRPr="00BD12CB" w14:paraId="4925B692" w14:textId="77777777" w:rsidTr="00EB7B9E">
        <w:trPr>
          <w:trHeight w:val="300"/>
        </w:trPr>
        <w:tc>
          <w:tcPr>
            <w:tcW w:w="5035" w:type="dxa"/>
            <w:shd w:val="clear" w:color="auto" w:fill="auto"/>
            <w:noWrap/>
          </w:tcPr>
          <w:p w14:paraId="6E5C7837" w14:textId="77777777" w:rsidR="00994B65" w:rsidRPr="00BD12CB" w:rsidRDefault="00994B65" w:rsidP="00F93488">
            <w:pPr>
              <w:pStyle w:val="TableTextLeft"/>
              <w:spacing w:before="56" w:after="56"/>
            </w:pPr>
            <w:r w:rsidRPr="0066146F">
              <w:t>Toowoomba</w:t>
            </w:r>
          </w:p>
        </w:tc>
        <w:tc>
          <w:tcPr>
            <w:tcW w:w="2041" w:type="dxa"/>
          </w:tcPr>
          <w:p w14:paraId="6C7CBC55" w14:textId="77777777" w:rsidR="00994B65" w:rsidRPr="00BD12CB" w:rsidRDefault="00994B65" w:rsidP="00F93488">
            <w:pPr>
              <w:pStyle w:val="TableTextCentered"/>
              <w:spacing w:before="56" w:after="56"/>
            </w:pPr>
            <w:r w:rsidRPr="00931095">
              <w:t>QLD</w:t>
            </w:r>
          </w:p>
        </w:tc>
        <w:tc>
          <w:tcPr>
            <w:tcW w:w="2041" w:type="dxa"/>
          </w:tcPr>
          <w:p w14:paraId="0851E75E" w14:textId="77777777" w:rsidR="00994B65" w:rsidRPr="00BD12CB" w:rsidRDefault="00994B65" w:rsidP="00F93488">
            <w:pPr>
              <w:pStyle w:val="TableTextCentered"/>
              <w:spacing w:before="56" w:after="56"/>
            </w:pPr>
            <w:r w:rsidRPr="00965465">
              <w:t>31</w:t>
            </w:r>
          </w:p>
        </w:tc>
      </w:tr>
      <w:tr w:rsidR="00994B65" w:rsidRPr="00BD12CB" w14:paraId="141F04EB" w14:textId="77777777" w:rsidTr="00EB7B9E">
        <w:trPr>
          <w:trHeight w:val="300"/>
        </w:trPr>
        <w:tc>
          <w:tcPr>
            <w:tcW w:w="5035" w:type="dxa"/>
            <w:shd w:val="clear" w:color="auto" w:fill="F2F2F2" w:themeFill="background1" w:themeFillShade="F2"/>
            <w:noWrap/>
          </w:tcPr>
          <w:p w14:paraId="46D9EC6F" w14:textId="77777777" w:rsidR="00994B65" w:rsidRPr="00BD12CB" w:rsidRDefault="00994B65" w:rsidP="00F93488">
            <w:pPr>
              <w:pStyle w:val="TableTextLeft"/>
              <w:spacing w:before="56" w:after="56"/>
            </w:pPr>
            <w:r w:rsidRPr="0066146F">
              <w:t>Southern Highlands &amp; Shoalhaven</w:t>
            </w:r>
          </w:p>
        </w:tc>
        <w:tc>
          <w:tcPr>
            <w:tcW w:w="2041" w:type="dxa"/>
            <w:shd w:val="clear" w:color="auto" w:fill="F2F2F2" w:themeFill="background1" w:themeFillShade="F2"/>
          </w:tcPr>
          <w:p w14:paraId="31503FA8" w14:textId="77777777" w:rsidR="00994B65" w:rsidRPr="00BD12CB" w:rsidRDefault="00994B65" w:rsidP="00F93488">
            <w:pPr>
              <w:pStyle w:val="TableTextCentered"/>
              <w:spacing w:before="56" w:after="56"/>
            </w:pPr>
            <w:r w:rsidRPr="00931095">
              <w:t>NSW</w:t>
            </w:r>
          </w:p>
        </w:tc>
        <w:tc>
          <w:tcPr>
            <w:tcW w:w="2041" w:type="dxa"/>
            <w:shd w:val="clear" w:color="auto" w:fill="F2F2F2" w:themeFill="background1" w:themeFillShade="F2"/>
          </w:tcPr>
          <w:p w14:paraId="6EA6E7FF" w14:textId="77777777" w:rsidR="00994B65" w:rsidRPr="00BD12CB" w:rsidRDefault="00994B65" w:rsidP="00F93488">
            <w:pPr>
              <w:pStyle w:val="TableTextCentered"/>
              <w:spacing w:before="56" w:after="56"/>
            </w:pPr>
            <w:r w:rsidRPr="00965465">
              <w:t>29</w:t>
            </w:r>
          </w:p>
        </w:tc>
      </w:tr>
      <w:tr w:rsidR="00994B65" w:rsidRPr="00BD12CB" w14:paraId="678403FE" w14:textId="77777777" w:rsidTr="00EB7B9E">
        <w:trPr>
          <w:trHeight w:val="300"/>
        </w:trPr>
        <w:tc>
          <w:tcPr>
            <w:tcW w:w="5035" w:type="dxa"/>
            <w:shd w:val="clear" w:color="auto" w:fill="auto"/>
            <w:noWrap/>
          </w:tcPr>
          <w:p w14:paraId="050C78C7" w14:textId="77777777" w:rsidR="00994B65" w:rsidRPr="00BD12CB" w:rsidRDefault="00994B65" w:rsidP="00F93488">
            <w:pPr>
              <w:pStyle w:val="TableTextLeft"/>
              <w:spacing w:before="56" w:after="56"/>
            </w:pPr>
            <w:r w:rsidRPr="0066146F">
              <w:t>Bendigo</w:t>
            </w:r>
          </w:p>
        </w:tc>
        <w:tc>
          <w:tcPr>
            <w:tcW w:w="2041" w:type="dxa"/>
          </w:tcPr>
          <w:p w14:paraId="4A820FC2" w14:textId="77777777" w:rsidR="00994B65" w:rsidRPr="00BD12CB" w:rsidRDefault="00994B65" w:rsidP="00F93488">
            <w:pPr>
              <w:pStyle w:val="TableTextCentered"/>
              <w:spacing w:before="56" w:after="56"/>
            </w:pPr>
            <w:r w:rsidRPr="00931095">
              <w:t>VIC</w:t>
            </w:r>
          </w:p>
        </w:tc>
        <w:tc>
          <w:tcPr>
            <w:tcW w:w="2041" w:type="dxa"/>
          </w:tcPr>
          <w:p w14:paraId="7AA3586B" w14:textId="77777777" w:rsidR="00994B65" w:rsidRPr="00BD12CB" w:rsidRDefault="00994B65" w:rsidP="00F93488">
            <w:pPr>
              <w:pStyle w:val="TableTextCentered"/>
              <w:spacing w:before="56" w:after="56"/>
            </w:pPr>
            <w:r w:rsidRPr="00965465">
              <w:t>26</w:t>
            </w:r>
          </w:p>
        </w:tc>
      </w:tr>
      <w:tr w:rsidR="00994B65" w:rsidRPr="00BD12CB" w14:paraId="35E8A39A" w14:textId="77777777" w:rsidTr="00EB7B9E">
        <w:trPr>
          <w:trHeight w:val="300"/>
        </w:trPr>
        <w:tc>
          <w:tcPr>
            <w:tcW w:w="5035" w:type="dxa"/>
            <w:tcBorders>
              <w:bottom w:val="nil"/>
            </w:tcBorders>
            <w:shd w:val="clear" w:color="auto" w:fill="F2F2F2" w:themeFill="background1" w:themeFillShade="F2"/>
            <w:noWrap/>
          </w:tcPr>
          <w:p w14:paraId="4E9A2288" w14:textId="77777777" w:rsidR="00994B65" w:rsidRPr="00BD12CB" w:rsidRDefault="00994B65" w:rsidP="00F93488">
            <w:pPr>
              <w:pStyle w:val="TableTextLeft"/>
              <w:spacing w:before="56" w:after="56"/>
            </w:pPr>
            <w:r w:rsidRPr="0066146F">
              <w:t>NSW Capital Region</w:t>
            </w:r>
          </w:p>
        </w:tc>
        <w:tc>
          <w:tcPr>
            <w:tcW w:w="2041" w:type="dxa"/>
            <w:tcBorders>
              <w:bottom w:val="nil"/>
            </w:tcBorders>
            <w:shd w:val="clear" w:color="auto" w:fill="F2F2F2" w:themeFill="background1" w:themeFillShade="F2"/>
          </w:tcPr>
          <w:p w14:paraId="0A2B8D88" w14:textId="77777777" w:rsidR="00994B65" w:rsidRPr="00BD12CB" w:rsidRDefault="00994B65" w:rsidP="00F93488">
            <w:pPr>
              <w:pStyle w:val="TableTextCentered"/>
              <w:spacing w:before="56" w:after="56"/>
            </w:pPr>
            <w:r w:rsidRPr="00931095">
              <w:t>NSW</w:t>
            </w:r>
          </w:p>
        </w:tc>
        <w:tc>
          <w:tcPr>
            <w:tcW w:w="2041" w:type="dxa"/>
            <w:tcBorders>
              <w:bottom w:val="nil"/>
            </w:tcBorders>
            <w:shd w:val="clear" w:color="auto" w:fill="F2F2F2" w:themeFill="background1" w:themeFillShade="F2"/>
          </w:tcPr>
          <w:p w14:paraId="43E150E1" w14:textId="77777777" w:rsidR="00994B65" w:rsidRPr="00BD12CB" w:rsidRDefault="00994B65" w:rsidP="00F93488">
            <w:pPr>
              <w:pStyle w:val="TableTextCentered"/>
              <w:spacing w:before="56" w:after="56"/>
            </w:pPr>
            <w:r w:rsidRPr="00965465">
              <w:t>25</w:t>
            </w:r>
          </w:p>
        </w:tc>
      </w:tr>
      <w:tr w:rsidR="00994B65" w:rsidRPr="00BD12CB" w14:paraId="4BB97B90" w14:textId="77777777" w:rsidTr="00EB7B9E">
        <w:trPr>
          <w:trHeight w:val="300"/>
        </w:trPr>
        <w:tc>
          <w:tcPr>
            <w:tcW w:w="5035" w:type="dxa"/>
            <w:tcBorders>
              <w:top w:val="nil"/>
              <w:bottom w:val="single" w:sz="4" w:space="0" w:color="808080" w:themeColor="background1" w:themeShade="80"/>
            </w:tcBorders>
            <w:shd w:val="clear" w:color="auto" w:fill="auto"/>
            <w:noWrap/>
          </w:tcPr>
          <w:p w14:paraId="38D918F2" w14:textId="77777777" w:rsidR="00994B65" w:rsidRPr="00BD12CB" w:rsidRDefault="00994B65" w:rsidP="00F93488">
            <w:pPr>
              <w:pStyle w:val="TableTextLeft"/>
              <w:spacing w:before="56" w:after="56"/>
            </w:pPr>
            <w:r w:rsidRPr="0066146F">
              <w:t>Central Queensland</w:t>
            </w:r>
          </w:p>
        </w:tc>
        <w:tc>
          <w:tcPr>
            <w:tcW w:w="2041" w:type="dxa"/>
            <w:tcBorders>
              <w:top w:val="nil"/>
              <w:bottom w:val="single" w:sz="4" w:space="0" w:color="808080" w:themeColor="background1" w:themeShade="80"/>
            </w:tcBorders>
          </w:tcPr>
          <w:p w14:paraId="7B9ED91F" w14:textId="77777777" w:rsidR="00994B65" w:rsidRPr="00BD12CB" w:rsidRDefault="00994B65" w:rsidP="00F93488">
            <w:pPr>
              <w:pStyle w:val="TableTextCentered"/>
              <w:spacing w:before="56" w:after="56"/>
            </w:pPr>
            <w:r w:rsidRPr="00931095">
              <w:t>QLD</w:t>
            </w:r>
          </w:p>
        </w:tc>
        <w:tc>
          <w:tcPr>
            <w:tcW w:w="2041" w:type="dxa"/>
            <w:tcBorders>
              <w:top w:val="nil"/>
              <w:bottom w:val="single" w:sz="4" w:space="0" w:color="808080" w:themeColor="background1" w:themeShade="80"/>
            </w:tcBorders>
          </w:tcPr>
          <w:p w14:paraId="17FC78F8" w14:textId="77777777" w:rsidR="00994B65" w:rsidRPr="00BD12CB" w:rsidRDefault="00994B65" w:rsidP="00F93488">
            <w:pPr>
              <w:pStyle w:val="TableTextCentered"/>
              <w:spacing w:before="56" w:after="56"/>
            </w:pPr>
            <w:r w:rsidRPr="00965465">
              <w:t>25</w:t>
            </w:r>
          </w:p>
        </w:tc>
      </w:tr>
    </w:tbl>
    <w:p w14:paraId="25C6295E" w14:textId="77777777" w:rsidR="00994B65" w:rsidRPr="00994B65" w:rsidRDefault="00CD6B7B" w:rsidP="00A36CBF">
      <w:pPr>
        <w:pStyle w:val="ChartorTableNote"/>
      </w:pPr>
      <w:r w:rsidRPr="00385501">
        <w:t xml:space="preserve">Source: </w:t>
      </w:r>
      <w:r w:rsidRPr="007525B1">
        <w:t>ABS</w:t>
      </w:r>
      <w:r w:rsidR="00401F79" w:rsidRPr="007525B1">
        <w:t xml:space="preserve"> </w:t>
      </w:r>
      <w:r w:rsidR="00567CC9" w:rsidRPr="00185CA1">
        <w:t>201</w:t>
      </w:r>
      <w:r w:rsidR="00331467">
        <w:t>7</w:t>
      </w:r>
      <w:r w:rsidR="00B211A0">
        <w:t>d &amp;</w:t>
      </w:r>
      <w:r w:rsidR="00CB7B92" w:rsidRPr="007525B1">
        <w:t xml:space="preserve"> </w:t>
      </w:r>
      <w:r w:rsidR="00331467">
        <w:t>ABS 2017</w:t>
      </w:r>
      <w:r w:rsidR="00B211A0">
        <w:t>e</w:t>
      </w:r>
      <w:r w:rsidR="00331467">
        <w:t xml:space="preserve">, </w:t>
      </w:r>
      <w:r w:rsidR="00401F79" w:rsidRPr="007525B1">
        <w:t>a</w:t>
      </w:r>
      <w:r w:rsidR="00CB7B92" w:rsidRPr="007525B1">
        <w:t>uthors</w:t>
      </w:r>
      <w:r w:rsidR="00374EF1" w:rsidRPr="007525B1">
        <w:t>’</w:t>
      </w:r>
      <w:r w:rsidR="00CB7B92" w:rsidRPr="007525B1">
        <w:t xml:space="preserve"> </w:t>
      </w:r>
      <w:r w:rsidR="00CB7B92" w:rsidRPr="007525B1" w:rsidDel="005E6AD4">
        <w:t>calculations</w:t>
      </w:r>
      <w:r w:rsidR="00401F79" w:rsidRPr="007525B1">
        <w:t>.</w:t>
      </w:r>
    </w:p>
    <w:p w14:paraId="3E2DBDC3" w14:textId="77777777" w:rsidR="0011168A" w:rsidRPr="00994B65" w:rsidRDefault="0011168A" w:rsidP="00994B65">
      <w:pPr>
        <w:pStyle w:val="Heading3Numbered"/>
      </w:pPr>
      <w:r w:rsidRPr="00994B65">
        <w:t xml:space="preserve">Capital cities </w:t>
      </w:r>
      <w:r w:rsidR="00DE0EDC" w:rsidRPr="00994B65">
        <w:t>have</w:t>
      </w:r>
      <w:r w:rsidRPr="00994B65">
        <w:t xml:space="preserve"> continue</w:t>
      </w:r>
      <w:r w:rsidR="00DE0EDC" w:rsidRPr="00994B65">
        <w:t>d</w:t>
      </w:r>
      <w:r w:rsidRPr="00994B65">
        <w:t xml:space="preserve"> to attract migrants</w:t>
      </w:r>
    </w:p>
    <w:p w14:paraId="7BD5A7AB" w14:textId="77777777" w:rsidR="0011168A" w:rsidRDefault="00DE0EDC" w:rsidP="007B55E5">
      <w:r>
        <w:t>In 2016</w:t>
      </w:r>
      <w:r w:rsidR="0011168A" w:rsidRPr="0011168A">
        <w:t>, 8</w:t>
      </w:r>
      <w:r>
        <w:t>3</w:t>
      </w:r>
      <w:r w:rsidR="0011168A" w:rsidRPr="0011168A">
        <w:t xml:space="preserve"> per cent of the </w:t>
      </w:r>
      <w:r>
        <w:t>overseas</w:t>
      </w:r>
      <w:r>
        <w:noBreakHyphen/>
        <w:t>born</w:t>
      </w:r>
      <w:r w:rsidRPr="0011168A">
        <w:t xml:space="preserve"> </w:t>
      </w:r>
      <w:r w:rsidR="0011168A" w:rsidRPr="0011168A">
        <w:t>population were living in capital cities</w:t>
      </w:r>
      <w:r>
        <w:t xml:space="preserve">, almost unchanged from 81 per cent in 1996. This </w:t>
      </w:r>
      <w:r w:rsidR="0011168A" w:rsidRPr="0011168A">
        <w:t>compare</w:t>
      </w:r>
      <w:r>
        <w:t>s with 61 per cent</w:t>
      </w:r>
      <w:r w:rsidR="00CD6B7B">
        <w:t xml:space="preserve"> of the </w:t>
      </w:r>
      <w:r>
        <w:t>Australian</w:t>
      </w:r>
      <w:r>
        <w:noBreakHyphen/>
        <w:t>born</w:t>
      </w:r>
      <w:r w:rsidR="0011168A" w:rsidRPr="0011168A">
        <w:t xml:space="preserve"> population</w:t>
      </w:r>
      <w:r>
        <w:t xml:space="preserve">, up from </w:t>
      </w:r>
      <w:r w:rsidR="00884998">
        <w:t>6</w:t>
      </w:r>
      <w:r>
        <w:t>0 per cent in 1996</w:t>
      </w:r>
      <w:r w:rsidR="0011168A" w:rsidRPr="0011168A">
        <w:t>.</w:t>
      </w:r>
    </w:p>
    <w:p w14:paraId="4E8E566A" w14:textId="77777777" w:rsidR="00DE0EDC" w:rsidRPr="0011168A" w:rsidRDefault="00CB7B92" w:rsidP="007B55E5">
      <w:r>
        <w:t>The percentage of the population born overseas varies. Almost 40 per cent of the populations of Sydney, Perth and Melbourne were born overseas, compared to only 15 per cent of the population in Hobart</w:t>
      </w:r>
      <w:r w:rsidR="00AC3DA4">
        <w:t xml:space="preserve"> (Table 2)</w:t>
      </w:r>
      <w:r>
        <w:t>.</w:t>
      </w:r>
    </w:p>
    <w:p w14:paraId="4595EDC2" w14:textId="77777777" w:rsidR="00CD6B7B" w:rsidRDefault="00CD6B7B" w:rsidP="00994B65">
      <w:pPr>
        <w:pStyle w:val="TableMainHeading"/>
      </w:pPr>
      <w:r>
        <w:t xml:space="preserve">Table </w:t>
      </w:r>
      <w:r w:rsidR="00401F79">
        <w:t>2</w:t>
      </w:r>
      <w:r>
        <w:t xml:space="preserve">: Migrant </w:t>
      </w:r>
      <w:r w:rsidR="00CB7B92">
        <w:t>share of capital city populations</w:t>
      </w:r>
      <w:r w:rsidR="00916FD3">
        <w:t>,</w:t>
      </w:r>
      <w:r w:rsidR="00CB7B92">
        <w:t xml:space="preserve"> 2016</w:t>
      </w:r>
    </w:p>
    <w:tbl>
      <w:tblPr>
        <w:tblW w:w="9130" w:type="dxa"/>
        <w:tblInd w:w="93"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1106"/>
        <w:gridCol w:w="1106"/>
        <w:gridCol w:w="1332"/>
        <w:gridCol w:w="1106"/>
        <w:gridCol w:w="1106"/>
        <w:gridCol w:w="1106"/>
        <w:gridCol w:w="1162"/>
        <w:gridCol w:w="1106"/>
      </w:tblGrid>
      <w:tr w:rsidR="000B438C" w:rsidRPr="00DC385A" w14:paraId="02533A45" w14:textId="77777777" w:rsidTr="00EB7B9E">
        <w:trPr>
          <w:trHeight w:val="392"/>
        </w:trPr>
        <w:tc>
          <w:tcPr>
            <w:tcW w:w="1106" w:type="dxa"/>
            <w:shd w:val="clear" w:color="auto" w:fill="DEEAF6" w:themeFill="accent1" w:themeFillTint="33"/>
            <w:vAlign w:val="center"/>
          </w:tcPr>
          <w:p w14:paraId="23CF0FBC" w14:textId="77777777" w:rsidR="000B438C" w:rsidRPr="0065215B" w:rsidRDefault="000B438C" w:rsidP="000B438C">
            <w:pPr>
              <w:pStyle w:val="TableColumnHeadingCentred"/>
            </w:pPr>
            <w:r w:rsidRPr="0065215B">
              <w:t>Sydney</w:t>
            </w:r>
          </w:p>
        </w:tc>
        <w:tc>
          <w:tcPr>
            <w:tcW w:w="1106" w:type="dxa"/>
            <w:shd w:val="clear" w:color="auto" w:fill="DEEAF6" w:themeFill="accent1" w:themeFillTint="33"/>
            <w:vAlign w:val="center"/>
          </w:tcPr>
          <w:p w14:paraId="599B541F" w14:textId="77777777" w:rsidR="000B438C" w:rsidRPr="00435805" w:rsidRDefault="000B438C" w:rsidP="000B438C">
            <w:pPr>
              <w:pStyle w:val="TableColumnHeadingCentred"/>
            </w:pPr>
            <w:r w:rsidRPr="00435805">
              <w:t>Perth</w:t>
            </w:r>
          </w:p>
        </w:tc>
        <w:tc>
          <w:tcPr>
            <w:tcW w:w="1332" w:type="dxa"/>
            <w:shd w:val="clear" w:color="auto" w:fill="DEEAF6" w:themeFill="accent1" w:themeFillTint="33"/>
            <w:noWrap/>
            <w:vAlign w:val="center"/>
          </w:tcPr>
          <w:p w14:paraId="36F70546" w14:textId="77777777" w:rsidR="000B438C" w:rsidRPr="0065215B" w:rsidRDefault="000B438C" w:rsidP="000B438C">
            <w:pPr>
              <w:pStyle w:val="TableColumnHeadingCentred"/>
            </w:pPr>
            <w:r>
              <w:t>Melbourne</w:t>
            </w:r>
          </w:p>
        </w:tc>
        <w:tc>
          <w:tcPr>
            <w:tcW w:w="1106" w:type="dxa"/>
            <w:shd w:val="clear" w:color="auto" w:fill="DEEAF6" w:themeFill="accent1" w:themeFillTint="33"/>
            <w:vAlign w:val="center"/>
          </w:tcPr>
          <w:p w14:paraId="3D922A5E" w14:textId="77777777" w:rsidR="000B438C" w:rsidRPr="0065215B" w:rsidRDefault="000B438C" w:rsidP="000B438C">
            <w:pPr>
              <w:pStyle w:val="TableColumnHeadingCentred"/>
            </w:pPr>
            <w:r>
              <w:t>Darwin</w:t>
            </w:r>
          </w:p>
        </w:tc>
        <w:tc>
          <w:tcPr>
            <w:tcW w:w="1106" w:type="dxa"/>
            <w:shd w:val="clear" w:color="auto" w:fill="DEEAF6" w:themeFill="accent1" w:themeFillTint="33"/>
            <w:vAlign w:val="center"/>
          </w:tcPr>
          <w:p w14:paraId="2B702D1E" w14:textId="77777777" w:rsidR="000B438C" w:rsidRPr="0065215B" w:rsidRDefault="000B438C" w:rsidP="000B438C">
            <w:pPr>
              <w:pStyle w:val="TableColumnHeadingCentred"/>
            </w:pPr>
            <w:r>
              <w:t>Brisbane</w:t>
            </w:r>
          </w:p>
        </w:tc>
        <w:tc>
          <w:tcPr>
            <w:tcW w:w="1106" w:type="dxa"/>
            <w:shd w:val="clear" w:color="auto" w:fill="DEEAF6" w:themeFill="accent1" w:themeFillTint="33"/>
            <w:vAlign w:val="center"/>
          </w:tcPr>
          <w:p w14:paraId="097FB0FE" w14:textId="77777777" w:rsidR="000B438C" w:rsidRPr="0065215B" w:rsidRDefault="000B438C" w:rsidP="000B438C">
            <w:pPr>
              <w:pStyle w:val="TableColumnHeadingCentred"/>
            </w:pPr>
            <w:r>
              <w:t>Adelaide</w:t>
            </w:r>
          </w:p>
        </w:tc>
        <w:tc>
          <w:tcPr>
            <w:tcW w:w="1162" w:type="dxa"/>
            <w:shd w:val="clear" w:color="auto" w:fill="DEEAF6" w:themeFill="accent1" w:themeFillTint="33"/>
            <w:vAlign w:val="center"/>
          </w:tcPr>
          <w:p w14:paraId="02B5B2A1" w14:textId="77777777" w:rsidR="000B438C" w:rsidRPr="0065215B" w:rsidRDefault="000B438C" w:rsidP="000B438C">
            <w:pPr>
              <w:pStyle w:val="TableColumnHeadingCentred"/>
            </w:pPr>
            <w:r>
              <w:t>Canberra</w:t>
            </w:r>
          </w:p>
        </w:tc>
        <w:tc>
          <w:tcPr>
            <w:tcW w:w="1106" w:type="dxa"/>
            <w:shd w:val="clear" w:color="auto" w:fill="DEEAF6" w:themeFill="accent1" w:themeFillTint="33"/>
            <w:vAlign w:val="center"/>
          </w:tcPr>
          <w:p w14:paraId="0F92805D" w14:textId="77777777" w:rsidR="000B438C" w:rsidRPr="0065215B" w:rsidRDefault="000B438C" w:rsidP="000B438C">
            <w:pPr>
              <w:pStyle w:val="TableColumnHeadingCentred"/>
            </w:pPr>
            <w:r>
              <w:t>Hobart</w:t>
            </w:r>
          </w:p>
        </w:tc>
      </w:tr>
      <w:tr w:rsidR="000B438C" w:rsidRPr="00BD12CB" w14:paraId="60A78DB1" w14:textId="77777777" w:rsidTr="00EB7B9E">
        <w:trPr>
          <w:trHeight w:val="64"/>
        </w:trPr>
        <w:tc>
          <w:tcPr>
            <w:tcW w:w="1106" w:type="dxa"/>
            <w:vAlign w:val="center"/>
          </w:tcPr>
          <w:p w14:paraId="4DEF2250" w14:textId="77777777" w:rsidR="000B438C" w:rsidRPr="00BD12CB" w:rsidRDefault="000B438C" w:rsidP="000B438C">
            <w:pPr>
              <w:pStyle w:val="TableTextCentered"/>
            </w:pPr>
            <w:r w:rsidRPr="00BD12CB">
              <w:t>39 %</w:t>
            </w:r>
          </w:p>
        </w:tc>
        <w:tc>
          <w:tcPr>
            <w:tcW w:w="1106" w:type="dxa"/>
            <w:vAlign w:val="center"/>
          </w:tcPr>
          <w:p w14:paraId="6A042836" w14:textId="77777777" w:rsidR="000B438C" w:rsidRPr="00BD12CB" w:rsidRDefault="000B438C" w:rsidP="000B438C">
            <w:pPr>
              <w:pStyle w:val="TableTextCentered"/>
            </w:pPr>
            <w:r w:rsidRPr="00BD12CB">
              <w:t>39 %</w:t>
            </w:r>
          </w:p>
        </w:tc>
        <w:tc>
          <w:tcPr>
            <w:tcW w:w="1332" w:type="dxa"/>
            <w:shd w:val="clear" w:color="auto" w:fill="auto"/>
            <w:noWrap/>
            <w:vAlign w:val="center"/>
          </w:tcPr>
          <w:p w14:paraId="3C878598" w14:textId="77777777" w:rsidR="000B438C" w:rsidRPr="00BD12CB" w:rsidRDefault="000B438C" w:rsidP="000B438C">
            <w:pPr>
              <w:pStyle w:val="TableTextCentered"/>
            </w:pPr>
            <w:r w:rsidRPr="00BD12CB">
              <w:t>36 %</w:t>
            </w:r>
          </w:p>
        </w:tc>
        <w:tc>
          <w:tcPr>
            <w:tcW w:w="1106" w:type="dxa"/>
            <w:vAlign w:val="center"/>
          </w:tcPr>
          <w:p w14:paraId="361CFA3A" w14:textId="77777777" w:rsidR="000B438C" w:rsidRPr="00BD12CB" w:rsidRDefault="000B438C" w:rsidP="000B438C">
            <w:pPr>
              <w:pStyle w:val="TableTextCentered"/>
            </w:pPr>
            <w:r w:rsidRPr="00BD12CB">
              <w:t>29 %</w:t>
            </w:r>
          </w:p>
        </w:tc>
        <w:tc>
          <w:tcPr>
            <w:tcW w:w="1106" w:type="dxa"/>
            <w:vAlign w:val="center"/>
          </w:tcPr>
          <w:p w14:paraId="10B84D07" w14:textId="77777777" w:rsidR="000B438C" w:rsidRPr="00BD12CB" w:rsidRDefault="000B438C" w:rsidP="000B438C">
            <w:pPr>
              <w:pStyle w:val="TableTextCentered"/>
            </w:pPr>
            <w:r w:rsidRPr="00BD12CB">
              <w:t>28 %</w:t>
            </w:r>
          </w:p>
        </w:tc>
        <w:tc>
          <w:tcPr>
            <w:tcW w:w="1106" w:type="dxa"/>
            <w:vAlign w:val="center"/>
          </w:tcPr>
          <w:p w14:paraId="096FC3BD" w14:textId="77777777" w:rsidR="000B438C" w:rsidRPr="00BD12CB" w:rsidRDefault="000B438C" w:rsidP="000B438C">
            <w:pPr>
              <w:pStyle w:val="TableTextCentered"/>
            </w:pPr>
            <w:r w:rsidRPr="00BD12CB">
              <w:t>28 %</w:t>
            </w:r>
          </w:p>
        </w:tc>
        <w:tc>
          <w:tcPr>
            <w:tcW w:w="1162" w:type="dxa"/>
            <w:vAlign w:val="center"/>
          </w:tcPr>
          <w:p w14:paraId="1FB4D3FF" w14:textId="77777777" w:rsidR="000B438C" w:rsidRPr="00BD12CB" w:rsidRDefault="000B438C" w:rsidP="000B438C">
            <w:pPr>
              <w:pStyle w:val="TableTextCentered"/>
            </w:pPr>
            <w:r w:rsidRPr="00BD12CB">
              <w:t>28 %</w:t>
            </w:r>
          </w:p>
        </w:tc>
        <w:tc>
          <w:tcPr>
            <w:tcW w:w="1106" w:type="dxa"/>
            <w:shd w:val="clear" w:color="auto" w:fill="auto"/>
            <w:noWrap/>
            <w:vAlign w:val="center"/>
          </w:tcPr>
          <w:p w14:paraId="7735A929" w14:textId="77777777" w:rsidR="000B438C" w:rsidRPr="00BD12CB" w:rsidRDefault="000B438C" w:rsidP="000B438C">
            <w:pPr>
              <w:pStyle w:val="TableTextCentered"/>
            </w:pPr>
            <w:r w:rsidRPr="00BD12CB">
              <w:t>15 %</w:t>
            </w:r>
          </w:p>
        </w:tc>
      </w:tr>
    </w:tbl>
    <w:p w14:paraId="16F3ACA0" w14:textId="77777777" w:rsidR="000B438C" w:rsidRPr="000B438C" w:rsidRDefault="00CD6B7B" w:rsidP="00A36CBF">
      <w:pPr>
        <w:pStyle w:val="ChartorTableNote"/>
      </w:pPr>
      <w:r w:rsidRPr="007B55E5">
        <w:t xml:space="preserve">Source: </w:t>
      </w:r>
      <w:r w:rsidR="00B211A0">
        <w:t xml:space="preserve">ABS 2017e, </w:t>
      </w:r>
      <w:r w:rsidR="00CB7B92">
        <w:t xml:space="preserve">ABS </w:t>
      </w:r>
      <w:r w:rsidR="0044007D" w:rsidRPr="00644DDF">
        <w:t>201</w:t>
      </w:r>
      <w:r w:rsidR="00331467" w:rsidRPr="00644DDF">
        <w:t>7</w:t>
      </w:r>
      <w:r w:rsidR="00B211A0" w:rsidRPr="00644DDF">
        <w:t>f</w:t>
      </w:r>
      <w:r w:rsidR="00B211A0">
        <w:t xml:space="preserve"> &amp;</w:t>
      </w:r>
      <w:r w:rsidR="00CB7B92">
        <w:t xml:space="preserve"> </w:t>
      </w:r>
      <w:r w:rsidR="00331467">
        <w:t>ABS2017</w:t>
      </w:r>
      <w:r w:rsidR="00B211A0">
        <w:t>g</w:t>
      </w:r>
      <w:r w:rsidR="00331467">
        <w:t xml:space="preserve">, </w:t>
      </w:r>
      <w:r w:rsidR="00401F79">
        <w:t>a</w:t>
      </w:r>
      <w:r w:rsidR="00CB7B92">
        <w:t xml:space="preserve">uthors’ </w:t>
      </w:r>
      <w:r w:rsidR="00CB7B92" w:rsidDel="00FE76D4">
        <w:t>calculations</w:t>
      </w:r>
      <w:r w:rsidR="0087669D">
        <w:t>.</w:t>
      </w:r>
    </w:p>
    <w:p w14:paraId="1D322A21" w14:textId="77777777" w:rsidR="00CB7B92" w:rsidRPr="00CB7B92" w:rsidRDefault="00CB7B92" w:rsidP="00CB7B92">
      <w:r w:rsidRPr="00CB7B92">
        <w:t xml:space="preserve">Between 1996 and 2016, migration accounted for 54 per cent of the increase in the </w:t>
      </w:r>
      <w:r w:rsidR="0064560D">
        <w:t xml:space="preserve">Australian </w:t>
      </w:r>
      <w:r w:rsidRPr="00CB7B92">
        <w:t xml:space="preserve">population, but there was considerable variability across the capitals (Table </w:t>
      </w:r>
      <w:r w:rsidR="00916FD3">
        <w:t>3</w:t>
      </w:r>
      <w:r w:rsidRPr="00CB7B92">
        <w:t>). In Sydney, migrants contribute</w:t>
      </w:r>
      <w:r w:rsidR="008D02B1">
        <w:t>d</w:t>
      </w:r>
      <w:r w:rsidRPr="00CB7B92">
        <w:t xml:space="preserve"> nearly two</w:t>
      </w:r>
      <w:r w:rsidR="00916FD3">
        <w:noBreakHyphen/>
      </w:r>
      <w:r w:rsidRPr="00CB7B92">
        <w:t xml:space="preserve">thirds of the increase in the population. This relatively high share is due, in part, to the net internal migration away from Sydney discussed earlier. In parts of Sydney, such as Ryde, Parramatta, the </w:t>
      </w:r>
      <w:r w:rsidR="008D02B1">
        <w:t>I</w:t>
      </w:r>
      <w:r w:rsidRPr="00CB7B92">
        <w:t>nner</w:t>
      </w:r>
      <w:r w:rsidR="00FE76D4">
        <w:t>-</w:t>
      </w:r>
      <w:r w:rsidRPr="00CB7B92">
        <w:t>West, North Sydney</w:t>
      </w:r>
      <w:r w:rsidR="008D02B1">
        <w:t xml:space="preserve"> &amp;</w:t>
      </w:r>
      <w:r w:rsidRPr="00CB7B92">
        <w:t xml:space="preserve"> Hornsby</w:t>
      </w:r>
      <w:r w:rsidR="008D02B1">
        <w:t>,</w:t>
      </w:r>
      <w:r w:rsidRPr="00CB7B92">
        <w:t xml:space="preserve"> and the </w:t>
      </w:r>
      <w:r w:rsidR="008D02B1">
        <w:t>E</w:t>
      </w:r>
      <w:r w:rsidRPr="00CB7B92">
        <w:t xml:space="preserve">astern </w:t>
      </w:r>
      <w:r w:rsidR="008D02B1">
        <w:t>S</w:t>
      </w:r>
      <w:r w:rsidRPr="00CB7B92">
        <w:t>uburbs, migrants account</w:t>
      </w:r>
      <w:r w:rsidR="008D02B1">
        <w:t>ed</w:t>
      </w:r>
      <w:r w:rsidRPr="00CB7B92">
        <w:t xml:space="preserve"> for more than 70 per cent of the increase in population.</w:t>
      </w:r>
    </w:p>
    <w:p w14:paraId="2886E9B7" w14:textId="77777777" w:rsidR="00CB7B92" w:rsidRDefault="00CB7B92" w:rsidP="00CB7B92">
      <w:r w:rsidRPr="00CB7B92">
        <w:lastRenderedPageBreak/>
        <w:t>In Melbourne</w:t>
      </w:r>
      <w:r w:rsidR="00AC3DA4">
        <w:t>’s Inner-East</w:t>
      </w:r>
      <w:r w:rsidRPr="00CB7B92">
        <w:t>, migrants account</w:t>
      </w:r>
      <w:r w:rsidR="008D02B1">
        <w:t>ed</w:t>
      </w:r>
      <w:r w:rsidRPr="00CB7B92">
        <w:t xml:space="preserve"> for </w:t>
      </w:r>
      <w:r w:rsidR="008D02B1">
        <w:t>100 per cent</w:t>
      </w:r>
      <w:r w:rsidRPr="00CB7B92">
        <w:t xml:space="preserve"> of the population</w:t>
      </w:r>
      <w:r w:rsidR="008D02B1">
        <w:t xml:space="preserve"> growth</w:t>
      </w:r>
      <w:r w:rsidRPr="00CB7B92">
        <w:t xml:space="preserve"> </w:t>
      </w:r>
      <w:r w:rsidR="00B947DD">
        <w:t>(due </w:t>
      </w:r>
      <w:r w:rsidR="008D02B1">
        <w:t>to Australian</w:t>
      </w:r>
      <w:r w:rsidR="008D02B1">
        <w:noBreakHyphen/>
        <w:t>born residents arriving and leaving the area in equal numbers)</w:t>
      </w:r>
      <w:r w:rsidR="00AC3DA4">
        <w:t>.</w:t>
      </w:r>
      <w:r w:rsidRPr="00CB7B92">
        <w:t xml:space="preserve"> </w:t>
      </w:r>
      <w:r w:rsidR="00AC3DA4">
        <w:t>Migrants accounted for</w:t>
      </w:r>
      <w:r w:rsidR="00AC3DA4" w:rsidRPr="00CB7B92">
        <w:t xml:space="preserve"> </w:t>
      </w:r>
      <w:r w:rsidRPr="00CB7B92">
        <w:t>just over 60</w:t>
      </w:r>
      <w:r w:rsidR="00B947DD">
        <w:t> </w:t>
      </w:r>
      <w:r w:rsidRPr="00CB7B92">
        <w:t xml:space="preserve">per cent </w:t>
      </w:r>
      <w:r w:rsidR="008D02B1">
        <w:t xml:space="preserve">of population growth </w:t>
      </w:r>
      <w:r w:rsidRPr="00CB7B92">
        <w:t xml:space="preserve">in </w:t>
      </w:r>
      <w:r w:rsidR="00AC3DA4">
        <w:t>Melbourne’s</w:t>
      </w:r>
      <w:r w:rsidR="00AC3DA4" w:rsidRPr="00CB7B92">
        <w:t xml:space="preserve"> </w:t>
      </w:r>
      <w:r w:rsidR="008D02B1">
        <w:t>S</w:t>
      </w:r>
      <w:r w:rsidRPr="00CB7B92">
        <w:t>outh</w:t>
      </w:r>
      <w:r w:rsidR="00CD39FE">
        <w:t>-</w:t>
      </w:r>
      <w:r w:rsidRPr="00CB7B92">
        <w:t>East.</w:t>
      </w:r>
      <w:r w:rsidR="00FE76D4">
        <w:t xml:space="preserve"> I</w:t>
      </w:r>
      <w:r w:rsidRPr="00CB7B92">
        <w:t xml:space="preserve">n the </w:t>
      </w:r>
      <w:r w:rsidR="00F03993">
        <w:t>seven</w:t>
      </w:r>
      <w:r w:rsidRPr="00CB7B92">
        <w:t xml:space="preserve"> remaining regions within Melbourne</w:t>
      </w:r>
      <w:r w:rsidR="008D02B1">
        <w:t>,</w:t>
      </w:r>
      <w:r w:rsidRPr="00CB7B92">
        <w:t xml:space="preserve"> migrant</w:t>
      </w:r>
      <w:r w:rsidR="008D02B1">
        <w:t>s</w:t>
      </w:r>
      <w:r w:rsidRPr="00CB7B92">
        <w:t xml:space="preserve"> account</w:t>
      </w:r>
      <w:r w:rsidR="008D02B1">
        <w:t>ed</w:t>
      </w:r>
      <w:r w:rsidRPr="00CB7B92">
        <w:t xml:space="preserve"> for </w:t>
      </w:r>
      <w:r w:rsidR="00FE76D4">
        <w:t xml:space="preserve">only </w:t>
      </w:r>
      <w:r w:rsidRPr="00CB7B92">
        <w:t>around 50 per cent or less</w:t>
      </w:r>
      <w:r w:rsidR="00AC3DA4">
        <w:t xml:space="preserve"> of growth</w:t>
      </w:r>
      <w:r w:rsidRPr="00CB7B92">
        <w:t>. In</w:t>
      </w:r>
      <w:r w:rsidR="00CB155A">
        <w:t> </w:t>
      </w:r>
      <w:r w:rsidRPr="00CB7B92">
        <w:t xml:space="preserve">Perth and Brisbane, the contribution of migration to population growth </w:t>
      </w:r>
      <w:r w:rsidR="00F03993">
        <w:t>wa</w:t>
      </w:r>
      <w:r w:rsidRPr="00CB7B92">
        <w:t xml:space="preserve">s more evenly </w:t>
      </w:r>
      <w:r w:rsidR="00FE76D4">
        <w:t>distributed</w:t>
      </w:r>
      <w:r w:rsidR="00FE76D4" w:rsidRPr="00CB7B92">
        <w:t xml:space="preserve"> </w:t>
      </w:r>
      <w:r w:rsidRPr="00CB7B92">
        <w:t>across the geogra</w:t>
      </w:r>
      <w:r w:rsidR="008D02B1">
        <w:t>p</w:t>
      </w:r>
      <w:r w:rsidRPr="00CB7B92">
        <w:t>hic spread of those cities.</w:t>
      </w:r>
    </w:p>
    <w:p w14:paraId="5AC0CE05" w14:textId="77777777" w:rsidR="00AC3DA4" w:rsidRDefault="00AC3DA4" w:rsidP="000B438C">
      <w:pPr>
        <w:pStyle w:val="TableMainHeading"/>
      </w:pPr>
      <w:r>
        <w:t xml:space="preserve">Table </w:t>
      </w:r>
      <w:r w:rsidR="0053397A">
        <w:t>3</w:t>
      </w:r>
      <w:r>
        <w:t>: Migrant contribution to population growth by capital city</w:t>
      </w:r>
      <w:r w:rsidR="00916FD3">
        <w:t>, 1996</w:t>
      </w:r>
      <w:r>
        <w:t xml:space="preserve"> </w:t>
      </w:r>
      <w:r w:rsidRPr="00916FD3">
        <w:t>to 20</w:t>
      </w:r>
      <w:r w:rsidR="00916FD3" w:rsidRPr="00185CA1">
        <w:t>16</w:t>
      </w:r>
    </w:p>
    <w:tbl>
      <w:tblPr>
        <w:tblW w:w="9129" w:type="dxa"/>
        <w:tblInd w:w="93"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1107"/>
        <w:gridCol w:w="1106"/>
        <w:gridCol w:w="1330"/>
        <w:gridCol w:w="1106"/>
        <w:gridCol w:w="1162"/>
        <w:gridCol w:w="1106"/>
        <w:gridCol w:w="1106"/>
        <w:gridCol w:w="1106"/>
      </w:tblGrid>
      <w:tr w:rsidR="000B438C" w:rsidRPr="00DC385A" w14:paraId="24A6EE1C" w14:textId="77777777" w:rsidTr="00EB7B9E">
        <w:trPr>
          <w:trHeight w:val="392"/>
        </w:trPr>
        <w:tc>
          <w:tcPr>
            <w:tcW w:w="1107" w:type="dxa"/>
            <w:shd w:val="clear" w:color="auto" w:fill="DEEAF6" w:themeFill="accent1" w:themeFillTint="33"/>
            <w:vAlign w:val="center"/>
          </w:tcPr>
          <w:p w14:paraId="31AC8D07" w14:textId="77777777" w:rsidR="000B438C" w:rsidRPr="000B438C" w:rsidRDefault="000B438C" w:rsidP="000B438C">
            <w:pPr>
              <w:pStyle w:val="TableColumnHeadingCentred"/>
            </w:pPr>
            <w:r w:rsidRPr="000B438C">
              <w:t>Sydney</w:t>
            </w:r>
          </w:p>
        </w:tc>
        <w:tc>
          <w:tcPr>
            <w:tcW w:w="1106" w:type="dxa"/>
            <w:shd w:val="clear" w:color="auto" w:fill="DEEAF6" w:themeFill="accent1" w:themeFillTint="33"/>
            <w:vAlign w:val="center"/>
          </w:tcPr>
          <w:p w14:paraId="43AB1F02" w14:textId="77777777" w:rsidR="000B438C" w:rsidRPr="000B438C" w:rsidRDefault="000B438C" w:rsidP="000B438C">
            <w:pPr>
              <w:pStyle w:val="TableColumnHeadingCentred"/>
            </w:pPr>
            <w:r w:rsidRPr="000B438C">
              <w:t>Perth</w:t>
            </w:r>
          </w:p>
        </w:tc>
        <w:tc>
          <w:tcPr>
            <w:tcW w:w="1330" w:type="dxa"/>
            <w:shd w:val="clear" w:color="auto" w:fill="DEEAF6" w:themeFill="accent1" w:themeFillTint="33"/>
            <w:noWrap/>
            <w:vAlign w:val="center"/>
          </w:tcPr>
          <w:p w14:paraId="16D164EC" w14:textId="77777777" w:rsidR="000B438C" w:rsidRPr="000B438C" w:rsidRDefault="000B438C" w:rsidP="000B438C">
            <w:pPr>
              <w:pStyle w:val="TableColumnHeadingCentred"/>
            </w:pPr>
            <w:r w:rsidRPr="000B438C">
              <w:t>Melbourne</w:t>
            </w:r>
          </w:p>
        </w:tc>
        <w:tc>
          <w:tcPr>
            <w:tcW w:w="1106" w:type="dxa"/>
            <w:shd w:val="clear" w:color="auto" w:fill="DEEAF6" w:themeFill="accent1" w:themeFillTint="33"/>
            <w:vAlign w:val="center"/>
          </w:tcPr>
          <w:p w14:paraId="7A19795D" w14:textId="77777777" w:rsidR="000B438C" w:rsidRPr="000B438C" w:rsidRDefault="000B438C" w:rsidP="000B438C">
            <w:pPr>
              <w:pStyle w:val="TableColumnHeadingCentred"/>
            </w:pPr>
            <w:r w:rsidRPr="000B438C">
              <w:t>Darwin</w:t>
            </w:r>
          </w:p>
        </w:tc>
        <w:tc>
          <w:tcPr>
            <w:tcW w:w="1162" w:type="dxa"/>
            <w:shd w:val="clear" w:color="auto" w:fill="DEEAF6" w:themeFill="accent1" w:themeFillTint="33"/>
            <w:vAlign w:val="center"/>
          </w:tcPr>
          <w:p w14:paraId="3E51D780" w14:textId="77777777" w:rsidR="000B438C" w:rsidRPr="000B438C" w:rsidRDefault="000B438C" w:rsidP="000B438C">
            <w:pPr>
              <w:pStyle w:val="TableColumnHeadingCentred"/>
            </w:pPr>
            <w:r w:rsidRPr="000B438C">
              <w:t>Canberra</w:t>
            </w:r>
          </w:p>
        </w:tc>
        <w:tc>
          <w:tcPr>
            <w:tcW w:w="1106" w:type="dxa"/>
            <w:shd w:val="clear" w:color="auto" w:fill="DEEAF6" w:themeFill="accent1" w:themeFillTint="33"/>
            <w:vAlign w:val="center"/>
          </w:tcPr>
          <w:p w14:paraId="64C526EF" w14:textId="77777777" w:rsidR="000B438C" w:rsidRPr="000B438C" w:rsidRDefault="000B438C" w:rsidP="000B438C">
            <w:pPr>
              <w:pStyle w:val="TableColumnHeadingCentred"/>
            </w:pPr>
            <w:r w:rsidRPr="000B438C">
              <w:t>Adelaide</w:t>
            </w:r>
          </w:p>
        </w:tc>
        <w:tc>
          <w:tcPr>
            <w:tcW w:w="1106" w:type="dxa"/>
            <w:shd w:val="clear" w:color="auto" w:fill="DEEAF6" w:themeFill="accent1" w:themeFillTint="33"/>
            <w:vAlign w:val="center"/>
          </w:tcPr>
          <w:p w14:paraId="7A738C11" w14:textId="77777777" w:rsidR="000B438C" w:rsidRPr="000B438C" w:rsidRDefault="000B438C" w:rsidP="000B438C">
            <w:pPr>
              <w:pStyle w:val="TableColumnHeadingCentred"/>
            </w:pPr>
            <w:r w:rsidRPr="000B438C">
              <w:t>Brisbane</w:t>
            </w:r>
          </w:p>
        </w:tc>
        <w:tc>
          <w:tcPr>
            <w:tcW w:w="1106" w:type="dxa"/>
            <w:shd w:val="clear" w:color="auto" w:fill="DEEAF6" w:themeFill="accent1" w:themeFillTint="33"/>
            <w:vAlign w:val="center"/>
          </w:tcPr>
          <w:p w14:paraId="3DD161EF" w14:textId="77777777" w:rsidR="000B438C" w:rsidRPr="000B438C" w:rsidRDefault="000B438C" w:rsidP="000B438C">
            <w:pPr>
              <w:pStyle w:val="TableColumnHeadingCentred"/>
            </w:pPr>
            <w:r w:rsidRPr="000B438C">
              <w:t>Hobart</w:t>
            </w:r>
          </w:p>
        </w:tc>
      </w:tr>
      <w:tr w:rsidR="000B438C" w:rsidRPr="00BD12CB" w14:paraId="4D6FEAF0" w14:textId="77777777" w:rsidTr="00EB7B9E">
        <w:trPr>
          <w:trHeight w:val="300"/>
        </w:trPr>
        <w:tc>
          <w:tcPr>
            <w:tcW w:w="1107" w:type="dxa"/>
            <w:vAlign w:val="center"/>
          </w:tcPr>
          <w:p w14:paraId="33096B4F" w14:textId="77777777" w:rsidR="000B438C" w:rsidRPr="000B438C" w:rsidRDefault="000B438C" w:rsidP="000B438C">
            <w:pPr>
              <w:pStyle w:val="TableTextCentered"/>
            </w:pPr>
            <w:r w:rsidRPr="000B438C">
              <w:t>63 %</w:t>
            </w:r>
          </w:p>
        </w:tc>
        <w:tc>
          <w:tcPr>
            <w:tcW w:w="1106" w:type="dxa"/>
            <w:vAlign w:val="center"/>
          </w:tcPr>
          <w:p w14:paraId="0B6685F3" w14:textId="77777777" w:rsidR="000B438C" w:rsidRPr="000B438C" w:rsidRDefault="000B438C" w:rsidP="000B438C">
            <w:pPr>
              <w:pStyle w:val="TableTextCentered"/>
            </w:pPr>
            <w:r w:rsidRPr="000B438C">
              <w:t>50 %</w:t>
            </w:r>
          </w:p>
        </w:tc>
        <w:tc>
          <w:tcPr>
            <w:tcW w:w="1330" w:type="dxa"/>
            <w:shd w:val="clear" w:color="auto" w:fill="auto"/>
            <w:noWrap/>
            <w:vAlign w:val="center"/>
          </w:tcPr>
          <w:p w14:paraId="772D835B" w14:textId="77777777" w:rsidR="000B438C" w:rsidRPr="000B438C" w:rsidRDefault="000B438C" w:rsidP="000B438C">
            <w:pPr>
              <w:pStyle w:val="TableTextCentered"/>
            </w:pPr>
            <w:r w:rsidRPr="000B438C">
              <w:t>50 %</w:t>
            </w:r>
          </w:p>
        </w:tc>
        <w:tc>
          <w:tcPr>
            <w:tcW w:w="1106" w:type="dxa"/>
            <w:vAlign w:val="center"/>
          </w:tcPr>
          <w:p w14:paraId="28153039" w14:textId="77777777" w:rsidR="000B438C" w:rsidRPr="000B438C" w:rsidRDefault="000B438C" w:rsidP="000B438C">
            <w:pPr>
              <w:pStyle w:val="TableTextCentered"/>
            </w:pPr>
            <w:r w:rsidRPr="000B438C">
              <w:t>42 %</w:t>
            </w:r>
          </w:p>
        </w:tc>
        <w:tc>
          <w:tcPr>
            <w:tcW w:w="1162" w:type="dxa"/>
            <w:vAlign w:val="center"/>
          </w:tcPr>
          <w:p w14:paraId="4FE7BF6A" w14:textId="77777777" w:rsidR="000B438C" w:rsidRPr="000B438C" w:rsidRDefault="000B438C" w:rsidP="000B438C">
            <w:pPr>
              <w:pStyle w:val="TableTextCentered"/>
            </w:pPr>
            <w:r w:rsidRPr="000B438C">
              <w:t>44 %</w:t>
            </w:r>
          </w:p>
        </w:tc>
        <w:tc>
          <w:tcPr>
            <w:tcW w:w="1106" w:type="dxa"/>
            <w:vAlign w:val="center"/>
          </w:tcPr>
          <w:p w14:paraId="08A73501" w14:textId="77777777" w:rsidR="000B438C" w:rsidRPr="000B438C" w:rsidRDefault="000B438C" w:rsidP="000B438C">
            <w:pPr>
              <w:pStyle w:val="TableTextCentered"/>
            </w:pPr>
            <w:r w:rsidRPr="000B438C">
              <w:t>42 %</w:t>
            </w:r>
          </w:p>
        </w:tc>
        <w:tc>
          <w:tcPr>
            <w:tcW w:w="1106" w:type="dxa"/>
            <w:vAlign w:val="center"/>
          </w:tcPr>
          <w:p w14:paraId="11A925A2" w14:textId="77777777" w:rsidR="000B438C" w:rsidRPr="000B438C" w:rsidRDefault="000B438C" w:rsidP="000B438C">
            <w:pPr>
              <w:pStyle w:val="TableTextCentered"/>
            </w:pPr>
            <w:r w:rsidRPr="000B438C">
              <w:t>41 %</w:t>
            </w:r>
          </w:p>
        </w:tc>
        <w:tc>
          <w:tcPr>
            <w:tcW w:w="1106" w:type="dxa"/>
            <w:shd w:val="clear" w:color="auto" w:fill="auto"/>
            <w:noWrap/>
            <w:vAlign w:val="center"/>
          </w:tcPr>
          <w:p w14:paraId="21156928" w14:textId="77777777" w:rsidR="000B438C" w:rsidRPr="000B438C" w:rsidRDefault="000B438C" w:rsidP="000B438C">
            <w:pPr>
              <w:pStyle w:val="TableTextCentered"/>
            </w:pPr>
            <w:r w:rsidRPr="000B438C">
              <w:t>32 %</w:t>
            </w:r>
          </w:p>
        </w:tc>
      </w:tr>
    </w:tbl>
    <w:p w14:paraId="5994D6FF" w14:textId="77777777" w:rsidR="000B438C" w:rsidRPr="000B438C" w:rsidRDefault="00AC3DA4" w:rsidP="00A36CBF">
      <w:pPr>
        <w:pStyle w:val="ChartorTableNote"/>
      </w:pPr>
      <w:r w:rsidRPr="007B55E5">
        <w:t xml:space="preserve">Source: </w:t>
      </w:r>
      <w:r w:rsidR="0044007D">
        <w:t>ABS201</w:t>
      </w:r>
      <w:r w:rsidR="00D013CF">
        <w:t>7</w:t>
      </w:r>
      <w:r w:rsidR="0044007D">
        <w:t>a</w:t>
      </w:r>
      <w:r>
        <w:t xml:space="preserve">, authors’ </w:t>
      </w:r>
      <w:r w:rsidR="00665A80">
        <w:t>calculations</w:t>
      </w:r>
      <w:r w:rsidR="00A36CBF">
        <w:t>.</w:t>
      </w:r>
    </w:p>
    <w:p w14:paraId="3E08DE5C" w14:textId="77777777" w:rsidR="008D02B1" w:rsidRPr="00CB7B92" w:rsidRDefault="008D02B1" w:rsidP="000B438C">
      <w:r>
        <w:t xml:space="preserve">Outside the capital cities, migrants contributed </w:t>
      </w:r>
      <w:r w:rsidR="00331467">
        <w:t>26</w:t>
      </w:r>
      <w:r>
        <w:t xml:space="preserve"> per cent of the population growth in regional Australi</w:t>
      </w:r>
      <w:r w:rsidR="00F8515F">
        <w:t>a</w:t>
      </w:r>
      <w:r w:rsidR="00AC3DA4">
        <w:t xml:space="preserve"> (Figure 11)</w:t>
      </w:r>
      <w:r w:rsidR="00F8515F">
        <w:t xml:space="preserve">. </w:t>
      </w:r>
      <w:r w:rsidR="00331467">
        <w:t>Migrants contributed more than 50 per cent of the population growth in a number of regions including New England and the Riverina in N</w:t>
      </w:r>
      <w:r w:rsidR="004733AD">
        <w:t>SW</w:t>
      </w:r>
      <w:r w:rsidR="00331467">
        <w:t>, Warrnambool and the north west of Victoria together with the wheat belt and the resource rich southern part of the outback in W</w:t>
      </w:r>
      <w:r w:rsidR="004733AD">
        <w:t>A</w:t>
      </w:r>
      <w:r w:rsidR="00331467">
        <w:t>. Migrants were also important contributors to population growth in regional Tasmania</w:t>
      </w:r>
      <w:r w:rsidR="004733AD">
        <w:t>,</w:t>
      </w:r>
      <w:r w:rsidR="00331467">
        <w:t xml:space="preserve"> although the relatively high proportional contribution reflects almost nil to little increase in the Australian born populations in </w:t>
      </w:r>
      <w:r w:rsidR="00F93D2F">
        <w:t>regional Tasmania</w:t>
      </w:r>
      <w:r w:rsidR="00331467">
        <w:t>. In Queensland, migrants contributed 30 per cent of the population increase in Toowoomba and Cairns, and around a quarter or more in central Queensland, the Sunshine Coast and the Darling Downs. The only exception to an increasing migrant population was in outback S</w:t>
      </w:r>
      <w:r w:rsidR="004733AD">
        <w:t>A</w:t>
      </w:r>
      <w:r w:rsidR="00331467">
        <w:t xml:space="preserve"> where the migrant population fell 20 per cent even as the total population de</w:t>
      </w:r>
      <w:r w:rsidR="000A07A2">
        <w:t>clined by less than 1 per cent.</w:t>
      </w:r>
    </w:p>
    <w:p w14:paraId="75475492" w14:textId="77777777" w:rsidR="00CD6B7B" w:rsidRPr="000B438C" w:rsidRDefault="00CD6B7B" w:rsidP="000B438C">
      <w:pPr>
        <w:pStyle w:val="ChartMainHeading"/>
      </w:pPr>
      <w:r w:rsidRPr="000B438C">
        <w:t xml:space="preserve">Figure </w:t>
      </w:r>
      <w:r w:rsidR="00401F79" w:rsidRPr="000B438C">
        <w:t>11</w:t>
      </w:r>
      <w:r w:rsidRPr="000B438C">
        <w:t>: Migrant contribution to population growth</w:t>
      </w:r>
      <w:r w:rsidR="008D02B1" w:rsidRPr="000B438C">
        <w:t>, 1996-2016</w:t>
      </w:r>
    </w:p>
    <w:p w14:paraId="4C846D7C" w14:textId="77777777" w:rsidR="00CD6B7B" w:rsidRDefault="00C9020C" w:rsidP="005F3E79">
      <w:pPr>
        <w:pStyle w:val="ChartGraphic"/>
      </w:pPr>
      <w:r>
        <w:rPr>
          <w:noProof/>
        </w:rPr>
        <w:drawing>
          <wp:inline distT="0" distB="0" distL="0" distR="0" wp14:anchorId="72A00064" wp14:editId="7F3BF64F">
            <wp:extent cx="5089585" cy="332431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with updated legend.png"/>
                    <pic:cNvPicPr/>
                  </pic:nvPicPr>
                  <pic:blipFill rotWithShape="1">
                    <a:blip r:embed="rId63" cstate="print">
                      <a:extLst>
                        <a:ext uri="{28A0092B-C50C-407E-A947-70E740481C1C}">
                          <a14:useLocalDpi xmlns:a14="http://schemas.microsoft.com/office/drawing/2010/main" val="0"/>
                        </a:ext>
                      </a:extLst>
                    </a:blip>
                    <a:srcRect l="1869" t="4832" r="2025" b="2438"/>
                    <a:stretch/>
                  </pic:blipFill>
                  <pic:spPr bwMode="auto">
                    <a:xfrm>
                      <a:off x="0" y="0"/>
                      <a:ext cx="5090080" cy="3324638"/>
                    </a:xfrm>
                    <a:prstGeom prst="rect">
                      <a:avLst/>
                    </a:prstGeom>
                    <a:ln>
                      <a:noFill/>
                    </a:ln>
                    <a:extLst>
                      <a:ext uri="{53640926-AAD7-44D8-BBD7-CCE9431645EC}">
                        <a14:shadowObscured xmlns:a14="http://schemas.microsoft.com/office/drawing/2010/main"/>
                      </a:ext>
                    </a:extLst>
                  </pic:spPr>
                </pic:pic>
              </a:graphicData>
            </a:graphic>
          </wp:inline>
        </w:drawing>
      </w:r>
    </w:p>
    <w:p w14:paraId="0F68FF0C" w14:textId="77777777" w:rsidR="00CD6B7B" w:rsidRDefault="00CD6B7B" w:rsidP="005F3E79">
      <w:pPr>
        <w:pStyle w:val="ChartorTableNote"/>
      </w:pPr>
      <w:r w:rsidRPr="007B55E5">
        <w:t>Source:</w:t>
      </w:r>
      <w:r w:rsidR="00AE0584">
        <w:t xml:space="preserve"> </w:t>
      </w:r>
      <w:r w:rsidR="00D013CF">
        <w:t xml:space="preserve">ABS 2017d, ABS 2017e, </w:t>
      </w:r>
      <w:r w:rsidR="00AE0584">
        <w:t xml:space="preserve">ABS </w:t>
      </w:r>
      <w:r w:rsidR="00906A27">
        <w:t>201</w:t>
      </w:r>
      <w:r w:rsidR="00331467">
        <w:t>7</w:t>
      </w:r>
      <w:r w:rsidR="00D013CF">
        <w:t>f &amp;</w:t>
      </w:r>
      <w:r w:rsidR="00AE0584">
        <w:t xml:space="preserve"> </w:t>
      </w:r>
      <w:r w:rsidR="00331467">
        <w:t>ABS 2017</w:t>
      </w:r>
      <w:r w:rsidR="00D013CF">
        <w:t>g</w:t>
      </w:r>
      <w:r w:rsidR="00331467">
        <w:t xml:space="preserve">, </w:t>
      </w:r>
      <w:r w:rsidR="00401F79">
        <w:t>a</w:t>
      </w:r>
      <w:r w:rsidR="00AE0584">
        <w:t xml:space="preserve">uthors’ </w:t>
      </w:r>
      <w:r w:rsidR="00AE0584" w:rsidDel="00026B3D">
        <w:t>calculations</w:t>
      </w:r>
      <w:r w:rsidR="00AE0584">
        <w:t>.</w:t>
      </w:r>
    </w:p>
    <w:p w14:paraId="4A0D3066" w14:textId="77777777" w:rsidR="00CD6B7B" w:rsidRDefault="00F93D2F" w:rsidP="002427F4">
      <w:pPr>
        <w:pStyle w:val="Heading3Numbered"/>
      </w:pPr>
      <w:r>
        <w:lastRenderedPageBreak/>
        <w:t xml:space="preserve">The </w:t>
      </w:r>
      <w:r w:rsidR="00CD6B7B">
        <w:t xml:space="preserve">migrant mix </w:t>
      </w:r>
      <w:r w:rsidR="00F8515F">
        <w:t>varie</w:t>
      </w:r>
      <w:r w:rsidR="00CD6B7B">
        <w:t xml:space="preserve">s </w:t>
      </w:r>
      <w:r w:rsidR="00F8515F">
        <w:t>across Australia</w:t>
      </w:r>
    </w:p>
    <w:p w14:paraId="77068601" w14:textId="77777777" w:rsidR="00B947DD" w:rsidRDefault="00B947DD" w:rsidP="00385501">
      <w:r w:rsidRPr="00B947DD">
        <w:t>Residents from the United Kingdom</w:t>
      </w:r>
      <w:r w:rsidR="00406ED2">
        <w:rPr>
          <w:rStyle w:val="FootnoteReference"/>
        </w:rPr>
        <w:footnoteReference w:id="3"/>
      </w:r>
      <w:r w:rsidRPr="00B947DD">
        <w:t xml:space="preserve"> remain Australia’s largest group of overseas</w:t>
      </w:r>
      <w:r w:rsidR="000F20B9">
        <w:t>-</w:t>
      </w:r>
      <w:r w:rsidRPr="00B947DD">
        <w:t>born residents</w:t>
      </w:r>
      <w:r w:rsidR="00406ED2">
        <w:t>, accounting for 5 per cent of the population in 2016</w:t>
      </w:r>
      <w:r w:rsidRPr="00B947DD">
        <w:t xml:space="preserve">. However, their </w:t>
      </w:r>
      <w:r w:rsidR="00C87A96">
        <w:t>number as a</w:t>
      </w:r>
      <w:r w:rsidRPr="00B947DD">
        <w:t xml:space="preserve"> proportion of the population </w:t>
      </w:r>
      <w:r w:rsidR="00406ED2">
        <w:t>ha</w:t>
      </w:r>
      <w:r w:rsidRPr="00B947DD">
        <w:t>s</w:t>
      </w:r>
      <w:r w:rsidR="00406ED2">
        <w:t xml:space="preserve"> been</w:t>
      </w:r>
      <w:r w:rsidRPr="00B947DD">
        <w:t xml:space="preserve"> falling</w:t>
      </w:r>
      <w:r w:rsidR="00406ED2">
        <w:t xml:space="preserve"> for a long time</w:t>
      </w:r>
      <w:r w:rsidRPr="00B947DD">
        <w:t>. In 1996, residents born in the United Kingdom accounted for 15 per cent of the population in Perth, 7 per cent in Brisbane and 6 per cent in both Sydney and Melbourne. By 2016, those shares had fallen to 12, 5 and 4</w:t>
      </w:r>
      <w:r w:rsidR="00C87A96">
        <w:t> </w:t>
      </w:r>
      <w:r w:rsidRPr="00B947DD">
        <w:t>per</w:t>
      </w:r>
      <w:r w:rsidR="00C87A96">
        <w:t> </w:t>
      </w:r>
      <w:r w:rsidRPr="00B947DD">
        <w:t>cent respectively</w:t>
      </w:r>
      <w:r w:rsidR="00406ED2">
        <w:t xml:space="preserve"> (Figure</w:t>
      </w:r>
      <w:r w:rsidR="00CB155A">
        <w:t> </w:t>
      </w:r>
      <w:r w:rsidR="00406ED2">
        <w:t>12)</w:t>
      </w:r>
      <w:r w:rsidRPr="00B947DD">
        <w:t>.</w:t>
      </w:r>
    </w:p>
    <w:p w14:paraId="504FC31B" w14:textId="77777777" w:rsidR="00DD4F08" w:rsidRDefault="00DD4F08" w:rsidP="00570F04">
      <w:pPr>
        <w:pStyle w:val="ChartMainHeading"/>
      </w:pPr>
      <w:r>
        <w:t xml:space="preserve">Figure </w:t>
      </w:r>
      <w:r w:rsidR="00401F79">
        <w:t>12:</w:t>
      </w:r>
      <w:r>
        <w:t xml:space="preserve"> The migrant mix varies across capital cities</w:t>
      </w:r>
    </w:p>
    <w:tbl>
      <w:tblPr>
        <w:tblW w:w="5000" w:type="pct"/>
        <w:tblInd w:w="-40" w:type="dxa"/>
        <w:tblLayout w:type="fixed"/>
        <w:tblLook w:val="01E0" w:firstRow="1" w:lastRow="1" w:firstColumn="1" w:lastColumn="1" w:noHBand="0" w:noVBand="0"/>
      </w:tblPr>
      <w:tblGrid>
        <w:gridCol w:w="4576"/>
        <w:gridCol w:w="4710"/>
      </w:tblGrid>
      <w:tr w:rsidR="00DA5CED" w14:paraId="44DBAB30" w14:textId="77777777" w:rsidTr="00570F04">
        <w:trPr>
          <w:cantSplit/>
          <w:trHeight w:val="2268"/>
        </w:trPr>
        <w:tc>
          <w:tcPr>
            <w:tcW w:w="2464" w:type="pct"/>
          </w:tcPr>
          <w:p w14:paraId="1EFCCE7C" w14:textId="15BB8793" w:rsidR="00DA5CED" w:rsidRDefault="00DA5CED" w:rsidP="00570F04">
            <w:pPr>
              <w:pStyle w:val="ChartGraphic"/>
              <w:jc w:val="left"/>
            </w:pPr>
            <w:r>
              <w:br w:type="page"/>
            </w:r>
            <w:r w:rsidR="00302A39">
              <w:pict w14:anchorId="7EBC37F4">
                <v:shape id="_x0000_i1040" type="#_x0000_t75" style="width:218.25pt;height:129pt">
                  <v:imagedata r:id="rId64" o:title="" cropleft="820f"/>
                </v:shape>
              </w:pict>
            </w:r>
          </w:p>
        </w:tc>
        <w:tc>
          <w:tcPr>
            <w:tcW w:w="2536" w:type="pct"/>
          </w:tcPr>
          <w:p w14:paraId="638A1F32" w14:textId="3DBD501D" w:rsidR="00DA5CED" w:rsidRPr="00381B16" w:rsidRDefault="00302A39" w:rsidP="00570F04">
            <w:pPr>
              <w:pStyle w:val="ChartGraphic"/>
              <w:ind w:right="-55"/>
              <w:jc w:val="right"/>
            </w:pPr>
            <w:r>
              <w:pict w14:anchorId="5478EA32">
                <v:shape id="_x0000_i1041" type="#_x0000_t75" style="width:222.75pt;height:129.75pt">
                  <v:imagedata r:id="rId65" o:title="" cropbottom="1457f" cropleft="823f"/>
                </v:shape>
              </w:pict>
            </w:r>
          </w:p>
        </w:tc>
      </w:tr>
      <w:tr w:rsidR="00AD4AAB" w14:paraId="3DD9560B" w14:textId="77777777" w:rsidTr="00570F04">
        <w:trPr>
          <w:cantSplit/>
          <w:trHeight w:val="375"/>
        </w:trPr>
        <w:tc>
          <w:tcPr>
            <w:tcW w:w="5000" w:type="pct"/>
            <w:gridSpan w:val="2"/>
          </w:tcPr>
          <w:p w14:paraId="3A432B1A" w14:textId="77777777" w:rsidR="00AD4AAB" w:rsidRDefault="001A44A5" w:rsidP="005F3E79">
            <w:pPr>
              <w:pStyle w:val="ChartGraphic"/>
            </w:pPr>
            <w:r>
              <w:rPr>
                <w:noProof/>
              </w:rPr>
              <w:t xml:space="preserve"> </w:t>
            </w:r>
            <w:r>
              <w:rPr>
                <w:noProof/>
              </w:rPr>
              <w:drawing>
                <wp:inline distT="0" distB="0" distL="0" distR="0" wp14:anchorId="2200494D" wp14:editId="6A0D8D34">
                  <wp:extent cx="2887937" cy="206374"/>
                  <wp:effectExtent l="0" t="0" r="8255"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DA5CED" w14:paraId="1475A4B9" w14:textId="77777777" w:rsidTr="00570F04">
        <w:trPr>
          <w:cantSplit/>
          <w:trHeight w:val="2268"/>
        </w:trPr>
        <w:tc>
          <w:tcPr>
            <w:tcW w:w="2464" w:type="pct"/>
          </w:tcPr>
          <w:p w14:paraId="55C6B66B" w14:textId="54269960" w:rsidR="00DA5CED" w:rsidRDefault="00DA5CED" w:rsidP="00570F04">
            <w:pPr>
              <w:pStyle w:val="ChartGraphic"/>
            </w:pPr>
            <w:r>
              <w:br w:type="page"/>
            </w:r>
            <w:r w:rsidR="00302A39">
              <w:pict w14:anchorId="578CEB2A">
                <v:shape id="_x0000_i1042" type="#_x0000_t75" style="width:218.25pt;height:132pt">
                  <v:imagedata r:id="rId67" o:title="" cropleft="820f"/>
                </v:shape>
              </w:pict>
            </w:r>
          </w:p>
        </w:tc>
        <w:tc>
          <w:tcPr>
            <w:tcW w:w="2536" w:type="pct"/>
          </w:tcPr>
          <w:p w14:paraId="4350F938" w14:textId="26807748" w:rsidR="00DA5CED" w:rsidRPr="001A44A5" w:rsidRDefault="00302A39" w:rsidP="00570F04">
            <w:pPr>
              <w:pStyle w:val="ChartGraphic"/>
              <w:ind w:right="-69"/>
              <w:jc w:val="right"/>
            </w:pPr>
            <w:r>
              <w:pict w14:anchorId="62A31C45">
                <v:shape id="_x0000_i1043" type="#_x0000_t75" style="width:223.5pt;height:132pt">
                  <v:imagedata r:id="rId68" o:title="" cropleft="820f"/>
                </v:shape>
              </w:pict>
            </w:r>
          </w:p>
        </w:tc>
      </w:tr>
    </w:tbl>
    <w:p w14:paraId="003D1CB6" w14:textId="77777777" w:rsidR="00A536FC" w:rsidRDefault="00B947DD" w:rsidP="00A36CBF">
      <w:pPr>
        <w:pStyle w:val="ChartorTableNote"/>
      </w:pPr>
      <w:r w:rsidRPr="00385501">
        <w:t xml:space="preserve">Source: </w:t>
      </w:r>
      <w:r w:rsidR="00D013CF">
        <w:t xml:space="preserve">ABS 2017d, ABS 2017e, </w:t>
      </w:r>
      <w:r w:rsidR="00AE0584">
        <w:t xml:space="preserve">ABS </w:t>
      </w:r>
      <w:r w:rsidR="00906A27">
        <w:rPr>
          <w:szCs w:val="18"/>
        </w:rPr>
        <w:t>201</w:t>
      </w:r>
      <w:r w:rsidR="00931CFD">
        <w:rPr>
          <w:szCs w:val="18"/>
        </w:rPr>
        <w:t>7</w:t>
      </w:r>
      <w:r w:rsidR="00D013CF">
        <w:rPr>
          <w:szCs w:val="18"/>
        </w:rPr>
        <w:t>f</w:t>
      </w:r>
      <w:r w:rsidR="00D013CF">
        <w:t xml:space="preserve"> &amp;</w:t>
      </w:r>
      <w:r w:rsidR="00931CFD">
        <w:t xml:space="preserve"> ABS 2017</w:t>
      </w:r>
      <w:r w:rsidR="00D013CF">
        <w:t>g</w:t>
      </w:r>
      <w:r w:rsidR="00931CFD">
        <w:t xml:space="preserve">, </w:t>
      </w:r>
      <w:r w:rsidR="00401F79">
        <w:t>a</w:t>
      </w:r>
      <w:r w:rsidR="00AE0584">
        <w:t>uthors’ calculations.</w:t>
      </w:r>
    </w:p>
    <w:p w14:paraId="43831AE1" w14:textId="77777777" w:rsidR="00B947DD" w:rsidRDefault="00B947DD" w:rsidP="00B947DD">
      <w:r>
        <w:t xml:space="preserve">By contrast, </w:t>
      </w:r>
      <w:r w:rsidR="00026B3D">
        <w:t xml:space="preserve">in 2016 </w:t>
      </w:r>
      <w:r>
        <w:t>people born in China accounted for just over 2 per cent of the national population, 5 per cent of Sydney’s population, 4 per cent of Melbourne’s population, but only 1</w:t>
      </w:r>
      <w:r w:rsidR="00026B3D">
        <w:t> to </w:t>
      </w:r>
      <w:r>
        <w:t>2</w:t>
      </w:r>
      <w:r w:rsidR="00026B3D">
        <w:t> </w:t>
      </w:r>
      <w:r>
        <w:t>per cent of the populations of Adelaide, Brisbane, Perth and Hobart. Residents born in India accounted for 2 per cent of the national population in 2016</w:t>
      </w:r>
      <w:r w:rsidR="00026B3D">
        <w:t>, a</w:t>
      </w:r>
      <w:r>
        <w:t xml:space="preserve">nd are more evenly distributed across capital cities. </w:t>
      </w:r>
      <w:r w:rsidR="00026B3D">
        <w:t xml:space="preserve">Indian-born residents </w:t>
      </w:r>
      <w:r>
        <w:t>account for around 3</w:t>
      </w:r>
      <w:r w:rsidR="00026B3D">
        <w:t xml:space="preserve"> to </w:t>
      </w:r>
      <w:r>
        <w:t xml:space="preserve">4 per cent of the population in Perth, Sydney and Melbourne, and around 2 per cent </w:t>
      </w:r>
      <w:r w:rsidR="00931CFD">
        <w:t>in</w:t>
      </w:r>
      <w:r>
        <w:t xml:space="preserve"> Brisbane and Adelaide. A discussion of changes in Australia’s migrant mix over the last century is in Section 5.1.</w:t>
      </w:r>
    </w:p>
    <w:p w14:paraId="17AAFC63" w14:textId="77777777" w:rsidR="00E50C62" w:rsidRPr="00501C6E" w:rsidRDefault="00444873" w:rsidP="002427F4">
      <w:pPr>
        <w:pStyle w:val="Heading2Numbered"/>
      </w:pPr>
      <w:bookmarkStart w:id="42" w:name="_Toc493510246"/>
      <w:bookmarkStart w:id="43" w:name="_Toc493511038"/>
      <w:bookmarkStart w:id="44" w:name="_Toc493250565"/>
      <w:bookmarkStart w:id="45" w:name="_Toc493510247"/>
      <w:bookmarkStart w:id="46" w:name="_Toc493511039"/>
      <w:bookmarkStart w:id="47" w:name="_Toc491694274"/>
      <w:bookmarkStart w:id="48" w:name="_Toc491694349"/>
      <w:bookmarkStart w:id="49" w:name="_Toc491694375"/>
      <w:bookmarkStart w:id="50" w:name="_Toc493227980"/>
      <w:bookmarkStart w:id="51" w:name="_Toc493250566"/>
      <w:bookmarkStart w:id="52" w:name="_Toc493510248"/>
      <w:bookmarkStart w:id="53" w:name="_Toc493511040"/>
      <w:bookmarkStart w:id="54" w:name="_Toc493511992"/>
      <w:bookmarkStart w:id="55" w:name="_Toc493543048"/>
      <w:bookmarkStart w:id="56" w:name="_Toc493543089"/>
      <w:bookmarkStart w:id="57" w:name="_Toc493578769"/>
      <w:bookmarkStart w:id="58" w:name="_Toc493580600"/>
      <w:bookmarkStart w:id="59" w:name="_Toc493543049"/>
      <w:bookmarkStart w:id="60" w:name="_Toc493543090"/>
      <w:bookmarkStart w:id="61" w:name="_Toc493578770"/>
      <w:bookmarkStart w:id="62" w:name="_Toc493580601"/>
      <w:bookmarkStart w:id="63" w:name="_Toc49540248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385501">
        <w:t>Net overseas migration</w:t>
      </w:r>
      <w:r w:rsidR="00021968" w:rsidRPr="00501C6E">
        <w:t xml:space="preserve"> — </w:t>
      </w:r>
      <w:r w:rsidRPr="00501C6E">
        <w:t>a closer look</w:t>
      </w:r>
      <w:bookmarkEnd w:id="63"/>
    </w:p>
    <w:p w14:paraId="15A1313E" w14:textId="77777777" w:rsidR="00D430D5" w:rsidRDefault="00226DBE" w:rsidP="00631304">
      <w:r>
        <w:t xml:space="preserve">Net overseas migration includes both migrants coming to Australia from overseas as well as people leaving Australia. Since more people </w:t>
      </w:r>
      <w:r w:rsidR="00D430D5">
        <w:t xml:space="preserve">have </w:t>
      </w:r>
      <w:r w:rsidR="0008067A">
        <w:t xml:space="preserve">generally </w:t>
      </w:r>
      <w:r>
        <w:t>arrive</w:t>
      </w:r>
      <w:r w:rsidR="00D430D5">
        <w:t>d</w:t>
      </w:r>
      <w:r>
        <w:t xml:space="preserve"> in Australia than le</w:t>
      </w:r>
      <w:r w:rsidR="00D430D5">
        <w:t xml:space="preserve">ft </w:t>
      </w:r>
      <w:r>
        <w:t xml:space="preserve">Australia, NOM has </w:t>
      </w:r>
      <w:r w:rsidR="000A3EE3">
        <w:t>mostly</w:t>
      </w:r>
      <w:r w:rsidR="000A07A2">
        <w:t xml:space="preserve"> been positive over time.</w:t>
      </w:r>
    </w:p>
    <w:p w14:paraId="63EAD1BE" w14:textId="77777777" w:rsidR="00E50C62" w:rsidRDefault="00444873" w:rsidP="00A36CBF">
      <w:pPr>
        <w:keepNext/>
        <w:keepLines/>
      </w:pPr>
      <w:r w:rsidRPr="00444873">
        <w:lastRenderedPageBreak/>
        <w:t>Migration has played an important role in Australia</w:t>
      </w:r>
      <w:r w:rsidR="00021968">
        <w:t>’</w:t>
      </w:r>
      <w:r w:rsidRPr="00444873">
        <w:t xml:space="preserve">s population growth over the last century at both a State and </w:t>
      </w:r>
      <w:r w:rsidR="00DC2257">
        <w:t>n</w:t>
      </w:r>
      <w:r w:rsidRPr="00444873">
        <w:t xml:space="preserve">ational level. It has also changed the </w:t>
      </w:r>
      <w:r w:rsidR="0029455E">
        <w:t>composition</w:t>
      </w:r>
      <w:r w:rsidR="0029455E" w:rsidRPr="00444873">
        <w:t xml:space="preserve"> </w:t>
      </w:r>
      <w:r w:rsidRPr="00444873">
        <w:t>of Australia</w:t>
      </w:r>
      <w:r w:rsidR="0029455E">
        <w:t>’s population</w:t>
      </w:r>
      <w:r w:rsidR="00DC2257">
        <w:t>,</w:t>
      </w:r>
      <w:r w:rsidRPr="00444873">
        <w:t xml:space="preserve"> with 28</w:t>
      </w:r>
      <w:r w:rsidR="00DC2257">
        <w:t> </w:t>
      </w:r>
      <w:r w:rsidRPr="00444873">
        <w:t>per</w:t>
      </w:r>
      <w:r w:rsidR="00DC2257">
        <w:t> </w:t>
      </w:r>
      <w:r w:rsidRPr="00444873">
        <w:t xml:space="preserve">cent of people born overseas and </w:t>
      </w:r>
      <w:r w:rsidR="006E582A" w:rsidRPr="009C65FE">
        <w:t>49</w:t>
      </w:r>
      <w:r w:rsidRPr="00444873">
        <w:t xml:space="preserve"> per cent of people either born overseas or with a parent born overseas.</w:t>
      </w:r>
    </w:p>
    <w:p w14:paraId="427D4508" w14:textId="77777777" w:rsidR="00FB780B" w:rsidRDefault="00FB780B" w:rsidP="00631304">
      <w:r>
        <w:t>Migrants have transformed Australian society, contributing to a rich array of art, literature, drama, music, fashion, sport and cuisine as well as underpinning economic growth through their contribution to the workforce and Australian businesses.</w:t>
      </w:r>
    </w:p>
    <w:p w14:paraId="5ACE2A08" w14:textId="77777777" w:rsidR="00444873" w:rsidRDefault="00444873" w:rsidP="002427F4">
      <w:pPr>
        <w:pStyle w:val="Heading3Numbered"/>
      </w:pPr>
      <w:bookmarkStart w:id="64" w:name="_Toc491694280"/>
      <w:bookmarkStart w:id="65" w:name="_Toc491694352"/>
      <w:bookmarkStart w:id="66" w:name="_Toc491694378"/>
      <w:bookmarkStart w:id="67" w:name="_Toc493227983"/>
      <w:bookmarkStart w:id="68" w:name="_Toc493250569"/>
      <w:bookmarkStart w:id="69" w:name="_Toc493510251"/>
      <w:bookmarkStart w:id="70" w:name="_Toc493511043"/>
      <w:bookmarkStart w:id="71" w:name="_Toc493511994"/>
      <w:bookmarkEnd w:id="64"/>
      <w:bookmarkEnd w:id="65"/>
      <w:bookmarkEnd w:id="66"/>
      <w:bookmarkEnd w:id="67"/>
      <w:bookmarkEnd w:id="68"/>
      <w:bookmarkEnd w:id="69"/>
      <w:bookmarkEnd w:id="70"/>
      <w:bookmarkEnd w:id="71"/>
      <w:r>
        <w:t>Migration to Australia has changed over time</w:t>
      </w:r>
    </w:p>
    <w:p w14:paraId="322F64DA" w14:textId="77777777" w:rsidR="00444873" w:rsidRDefault="00444873" w:rsidP="00631304">
      <w:r w:rsidRPr="00444873">
        <w:t>By the time of Federation in 1901</w:t>
      </w:r>
      <w:r w:rsidR="0035332C">
        <w:t>,</w:t>
      </w:r>
      <w:r w:rsidRPr="00444873">
        <w:t xml:space="preserve"> Australia had a population of 3.8 million</w:t>
      </w:r>
      <w:r w:rsidR="00091279">
        <w:t xml:space="preserve"> people</w:t>
      </w:r>
      <w:r w:rsidR="00DC2257">
        <w:t>,</w:t>
      </w:r>
      <w:r w:rsidRPr="00444873">
        <w:t xml:space="preserve"> 23 per cent </w:t>
      </w:r>
      <w:r w:rsidR="00DC2257">
        <w:t>of whom were</w:t>
      </w:r>
      <w:r w:rsidR="00DC2257" w:rsidRPr="00444873">
        <w:t xml:space="preserve"> </w:t>
      </w:r>
      <w:r w:rsidRPr="00444873">
        <w:t>migrants (ABS 2014</w:t>
      </w:r>
      <w:r w:rsidR="00D013CF">
        <w:t>a</w:t>
      </w:r>
      <w:r w:rsidRPr="00444873">
        <w:t xml:space="preserve">). Overwhelmingly, this population was derived from the </w:t>
      </w:r>
      <w:r w:rsidR="003905E4" w:rsidRPr="00444873">
        <w:t>United</w:t>
      </w:r>
      <w:r w:rsidR="003905E4">
        <w:t> </w:t>
      </w:r>
      <w:r w:rsidRPr="00444873">
        <w:t xml:space="preserve">Kingdom, Ireland and the countries of </w:t>
      </w:r>
      <w:r w:rsidR="00026B3D">
        <w:t>N</w:t>
      </w:r>
      <w:r w:rsidR="00026B3D" w:rsidRPr="00444873">
        <w:t>orth</w:t>
      </w:r>
      <w:r w:rsidR="00AC4FE7">
        <w:noBreakHyphen/>
      </w:r>
      <w:r w:rsidR="00026B3D">
        <w:t>W</w:t>
      </w:r>
      <w:r w:rsidRPr="00444873">
        <w:t xml:space="preserve">est Europe. </w:t>
      </w:r>
      <w:r w:rsidR="001E560D">
        <w:t>M</w:t>
      </w:r>
      <w:r w:rsidR="00AC4FE7">
        <w:t>igrants from these countries</w:t>
      </w:r>
      <w:r w:rsidR="001E560D">
        <w:t>, together with New Zealand</w:t>
      </w:r>
      <w:r w:rsidR="0093419C">
        <w:t>ers</w:t>
      </w:r>
      <w:r w:rsidR="001E560D">
        <w:t>,</w:t>
      </w:r>
      <w:r w:rsidR="00AC4FE7">
        <w:t xml:space="preserve"> </w:t>
      </w:r>
      <w:r w:rsidRPr="00444873">
        <w:t>accounted for 90 per cent of the overseas</w:t>
      </w:r>
      <w:r w:rsidR="00AC4FE7">
        <w:noBreakHyphen/>
      </w:r>
      <w:r w:rsidRPr="00444873">
        <w:t>b</w:t>
      </w:r>
      <w:r w:rsidR="00604BF5">
        <w:t xml:space="preserve">orn population in 1901 (Figure </w:t>
      </w:r>
      <w:r w:rsidR="00401F79">
        <w:t>13</w:t>
      </w:r>
      <w:r w:rsidRPr="00444873">
        <w:t>).</w:t>
      </w:r>
    </w:p>
    <w:p w14:paraId="5F3CC0E8" w14:textId="77777777" w:rsidR="00444873" w:rsidRPr="003905E4" w:rsidRDefault="00444873" w:rsidP="000B438C">
      <w:pPr>
        <w:pStyle w:val="ChartMainHeading"/>
      </w:pPr>
      <w:bookmarkStart w:id="72" w:name="_Ref355867406"/>
      <w:r w:rsidRPr="003905E4">
        <w:t xml:space="preserve">Figure </w:t>
      </w:r>
      <w:bookmarkEnd w:id="72"/>
      <w:r w:rsidR="00401F79">
        <w:t>13</w:t>
      </w:r>
      <w:r w:rsidRPr="003905E4">
        <w:t>: Country or region of birth for the 1901 overseas</w:t>
      </w:r>
      <w:r w:rsidR="00021968" w:rsidRPr="003905E4">
        <w:noBreakHyphen/>
      </w:r>
      <w:r w:rsidRPr="003905E4">
        <w:t>born population</w:t>
      </w:r>
    </w:p>
    <w:p w14:paraId="38C16996" w14:textId="0D1B3C0C" w:rsidR="00444873" w:rsidRDefault="00302A39" w:rsidP="005F3E79">
      <w:pPr>
        <w:pStyle w:val="ChartGraphic"/>
      </w:pPr>
      <w:r>
        <w:pict w14:anchorId="1801836A">
          <v:shape id="_x0000_i1044" type="#_x0000_t75" style="width:442.5pt;height:168pt">
            <v:imagedata r:id="rId69" o:title="" croptop="2192f" cropleft="423f" cropright="423f"/>
          </v:shape>
        </w:pict>
      </w:r>
    </w:p>
    <w:p w14:paraId="6EFC6925" w14:textId="77777777" w:rsidR="00A536FC" w:rsidRPr="00A536FC" w:rsidRDefault="006E582A" w:rsidP="00A36CBF">
      <w:pPr>
        <w:pStyle w:val="ChartorTableNote"/>
      </w:pPr>
      <w:r w:rsidRPr="00A536FC">
        <w:t>Source:</w:t>
      </w:r>
      <w:r w:rsidR="00EF7F2C" w:rsidRPr="00A536FC">
        <w:t xml:space="preserve"> ABS 201</w:t>
      </w:r>
      <w:r w:rsidR="00D013CF" w:rsidRPr="00A536FC">
        <w:t>7c</w:t>
      </w:r>
      <w:r w:rsidR="00401F79" w:rsidRPr="00A536FC">
        <w:t>.</w:t>
      </w:r>
    </w:p>
    <w:p w14:paraId="645A9F7C" w14:textId="77777777" w:rsidR="00444873" w:rsidRDefault="00444873" w:rsidP="00A536FC">
      <w:r w:rsidRPr="00D52715">
        <w:t>Australia</w:t>
      </w:r>
      <w:r w:rsidR="00021968">
        <w:t>’</w:t>
      </w:r>
      <w:r w:rsidRPr="00D52715">
        <w:t xml:space="preserve">s </w:t>
      </w:r>
      <w:r w:rsidR="001E560D">
        <w:t xml:space="preserve">early </w:t>
      </w:r>
      <w:r w:rsidRPr="00D52715">
        <w:t xml:space="preserve">immigration policies were highly selective and were strongly based around the principles of a </w:t>
      </w:r>
      <w:r w:rsidR="00021968">
        <w:t>‘</w:t>
      </w:r>
      <w:r w:rsidRPr="00D52715">
        <w:t>White Australia</w:t>
      </w:r>
      <w:r w:rsidR="00021968">
        <w:t>’</w:t>
      </w:r>
      <w:r w:rsidRPr="00D52715">
        <w:t xml:space="preserve">. </w:t>
      </w:r>
      <w:r w:rsidR="00AC4FE7">
        <w:t>A</w:t>
      </w:r>
      <w:r w:rsidRPr="00D52715">
        <w:t>ntagonism towards non</w:t>
      </w:r>
      <w:r w:rsidR="00021968">
        <w:noBreakHyphen/>
      </w:r>
      <w:r w:rsidRPr="00D52715">
        <w:t>British migrants led to the development of federal policy</w:t>
      </w:r>
      <w:r w:rsidR="0029455E">
        <w:t xml:space="preserve"> in 1901</w:t>
      </w:r>
      <w:r w:rsidRPr="00D52715">
        <w:t xml:space="preserve"> that aimed to keep Australia as </w:t>
      </w:r>
      <w:r w:rsidR="000C7EEA">
        <w:t>‘</w:t>
      </w:r>
      <w:r w:rsidRPr="00D52715">
        <w:t>white</w:t>
      </w:r>
      <w:r w:rsidR="000C7EEA">
        <w:t>’</w:t>
      </w:r>
      <w:r w:rsidRPr="00D52715">
        <w:t xml:space="preserve"> as possible. In particular, </w:t>
      </w:r>
      <w:r>
        <w:t xml:space="preserve">the </w:t>
      </w:r>
      <w:r w:rsidR="00AC4FE7">
        <w:t xml:space="preserve">relatively small </w:t>
      </w:r>
      <w:r w:rsidRPr="00D52715">
        <w:t>flows of Chinese who came looking for gold</w:t>
      </w:r>
      <w:r>
        <w:t xml:space="preserve"> </w:t>
      </w:r>
      <w:r w:rsidRPr="00D52715">
        <w:t xml:space="preserve">and </w:t>
      </w:r>
      <w:r>
        <w:t xml:space="preserve">the </w:t>
      </w:r>
      <w:r w:rsidRPr="00D52715">
        <w:t xml:space="preserve">indentured labourers from the </w:t>
      </w:r>
      <w:r w:rsidR="003905E4" w:rsidRPr="00D52715">
        <w:t>Pacific</w:t>
      </w:r>
      <w:r w:rsidR="003905E4">
        <w:t> </w:t>
      </w:r>
      <w:r w:rsidRPr="00D52715">
        <w:t>Islands who worked mainly on</w:t>
      </w:r>
      <w:r w:rsidR="00AC4FE7">
        <w:t xml:space="preserve"> </w:t>
      </w:r>
      <w:r w:rsidR="00DC2257">
        <w:t>Queensland’s</w:t>
      </w:r>
      <w:r w:rsidR="00DC2257" w:rsidRPr="00D52715">
        <w:t xml:space="preserve"> </w:t>
      </w:r>
      <w:r w:rsidRPr="00D52715">
        <w:t xml:space="preserve">sugar plantations were seen </w:t>
      </w:r>
      <w:r w:rsidR="00AC4FE7">
        <w:t>as</w:t>
      </w:r>
      <w:r w:rsidRPr="00D52715">
        <w:t xml:space="preserve"> a threat to wages and employment, particularly at a time of economic depression and severe drought (</w:t>
      </w:r>
      <w:proofErr w:type="spellStart"/>
      <w:r w:rsidR="003905E4" w:rsidRPr="00D52715">
        <w:t>Megalogenis</w:t>
      </w:r>
      <w:proofErr w:type="spellEnd"/>
      <w:r w:rsidR="003905E4">
        <w:t> </w:t>
      </w:r>
      <w:r w:rsidRPr="00D52715">
        <w:t>2015).</w:t>
      </w:r>
    </w:p>
    <w:p w14:paraId="03A5393C" w14:textId="77777777" w:rsidR="00A536FC" w:rsidRDefault="00444873" w:rsidP="00A36CBF">
      <w:r w:rsidRPr="002B6E5B">
        <w:t xml:space="preserve">In response, several pieces of legislation were created </w:t>
      </w:r>
      <w:r w:rsidR="00D131BF">
        <w:t xml:space="preserve">largely </w:t>
      </w:r>
      <w:r w:rsidRPr="002B6E5B">
        <w:t xml:space="preserve">to restrict </w:t>
      </w:r>
      <w:r w:rsidR="00901EBF">
        <w:t xml:space="preserve">the inflow of </w:t>
      </w:r>
      <w:r w:rsidR="00021968">
        <w:t>‘</w:t>
      </w:r>
      <w:r w:rsidRPr="002B6E5B">
        <w:t>coloured migrants</w:t>
      </w:r>
      <w:r w:rsidR="00021968">
        <w:t>’</w:t>
      </w:r>
      <w:r w:rsidRPr="002B6E5B">
        <w:t xml:space="preserve">. </w:t>
      </w:r>
      <w:r w:rsidR="00562FFC">
        <w:t>One of the key mechanisms to achieve this was the introduction of a dictation test which could be in any European language, not necessarily English, at the discretion of officials</w:t>
      </w:r>
      <w:r w:rsidR="00C600FA">
        <w:t xml:space="preserve"> </w:t>
      </w:r>
      <w:r>
        <w:t>(</w:t>
      </w:r>
      <w:proofErr w:type="spellStart"/>
      <w:r>
        <w:t>Jupp</w:t>
      </w:r>
      <w:proofErr w:type="spellEnd"/>
      <w:r w:rsidR="00C600FA">
        <w:t> </w:t>
      </w:r>
      <w:r w:rsidR="00CC4CC3">
        <w:t>ed.</w:t>
      </w:r>
      <w:r w:rsidR="00C600FA">
        <w:t> </w:t>
      </w:r>
      <w:r>
        <w:t>2001)</w:t>
      </w:r>
      <w:r w:rsidR="00D131BF">
        <w:t>.</w:t>
      </w:r>
      <w:r w:rsidRPr="002B6E5B">
        <w:t xml:space="preserve"> Non</w:t>
      </w:r>
      <w:r w:rsidR="00021968">
        <w:noBreakHyphen/>
      </w:r>
      <w:r w:rsidRPr="002B6E5B">
        <w:t xml:space="preserve">European migrants were only allowed to enter Australia on a temporary basis under a strict permit. </w:t>
      </w:r>
      <w:r w:rsidR="0029455E">
        <w:t>From 1901 to 19</w:t>
      </w:r>
      <w:r w:rsidR="00C600FA">
        <w:t>08</w:t>
      </w:r>
      <w:r w:rsidRPr="002B6E5B">
        <w:t xml:space="preserve">, Australia </w:t>
      </w:r>
      <w:r>
        <w:t>lost</w:t>
      </w:r>
      <w:r w:rsidRPr="002B6E5B">
        <w:t xml:space="preserve"> more peop</w:t>
      </w:r>
      <w:r>
        <w:t>le to emigration than it received</w:t>
      </w:r>
      <w:r w:rsidR="00D131BF">
        <w:t xml:space="preserve"> </w:t>
      </w:r>
      <w:r w:rsidR="00901EBF">
        <w:t xml:space="preserve">through immigration, </w:t>
      </w:r>
      <w:r w:rsidR="00D131BF">
        <w:t>and b</w:t>
      </w:r>
      <w:r w:rsidR="0029455E">
        <w:t>y 1911 t</w:t>
      </w:r>
      <w:r>
        <w:t>he number of overseas</w:t>
      </w:r>
      <w:r w:rsidR="00021968">
        <w:noBreakHyphen/>
      </w:r>
      <w:r>
        <w:t xml:space="preserve">born residents was 12 per cent lower than it had been </w:t>
      </w:r>
      <w:r w:rsidR="00FB780B">
        <w:t>in 1901</w:t>
      </w:r>
      <w:r w:rsidR="00A36CBF">
        <w:t>.</w:t>
      </w:r>
    </w:p>
    <w:p w14:paraId="74915676" w14:textId="77777777" w:rsidR="00444873" w:rsidRDefault="00444873" w:rsidP="00C57890">
      <w:pPr>
        <w:keepNext/>
        <w:keepLines/>
      </w:pPr>
      <w:r>
        <w:lastRenderedPageBreak/>
        <w:t xml:space="preserve">Migration levels ebbed and flowed during the following four decades, with war and economic downturns affecting </w:t>
      </w:r>
      <w:r w:rsidR="0044603C">
        <w:t>migrant numbers</w:t>
      </w:r>
      <w:r>
        <w:t xml:space="preserve">. </w:t>
      </w:r>
      <w:r w:rsidR="009B45F5">
        <w:t>Whilst</w:t>
      </w:r>
      <w:r w:rsidR="00D131BF">
        <w:t xml:space="preserve"> the population doubled to 7.6 million</w:t>
      </w:r>
      <w:r w:rsidR="00EB5D36" w:rsidRPr="00EB5D36">
        <w:t xml:space="preserve"> </w:t>
      </w:r>
      <w:r w:rsidR="00EB5D36">
        <w:t>by 1947</w:t>
      </w:r>
      <w:r w:rsidR="009B45F5">
        <w:t>, the share of overseas</w:t>
      </w:r>
      <w:r w:rsidR="009B45F5">
        <w:noBreakHyphen/>
        <w:t>born residents fell to less than 10 per cent. This reflected increasing fertility levels but a</w:t>
      </w:r>
      <w:r>
        <w:t xml:space="preserve"> relatively </w:t>
      </w:r>
      <w:r w:rsidR="0044603C">
        <w:t>low</w:t>
      </w:r>
      <w:r w:rsidR="009B45F5">
        <w:t xml:space="preserve"> intake of migrants</w:t>
      </w:r>
      <w:r w:rsidR="000A07A2">
        <w:t>.</w:t>
      </w:r>
    </w:p>
    <w:p w14:paraId="06AED865" w14:textId="77777777" w:rsidR="00444873" w:rsidRDefault="00444873" w:rsidP="00631304">
      <w:r>
        <w:t xml:space="preserve">In 1944, Prime Minister John Curtin </w:t>
      </w:r>
      <w:r w:rsidR="009B45F5">
        <w:t xml:space="preserve">committed </w:t>
      </w:r>
      <w:r>
        <w:t xml:space="preserve">to </w:t>
      </w:r>
      <w:r w:rsidR="009B45F5">
        <w:t>increase</w:t>
      </w:r>
      <w:r>
        <w:t xml:space="preserve"> immigration once the war ended for both national security purposes and to support anticipated post</w:t>
      </w:r>
      <w:r w:rsidR="00021968">
        <w:noBreakHyphen/>
      </w:r>
      <w:r>
        <w:t xml:space="preserve">war labour shortages. The Government established a policy that Australia must </w:t>
      </w:r>
      <w:r w:rsidR="00021968">
        <w:t>‘</w:t>
      </w:r>
      <w:r>
        <w:t>populate or perish</w:t>
      </w:r>
      <w:r w:rsidR="00021968">
        <w:t>’</w:t>
      </w:r>
      <w:r>
        <w:t xml:space="preserve"> with a population growth target of approximately </w:t>
      </w:r>
      <w:r w:rsidR="00D42A6C">
        <w:t xml:space="preserve">2 </w:t>
      </w:r>
      <w:r>
        <w:t>per cent per year —</w:t>
      </w:r>
      <w:r w:rsidR="009B45F5">
        <w:t xml:space="preserve"> </w:t>
      </w:r>
      <w:r w:rsidR="00D42A6C">
        <w:t>1 </w:t>
      </w:r>
      <w:r>
        <w:t xml:space="preserve">per cent by natural increase and </w:t>
      </w:r>
      <w:r w:rsidR="00D42A6C">
        <w:t xml:space="preserve">1 </w:t>
      </w:r>
      <w:r>
        <w:t xml:space="preserve">per cent through migration (Smith et </w:t>
      </w:r>
      <w:r w:rsidR="006B55A1">
        <w:t>a</w:t>
      </w:r>
      <w:r>
        <w:t>l</w:t>
      </w:r>
      <w:r w:rsidR="00D42A6C">
        <w:t>.</w:t>
      </w:r>
      <w:r>
        <w:t xml:space="preserve"> 2011).</w:t>
      </w:r>
    </w:p>
    <w:p w14:paraId="7CB040FA" w14:textId="77777777" w:rsidR="00444873" w:rsidRPr="00444873" w:rsidRDefault="00444873" w:rsidP="00631304">
      <w:r>
        <w:t xml:space="preserve">However, tensions existed between the notion of a </w:t>
      </w:r>
      <w:r w:rsidR="00021968">
        <w:t>‘</w:t>
      </w:r>
      <w:r>
        <w:t>White Australia</w:t>
      </w:r>
      <w:r w:rsidR="00021968">
        <w:t>’</w:t>
      </w:r>
      <w:r>
        <w:t xml:space="preserve"> and the need for higher levels of immigration. As a result, the number</w:t>
      </w:r>
      <w:r w:rsidR="006B55A1">
        <w:t xml:space="preserve"> of migrant</w:t>
      </w:r>
      <w:r>
        <w:t xml:space="preserve">s fell significantly short of the planned </w:t>
      </w:r>
      <w:r w:rsidR="006B55A1">
        <w:t>intake</w:t>
      </w:r>
      <w:r>
        <w:t xml:space="preserve">. The Australian </w:t>
      </w:r>
      <w:r w:rsidR="006B55A1">
        <w:t>G</w:t>
      </w:r>
      <w:r>
        <w:t xml:space="preserve">overnment established various schemes to </w:t>
      </w:r>
      <w:r w:rsidR="00DD22ED">
        <w:t>bring in migrants</w:t>
      </w:r>
      <w:r>
        <w:t xml:space="preserve"> from the displaced </w:t>
      </w:r>
      <w:r w:rsidR="00B37D33">
        <w:t xml:space="preserve">persons </w:t>
      </w:r>
      <w:r>
        <w:t xml:space="preserve">camps in Europe, </w:t>
      </w:r>
      <w:r w:rsidR="006B55A1">
        <w:t>in addition to</w:t>
      </w:r>
      <w:r>
        <w:t xml:space="preserve"> entering into agreements with a number of European countries and the United States on assisted migration schemes. As a result, migration from non</w:t>
      </w:r>
      <w:r w:rsidR="00021968">
        <w:noBreakHyphen/>
      </w:r>
      <w:r>
        <w:t>British countries represented two</w:t>
      </w:r>
      <w:r w:rsidR="001A71E3">
        <w:t>-</w:t>
      </w:r>
      <w:r>
        <w:t>thirds of Australia</w:t>
      </w:r>
      <w:r w:rsidR="00021968">
        <w:t>’</w:t>
      </w:r>
      <w:r>
        <w:t>s immigration intake</w:t>
      </w:r>
      <w:r w:rsidR="006B55A1">
        <w:t xml:space="preserve"> over the post-war period</w:t>
      </w:r>
      <w:r>
        <w:t>.</w:t>
      </w:r>
    </w:p>
    <w:p w14:paraId="10B9B00F" w14:textId="77777777" w:rsidR="006316BF" w:rsidRDefault="00444873" w:rsidP="00185CA1">
      <w:pPr>
        <w:keepNext/>
        <w:keepLines/>
      </w:pPr>
      <w:r>
        <w:t>Following a review in 1966, Australia, like Canada and the United States, began dismantling its race</w:t>
      </w:r>
      <w:r w:rsidR="00021968">
        <w:noBreakHyphen/>
      </w:r>
      <w:r>
        <w:t xml:space="preserve">based immigration policies. It was not until the </w:t>
      </w:r>
      <w:r w:rsidR="00091279">
        <w:t>19</w:t>
      </w:r>
      <w:r>
        <w:t>70s, however, that the White Australia policy was formally abandoned. In its place, Australia introduced a</w:t>
      </w:r>
      <w:r w:rsidRPr="00F3484E">
        <w:t xml:space="preserve"> points</w:t>
      </w:r>
      <w:r w:rsidR="00021968">
        <w:noBreakHyphen/>
      </w:r>
      <w:r w:rsidRPr="00F3484E">
        <w:t>based system that gave weight to factors such as family ties</w:t>
      </w:r>
      <w:r w:rsidR="00FB780B">
        <w:t>,</w:t>
      </w:r>
      <w:r>
        <w:t xml:space="preserve"> occupation, education,</w:t>
      </w:r>
      <w:r w:rsidRPr="00F3484E">
        <w:t xml:space="preserve"> and language skills</w:t>
      </w:r>
      <w:r>
        <w:t xml:space="preserve">. </w:t>
      </w:r>
      <w:r w:rsidR="006316BF">
        <w:t xml:space="preserve">The 1970s and </w:t>
      </w:r>
      <w:r w:rsidR="007F7C27">
        <w:t>19</w:t>
      </w:r>
      <w:r w:rsidR="006316BF">
        <w:t xml:space="preserve">80s also saw the arrival of refugees following the Vietnam War. By 1985, 70,000 </w:t>
      </w:r>
      <w:r w:rsidR="006316BF" w:rsidRPr="006316BF">
        <w:t>refugees from Southeast Asia, mostly Vietnam, had settled in Australia</w:t>
      </w:r>
      <w:r w:rsidR="006316BF">
        <w:t xml:space="preserve">. </w:t>
      </w:r>
      <w:r w:rsidR="00FB780B">
        <w:t xml:space="preserve">These changes </w:t>
      </w:r>
      <w:r w:rsidR="006B55A1">
        <w:t xml:space="preserve">served </w:t>
      </w:r>
      <w:r w:rsidR="00FB780B">
        <w:t xml:space="preserve">to welcome a greater variety of migrants </w:t>
      </w:r>
      <w:r w:rsidR="006B55A1">
        <w:t xml:space="preserve">and </w:t>
      </w:r>
      <w:r w:rsidR="00FB780B">
        <w:t>resulted in</w:t>
      </w:r>
      <w:r>
        <w:t xml:space="preserve"> an increase in the number of non</w:t>
      </w:r>
      <w:r w:rsidR="00021968">
        <w:noBreakHyphen/>
      </w:r>
      <w:r>
        <w:t>European arrivals</w:t>
      </w:r>
      <w:r w:rsidR="005E782C">
        <w:t>.</w:t>
      </w:r>
    </w:p>
    <w:p w14:paraId="3EA3DEE1" w14:textId="77777777" w:rsidR="00444873" w:rsidRDefault="00444873" w:rsidP="00631304">
      <w:pPr>
        <w:rPr>
          <w:lang w:val="en-US"/>
        </w:rPr>
      </w:pPr>
      <w:r w:rsidRPr="00132319">
        <w:rPr>
          <w:lang w:val="en-US"/>
        </w:rPr>
        <w:t>While skilled migrants had long played a part in Australia</w:t>
      </w:r>
      <w:r w:rsidR="00021968">
        <w:rPr>
          <w:lang w:val="en-US"/>
        </w:rPr>
        <w:t>’</w:t>
      </w:r>
      <w:r w:rsidRPr="00132319">
        <w:rPr>
          <w:lang w:val="en-US"/>
        </w:rPr>
        <w:t>s migration program</w:t>
      </w:r>
      <w:r w:rsidR="00A60B45">
        <w:rPr>
          <w:lang w:val="en-US"/>
        </w:rPr>
        <w:t>s</w:t>
      </w:r>
      <w:r w:rsidRPr="00132319">
        <w:rPr>
          <w:lang w:val="en-US"/>
        </w:rPr>
        <w:t>, the focus on skills</w:t>
      </w:r>
      <w:r>
        <w:rPr>
          <w:lang w:val="en-US"/>
        </w:rPr>
        <w:t xml:space="preserve"> was </w:t>
      </w:r>
      <w:proofErr w:type="spellStart"/>
      <w:r>
        <w:rPr>
          <w:lang w:val="en-US"/>
        </w:rPr>
        <w:t>formali</w:t>
      </w:r>
      <w:r w:rsidR="00091279">
        <w:rPr>
          <w:lang w:val="en-US"/>
        </w:rPr>
        <w:t>s</w:t>
      </w:r>
      <w:r>
        <w:rPr>
          <w:lang w:val="en-US"/>
        </w:rPr>
        <w:t>ed</w:t>
      </w:r>
      <w:proofErr w:type="spellEnd"/>
      <w:r>
        <w:rPr>
          <w:lang w:val="en-US"/>
        </w:rPr>
        <w:t xml:space="preserve"> and expanded by the Howard Government in 1996</w:t>
      </w:r>
      <w:r w:rsidR="00770DCB">
        <w:rPr>
          <w:lang w:val="en-US"/>
        </w:rPr>
        <w:t>,</w:t>
      </w:r>
      <w:r>
        <w:rPr>
          <w:lang w:val="en-US"/>
        </w:rPr>
        <w:t xml:space="preserve"> as a way of ameliorating the ageing of Australia</w:t>
      </w:r>
      <w:r w:rsidR="00021968">
        <w:rPr>
          <w:lang w:val="en-US"/>
        </w:rPr>
        <w:t>’</w:t>
      </w:r>
      <w:r>
        <w:rPr>
          <w:lang w:val="en-US"/>
        </w:rPr>
        <w:t>s population. Further changes were introduced in the late</w:t>
      </w:r>
      <w:r w:rsidR="00C2373E">
        <w:rPr>
          <w:lang w:val="en-US"/>
        </w:rPr>
        <w:t xml:space="preserve"> </w:t>
      </w:r>
      <w:r>
        <w:rPr>
          <w:lang w:val="en-US"/>
        </w:rPr>
        <w:t xml:space="preserve">2000s to </w:t>
      </w:r>
      <w:proofErr w:type="spellStart"/>
      <w:r>
        <w:rPr>
          <w:lang w:val="en-US"/>
        </w:rPr>
        <w:t>prioritise</w:t>
      </w:r>
      <w:proofErr w:type="spellEnd"/>
      <w:r>
        <w:rPr>
          <w:lang w:val="en-US"/>
        </w:rPr>
        <w:t xml:space="preserve"> employer</w:t>
      </w:r>
      <w:r w:rsidR="00770DCB">
        <w:rPr>
          <w:lang w:val="en-US"/>
        </w:rPr>
        <w:t>-</w:t>
      </w:r>
      <w:r>
        <w:rPr>
          <w:lang w:val="en-US"/>
        </w:rPr>
        <w:t xml:space="preserve">sponsored individuals. </w:t>
      </w:r>
      <w:r w:rsidR="00DD22ED">
        <w:rPr>
          <w:lang w:val="en-US"/>
        </w:rPr>
        <w:t>Since m</w:t>
      </w:r>
      <w:r w:rsidRPr="003B4E90">
        <w:rPr>
          <w:lang w:val="en-US"/>
        </w:rPr>
        <w:t xml:space="preserve">igrants arriving through </w:t>
      </w:r>
      <w:r>
        <w:rPr>
          <w:lang w:val="en-US"/>
        </w:rPr>
        <w:t>employer sponsorship</w:t>
      </w:r>
      <w:r w:rsidRPr="003B4E90">
        <w:rPr>
          <w:lang w:val="en-US"/>
        </w:rPr>
        <w:t xml:space="preserve"> have a job offer prior to arrival in the country</w:t>
      </w:r>
      <w:r>
        <w:rPr>
          <w:lang w:val="en-US"/>
        </w:rPr>
        <w:t xml:space="preserve">, </w:t>
      </w:r>
      <w:r w:rsidR="00DD22ED">
        <w:rPr>
          <w:lang w:val="en-US"/>
        </w:rPr>
        <w:t>t</w:t>
      </w:r>
      <w:r>
        <w:rPr>
          <w:lang w:val="en-US"/>
        </w:rPr>
        <w:t>h</w:t>
      </w:r>
      <w:r w:rsidR="00770DCB">
        <w:rPr>
          <w:lang w:val="en-US"/>
        </w:rPr>
        <w:t>e</w:t>
      </w:r>
      <w:r>
        <w:rPr>
          <w:lang w:val="en-US"/>
        </w:rPr>
        <w:t>s</w:t>
      </w:r>
      <w:r w:rsidR="00770DCB">
        <w:rPr>
          <w:lang w:val="en-US"/>
        </w:rPr>
        <w:t>e changes</w:t>
      </w:r>
      <w:r>
        <w:rPr>
          <w:lang w:val="en-US"/>
        </w:rPr>
        <w:t xml:space="preserve"> ha</w:t>
      </w:r>
      <w:r w:rsidR="00770DCB">
        <w:rPr>
          <w:lang w:val="en-US"/>
        </w:rPr>
        <w:t>ve</w:t>
      </w:r>
      <w:r>
        <w:rPr>
          <w:lang w:val="en-US"/>
        </w:rPr>
        <w:t xml:space="preserve"> helped boost the </w:t>
      </w:r>
      <w:proofErr w:type="spellStart"/>
      <w:r>
        <w:rPr>
          <w:lang w:val="en-US"/>
        </w:rPr>
        <w:t>labour</w:t>
      </w:r>
      <w:proofErr w:type="spellEnd"/>
      <w:r>
        <w:rPr>
          <w:lang w:val="en-US"/>
        </w:rPr>
        <w:t xml:space="preserve"> market outcomes of recent migrant cohorts</w:t>
      </w:r>
      <w:r w:rsidR="008015C1">
        <w:rPr>
          <w:lang w:val="en-US"/>
        </w:rPr>
        <w:t xml:space="preserve"> (Cully 2011</w:t>
      </w:r>
      <w:r w:rsidR="00F41670">
        <w:rPr>
          <w:lang w:val="en-US"/>
        </w:rPr>
        <w:t>a</w:t>
      </w:r>
      <w:r w:rsidR="008015C1">
        <w:rPr>
          <w:lang w:val="en-US"/>
        </w:rPr>
        <w:t>)</w:t>
      </w:r>
      <w:r>
        <w:rPr>
          <w:lang w:val="en-US"/>
        </w:rPr>
        <w:t xml:space="preserve">. Together, these reforms have formed the basis of </w:t>
      </w:r>
      <w:r w:rsidR="00721643">
        <w:rPr>
          <w:lang w:val="en-US"/>
        </w:rPr>
        <w:t>Australia’s</w:t>
      </w:r>
      <w:r>
        <w:rPr>
          <w:lang w:val="en-US"/>
        </w:rPr>
        <w:t xml:space="preserve"> current migration arrangements</w:t>
      </w:r>
      <w:r w:rsidR="00721643">
        <w:rPr>
          <w:lang w:val="en-US"/>
        </w:rPr>
        <w:t xml:space="preserve">. Australia’s programs for permanent and temporary migration </w:t>
      </w:r>
      <w:r>
        <w:rPr>
          <w:lang w:val="en-US"/>
        </w:rPr>
        <w:t xml:space="preserve">are discussed in more detail </w:t>
      </w:r>
      <w:r w:rsidR="00721643">
        <w:rPr>
          <w:lang w:val="en-US"/>
        </w:rPr>
        <w:t>in Section 5.2</w:t>
      </w:r>
      <w:r>
        <w:rPr>
          <w:lang w:val="en-US"/>
        </w:rPr>
        <w:t>.</w:t>
      </w:r>
    </w:p>
    <w:p w14:paraId="2FAA36C1" w14:textId="77777777" w:rsidR="00C55B29" w:rsidRDefault="00C55B29" w:rsidP="00C55B29">
      <w:r>
        <w:t xml:space="preserve">In 2016, </w:t>
      </w:r>
      <w:r w:rsidR="00FB780B">
        <w:t xml:space="preserve">migrants from </w:t>
      </w:r>
      <w:r w:rsidR="00F70C1B">
        <w:t xml:space="preserve">Australia’s top </w:t>
      </w:r>
      <w:r w:rsidR="00FB780B">
        <w:t xml:space="preserve">five </w:t>
      </w:r>
      <w:r w:rsidR="00F70C1B">
        <w:t xml:space="preserve">migrant source </w:t>
      </w:r>
      <w:r w:rsidR="00FB780B">
        <w:t>countries</w:t>
      </w:r>
      <w:r>
        <w:t xml:space="preserve"> accounted for 46 per cent of </w:t>
      </w:r>
      <w:r w:rsidR="00FB780B">
        <w:t>overseas</w:t>
      </w:r>
      <w:r w:rsidR="00FB780B">
        <w:noBreakHyphen/>
        <w:t>born residents</w:t>
      </w:r>
      <w:r w:rsidR="00F70C1B">
        <w:t xml:space="preserve"> (see Figure 1</w:t>
      </w:r>
      <w:r w:rsidR="00191B6B">
        <w:t>4</w:t>
      </w:r>
      <w:r w:rsidR="00F70C1B">
        <w:t>)</w:t>
      </w:r>
      <w:r>
        <w:t xml:space="preserve">. By contrast, in 1901, </w:t>
      </w:r>
      <w:r w:rsidR="00F70C1B">
        <w:t xml:space="preserve">the top </w:t>
      </w:r>
      <w:r>
        <w:t xml:space="preserve">five </w:t>
      </w:r>
      <w:r w:rsidR="00F70C1B">
        <w:t xml:space="preserve">migrant source </w:t>
      </w:r>
      <w:r>
        <w:t>countries accounted for 92 per cent of oversea</w:t>
      </w:r>
      <w:r w:rsidR="00FB780B">
        <w:t>s</w:t>
      </w:r>
      <w:r w:rsidR="00FB780B">
        <w:noBreakHyphen/>
      </w:r>
      <w:r>
        <w:t>born residents. As a share of the population, residents born in the United Kingdom accounted for 1</w:t>
      </w:r>
      <w:r w:rsidR="00E3451B">
        <w:t>8</w:t>
      </w:r>
      <w:r>
        <w:t xml:space="preserve"> per cent of the population in 1901 and now account for </w:t>
      </w:r>
      <w:r w:rsidR="0026282E">
        <w:t xml:space="preserve">just </w:t>
      </w:r>
      <w:proofErr w:type="gramStart"/>
      <w:r w:rsidR="0026282E">
        <w:t>under</w:t>
      </w:r>
      <w:proofErr w:type="gramEnd"/>
      <w:r>
        <w:t xml:space="preserve"> 5 per cent</w:t>
      </w:r>
      <w:r w:rsidR="00FB780B">
        <w:t>,</w:t>
      </w:r>
      <w:r>
        <w:t xml:space="preserve"> although they remain Australia’s largest group of overseas</w:t>
      </w:r>
      <w:r>
        <w:noBreakHyphen/>
        <w:t>born residents.</w:t>
      </w:r>
    </w:p>
    <w:p w14:paraId="30035BDD" w14:textId="77777777" w:rsidR="00C55B29" w:rsidRDefault="00C55B29" w:rsidP="005D0DBA">
      <w:pPr>
        <w:pStyle w:val="ChartMainHeading"/>
        <w:spacing w:before="0" w:after="20"/>
      </w:pPr>
      <w:bookmarkStart w:id="73" w:name="_Ref487196471"/>
      <w:r>
        <w:lastRenderedPageBreak/>
        <w:t xml:space="preserve">Figure </w:t>
      </w:r>
      <w:bookmarkEnd w:id="73"/>
      <w:r w:rsidR="00F70C1B">
        <w:t>1</w:t>
      </w:r>
      <w:r w:rsidR="008C1147">
        <w:t>4</w:t>
      </w:r>
      <w:r w:rsidR="00F70C1B">
        <w:t>:</w:t>
      </w:r>
      <w:r>
        <w:t xml:space="preserve"> </w:t>
      </w:r>
      <w:r w:rsidR="00171105">
        <w:t>T</w:t>
      </w:r>
      <w:r>
        <w:t xml:space="preserve">op </w:t>
      </w:r>
      <w:r w:rsidR="00F70C1B">
        <w:t>five</w:t>
      </w:r>
      <w:r>
        <w:t xml:space="preserve"> </w:t>
      </w:r>
      <w:r w:rsidR="00171105">
        <w:t xml:space="preserve">overseas </w:t>
      </w:r>
      <w:r>
        <w:t>countries of birth</w:t>
      </w:r>
      <w:r w:rsidR="00171105">
        <w:t xml:space="preserve"> for Australian residents</w:t>
      </w:r>
    </w:p>
    <w:p w14:paraId="0BE7E748" w14:textId="54FC0454" w:rsidR="00C55B29" w:rsidRDefault="00302A39" w:rsidP="005F3E79">
      <w:pPr>
        <w:pStyle w:val="ChartGraphic"/>
        <w:rPr>
          <w:lang w:val="en-US"/>
        </w:rPr>
      </w:pPr>
      <w:r>
        <w:rPr>
          <w:lang w:val="en-US"/>
        </w:rPr>
        <w:pict w14:anchorId="142E72EF">
          <v:shape id="_x0000_i1045" type="#_x0000_t75" style="width:419.25pt;height:204.75pt">
            <v:imagedata r:id="rId70" o:title="" cropleft="1270f"/>
          </v:shape>
        </w:pict>
      </w:r>
    </w:p>
    <w:p w14:paraId="5AA07F42" w14:textId="77777777" w:rsidR="00171105" w:rsidRPr="00A536FC" w:rsidRDefault="00171105" w:rsidP="007B5E24">
      <w:pPr>
        <w:pStyle w:val="ChartorTableNote"/>
        <w:spacing w:after="240"/>
      </w:pPr>
      <w:r w:rsidRPr="00A536FC">
        <w:t xml:space="preserve">Source: </w:t>
      </w:r>
      <w:r w:rsidR="00C61C62" w:rsidRPr="00A536FC">
        <w:t xml:space="preserve">ABS </w:t>
      </w:r>
      <w:r w:rsidR="00D013CF" w:rsidRPr="00A536FC">
        <w:t xml:space="preserve">2014a &amp; ABS </w:t>
      </w:r>
      <w:r w:rsidR="00C61C62" w:rsidRPr="00A536FC">
        <w:t>2017g, authors’ calculations</w:t>
      </w:r>
      <w:r w:rsidR="008C1147" w:rsidRPr="00A536FC">
        <w:t>.</w:t>
      </w:r>
    </w:p>
    <w:p w14:paraId="5A3EF977" w14:textId="77777777" w:rsidR="002A3C57" w:rsidRDefault="005F1F18" w:rsidP="005D0DBA">
      <w:pPr>
        <w:spacing w:before="160" w:after="160"/>
        <w:rPr>
          <w:lang w:val="en-US"/>
        </w:rPr>
      </w:pPr>
      <w:r>
        <w:rPr>
          <w:lang w:val="en-US"/>
        </w:rPr>
        <w:t>The last 20 years in particular have seen significant shifts in Australia’s migrant mix</w:t>
      </w:r>
      <w:r w:rsidR="00A55B32">
        <w:rPr>
          <w:lang w:val="en-US"/>
        </w:rPr>
        <w:t xml:space="preserve"> (Table 4)</w:t>
      </w:r>
      <w:r>
        <w:rPr>
          <w:lang w:val="en-US"/>
        </w:rPr>
        <w:t xml:space="preserve">. The 2016 Census shows that Australian residents born in Asian nations now outnumber those born in Europe. Recent migrants from Asian nations have brought </w:t>
      </w:r>
      <w:r w:rsidRPr="005F1F18">
        <w:rPr>
          <w:lang w:val="en-US"/>
        </w:rPr>
        <w:t xml:space="preserve">Indonesia, South Korea, Singapore, </w:t>
      </w:r>
      <w:r>
        <w:rPr>
          <w:lang w:val="en-US"/>
        </w:rPr>
        <w:t xml:space="preserve">and </w:t>
      </w:r>
      <w:r w:rsidRPr="005F1F18">
        <w:rPr>
          <w:lang w:val="en-US"/>
        </w:rPr>
        <w:t xml:space="preserve">Thailand </w:t>
      </w:r>
      <w:r>
        <w:rPr>
          <w:lang w:val="en-US"/>
        </w:rPr>
        <w:t xml:space="preserve">into the list of top 20 migrant source countries. These have </w:t>
      </w:r>
      <w:r w:rsidRPr="005F1F18">
        <w:rPr>
          <w:lang w:val="en-US"/>
        </w:rPr>
        <w:t xml:space="preserve">replaced Croatia, Malta, Poland, </w:t>
      </w:r>
      <w:r w:rsidR="00906AB6">
        <w:rPr>
          <w:lang w:val="en-US"/>
        </w:rPr>
        <w:t xml:space="preserve">and </w:t>
      </w:r>
      <w:r w:rsidRPr="005F1F18">
        <w:rPr>
          <w:lang w:val="en-US"/>
        </w:rPr>
        <w:t>Serbia</w:t>
      </w:r>
      <w:r w:rsidR="00906AB6">
        <w:rPr>
          <w:lang w:val="en-US"/>
        </w:rPr>
        <w:t xml:space="preserve"> – countries associated with the European migrant waves of the 1950s – </w:t>
      </w:r>
      <w:r w:rsidRPr="005F1F18">
        <w:rPr>
          <w:lang w:val="en-US"/>
        </w:rPr>
        <w:t>in the top 20 list.</w:t>
      </w:r>
    </w:p>
    <w:p w14:paraId="3CF5390D" w14:textId="77777777" w:rsidR="00A536FC" w:rsidRPr="00385501" w:rsidRDefault="00A536FC" w:rsidP="00A536FC">
      <w:pPr>
        <w:pStyle w:val="TableMainHeading"/>
      </w:pPr>
      <w:r w:rsidRPr="00385501">
        <w:t xml:space="preserve">Table </w:t>
      </w:r>
      <w:r>
        <w:t>4</w:t>
      </w:r>
      <w:r w:rsidRPr="00385501">
        <w:t>: Top 20 source countries for migrants, 1996 and 2016</w:t>
      </w:r>
      <w:r w:rsidR="0038066F">
        <w:t xml:space="preserve"> </w:t>
      </w:r>
      <w:r w:rsidR="0038066F" w:rsidRPr="0038066F">
        <w:rPr>
          <w:b w:val="0"/>
          <w:sz w:val="18"/>
        </w:rPr>
        <w:t>(ABS 2017c)</w:t>
      </w:r>
    </w:p>
    <w:tbl>
      <w:tblPr>
        <w:tblW w:w="8987" w:type="dxa"/>
        <w:tblInd w:w="2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624"/>
        <w:gridCol w:w="1191"/>
        <w:gridCol w:w="1899"/>
        <w:gridCol w:w="1077"/>
        <w:gridCol w:w="1191"/>
        <w:gridCol w:w="1928"/>
        <w:gridCol w:w="1077"/>
      </w:tblGrid>
      <w:tr w:rsidR="00A536FC" w:rsidRPr="003A0073" w14:paraId="01258EB7" w14:textId="77777777" w:rsidTr="00CB155A">
        <w:trPr>
          <w:trHeight w:val="130"/>
        </w:trPr>
        <w:tc>
          <w:tcPr>
            <w:tcW w:w="624" w:type="dxa"/>
            <w:vMerge w:val="restart"/>
            <w:tcBorders>
              <w:top w:val="single" w:sz="4" w:space="0" w:color="808080" w:themeColor="background1" w:themeShade="80"/>
              <w:left w:val="nil"/>
              <w:right w:val="single" w:sz="4" w:space="0" w:color="808080" w:themeColor="background1" w:themeShade="80"/>
            </w:tcBorders>
            <w:shd w:val="clear" w:color="auto" w:fill="DEEAF6" w:themeFill="accent1" w:themeFillTint="33"/>
            <w:tcMar>
              <w:left w:w="28" w:type="dxa"/>
              <w:right w:w="28" w:type="dxa"/>
            </w:tcMar>
            <w:vAlign w:val="center"/>
          </w:tcPr>
          <w:p w14:paraId="269A7400" w14:textId="77777777" w:rsidR="00A536FC" w:rsidRPr="003A0073" w:rsidRDefault="00A536FC" w:rsidP="005D0DBA">
            <w:pPr>
              <w:pStyle w:val="TableColumnHeadingCentred"/>
              <w:spacing w:before="39" w:after="39"/>
              <w:ind w:left="-28" w:right="-28"/>
            </w:pPr>
            <w:r>
              <w:t>Rank</w:t>
            </w:r>
          </w:p>
        </w:tc>
        <w:tc>
          <w:tcPr>
            <w:tcW w:w="416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tcMar>
              <w:left w:w="28" w:type="dxa"/>
              <w:right w:w="28" w:type="dxa"/>
            </w:tcMar>
            <w:vAlign w:val="center"/>
          </w:tcPr>
          <w:p w14:paraId="0E60FA65" w14:textId="77777777" w:rsidR="00A536FC" w:rsidRPr="003A0073" w:rsidRDefault="00A536FC" w:rsidP="005D0DBA">
            <w:pPr>
              <w:pStyle w:val="TableColumnHeadingCentred"/>
              <w:spacing w:before="39" w:after="39"/>
            </w:pPr>
            <w:r w:rsidRPr="003A0073">
              <w:t>1996</w:t>
            </w:r>
          </w:p>
        </w:tc>
        <w:tc>
          <w:tcPr>
            <w:tcW w:w="4196" w:type="dxa"/>
            <w:gridSpan w:val="3"/>
            <w:tcBorders>
              <w:top w:val="single" w:sz="4" w:space="0" w:color="808080" w:themeColor="background1" w:themeShade="80"/>
              <w:left w:val="double" w:sz="4" w:space="0" w:color="auto"/>
              <w:bottom w:val="single" w:sz="4" w:space="0" w:color="808080" w:themeColor="background1" w:themeShade="80"/>
              <w:right w:val="nil"/>
            </w:tcBorders>
            <w:shd w:val="clear" w:color="auto" w:fill="D9D9D9" w:themeFill="background1" w:themeFillShade="D9"/>
            <w:tcMar>
              <w:left w:w="28" w:type="dxa"/>
              <w:right w:w="28" w:type="dxa"/>
            </w:tcMar>
            <w:vAlign w:val="center"/>
          </w:tcPr>
          <w:p w14:paraId="3972B8BA" w14:textId="77777777" w:rsidR="00A536FC" w:rsidRPr="003A0073" w:rsidRDefault="00A536FC" w:rsidP="005D0DBA">
            <w:pPr>
              <w:pStyle w:val="TableColumnHeadingCentred"/>
              <w:spacing w:before="39" w:after="39"/>
            </w:pPr>
            <w:r w:rsidRPr="003A0073">
              <w:t>2016</w:t>
            </w:r>
          </w:p>
        </w:tc>
      </w:tr>
      <w:tr w:rsidR="00A536FC" w:rsidRPr="00DC385A" w14:paraId="42A8FDD6" w14:textId="77777777" w:rsidTr="00CB155A">
        <w:trPr>
          <w:trHeight w:val="272"/>
        </w:trPr>
        <w:tc>
          <w:tcPr>
            <w:tcW w:w="624" w:type="dxa"/>
            <w:vMerge/>
            <w:tcBorders>
              <w:left w:val="nil"/>
              <w:bottom w:val="single" w:sz="4" w:space="0" w:color="808080" w:themeColor="background1" w:themeShade="80"/>
              <w:right w:val="single" w:sz="4" w:space="0" w:color="808080" w:themeColor="background1" w:themeShade="80"/>
            </w:tcBorders>
            <w:shd w:val="clear" w:color="auto" w:fill="DEEAF6" w:themeFill="accent1" w:themeFillTint="33"/>
            <w:tcMar>
              <w:left w:w="28" w:type="dxa"/>
              <w:right w:w="28" w:type="dxa"/>
            </w:tcMar>
            <w:vAlign w:val="center"/>
          </w:tcPr>
          <w:p w14:paraId="18E0BF7A" w14:textId="77777777" w:rsidR="00A536FC" w:rsidRPr="0065215B" w:rsidRDefault="00A536FC" w:rsidP="005D0DBA">
            <w:pPr>
              <w:pStyle w:val="TableColumnHeadingCentred"/>
              <w:spacing w:before="39" w:after="39"/>
              <w:ind w:left="-28" w:right="-28"/>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tcMar>
              <w:left w:w="28" w:type="dxa"/>
              <w:right w:w="28" w:type="dxa"/>
            </w:tcMar>
            <w:vAlign w:val="center"/>
          </w:tcPr>
          <w:p w14:paraId="011E5942" w14:textId="77777777" w:rsidR="00A536FC" w:rsidRPr="003A0073" w:rsidRDefault="00A536FC" w:rsidP="005D0DBA">
            <w:pPr>
              <w:pStyle w:val="TableColumnHeadingCentred"/>
              <w:spacing w:before="39" w:after="39"/>
            </w:pPr>
            <w:r w:rsidRPr="003A0073">
              <w:t>Country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noWrap/>
            <w:tcMar>
              <w:left w:w="28" w:type="dxa"/>
              <w:right w:w="28" w:type="dxa"/>
            </w:tcMar>
            <w:vAlign w:val="center"/>
          </w:tcPr>
          <w:p w14:paraId="0452DEDB" w14:textId="77777777" w:rsidR="00A536FC" w:rsidRPr="0065215B" w:rsidRDefault="00A536FC" w:rsidP="005D0DBA">
            <w:pPr>
              <w:pStyle w:val="TableColumnHeadingCentred"/>
              <w:spacing w:before="39" w:after="39"/>
            </w:pPr>
            <w:r>
              <w:t>Population (‘000)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DEEAF6" w:themeFill="accent1" w:themeFillTint="33"/>
            <w:tcMar>
              <w:left w:w="28" w:type="dxa"/>
              <w:right w:w="28" w:type="dxa"/>
            </w:tcMar>
            <w:vAlign w:val="center"/>
          </w:tcPr>
          <w:p w14:paraId="7A3C3748" w14:textId="77777777" w:rsidR="00A536FC" w:rsidRPr="0065215B" w:rsidRDefault="00A536FC" w:rsidP="005D0DBA">
            <w:pPr>
              <w:pStyle w:val="TableColumnHeadingCentred"/>
              <w:spacing w:before="39" w:after="39"/>
            </w:pPr>
            <w:r>
              <w:t>Share (%)</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tcMar>
              <w:left w:w="28" w:type="dxa"/>
              <w:right w:w="28" w:type="dxa"/>
            </w:tcMar>
            <w:vAlign w:val="center"/>
          </w:tcPr>
          <w:p w14:paraId="7321D04C" w14:textId="77777777" w:rsidR="00A536FC" w:rsidRPr="003A0073" w:rsidRDefault="00A536FC" w:rsidP="005D0DBA">
            <w:pPr>
              <w:pStyle w:val="TableColumnHeadingCentred"/>
              <w:spacing w:before="39" w:after="39"/>
            </w:pPr>
            <w:r w:rsidRPr="003A0073">
              <w:t>Country</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tcMar>
              <w:left w:w="28" w:type="dxa"/>
              <w:right w:w="28" w:type="dxa"/>
            </w:tcMar>
            <w:vAlign w:val="center"/>
          </w:tcPr>
          <w:p w14:paraId="7340D949" w14:textId="77777777" w:rsidR="00A536FC" w:rsidRPr="0065215B" w:rsidRDefault="00A536FC" w:rsidP="005D0DBA">
            <w:pPr>
              <w:pStyle w:val="TableColumnHeadingCentred"/>
              <w:spacing w:before="39" w:after="39"/>
            </w:pPr>
            <w:r>
              <w:t>Population (‘000</w:t>
            </w:r>
            <w:r>
              <w:rPr>
                <w:caps w:val="0"/>
              </w:rPr>
              <w:t>s</w:t>
            </w:r>
            <w:r>
              <w:t>)</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tcMar>
              <w:left w:w="28" w:type="dxa"/>
              <w:right w:w="28" w:type="dxa"/>
            </w:tcMar>
            <w:vAlign w:val="center"/>
          </w:tcPr>
          <w:p w14:paraId="19DCB218" w14:textId="77777777" w:rsidR="00A536FC" w:rsidRPr="0065215B" w:rsidRDefault="00A536FC" w:rsidP="005D0DBA">
            <w:pPr>
              <w:pStyle w:val="TableColumnHeadingCentred"/>
              <w:spacing w:before="39" w:after="39"/>
            </w:pPr>
            <w:r>
              <w:t>Share (%)</w:t>
            </w:r>
          </w:p>
        </w:tc>
      </w:tr>
      <w:tr w:rsidR="00A536FC" w:rsidRPr="00BD12CB" w14:paraId="446D5940"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81EE0A4" w14:textId="77777777" w:rsidR="00A536FC" w:rsidRPr="00BD12CB" w:rsidRDefault="00A536FC" w:rsidP="005D0DBA">
            <w:pPr>
              <w:pStyle w:val="TableTextCentered"/>
              <w:spacing w:before="39" w:after="39"/>
              <w:ind w:left="-28" w:right="-28"/>
            </w:pPr>
            <w:r w:rsidRPr="00BD12CB">
              <w:t>1</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039CF4FC" w14:textId="77777777" w:rsidR="00A536FC" w:rsidRPr="00BD12CB" w:rsidRDefault="00A536FC" w:rsidP="005D0DBA">
            <w:pPr>
              <w:pStyle w:val="TableTextCentered"/>
              <w:spacing w:before="39" w:after="39"/>
            </w:pPr>
            <w:r w:rsidRPr="00BD12CB">
              <w:t>UK &amp; Ireland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76F0F42" w14:textId="77777777" w:rsidR="00A536FC" w:rsidRPr="00BD12CB" w:rsidRDefault="00A536FC" w:rsidP="005D0DBA">
            <w:pPr>
              <w:pStyle w:val="TableTextCentered"/>
              <w:spacing w:before="39" w:after="39"/>
            </w:pPr>
            <w:r w:rsidRPr="00BD12CB">
              <w:t>1,218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3AA93B28" w14:textId="77777777" w:rsidR="00A536FC" w:rsidRPr="00BD12CB" w:rsidRDefault="00A536FC" w:rsidP="005D0DBA">
            <w:pPr>
              <w:pStyle w:val="TableTextCentered"/>
              <w:spacing w:before="39" w:after="39"/>
            </w:pPr>
            <w:r w:rsidRPr="00BD12CB">
              <w:t>6.7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94F41C1" w14:textId="77777777" w:rsidR="00A536FC" w:rsidRPr="00BD12CB" w:rsidRDefault="00A536FC" w:rsidP="005D0DBA">
            <w:pPr>
              <w:pStyle w:val="TableTextCentered"/>
              <w:spacing w:before="39" w:after="39"/>
            </w:pPr>
            <w:r w:rsidRPr="00BD12CB">
              <w:t>UK &amp; Ireland</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09A42E2" w14:textId="77777777" w:rsidR="00A536FC" w:rsidRPr="00BD12CB" w:rsidRDefault="00A536FC" w:rsidP="005D0DBA">
            <w:pPr>
              <w:pStyle w:val="TableTextCentered"/>
              <w:spacing w:before="39" w:after="39"/>
            </w:pPr>
            <w:r w:rsidRPr="00BD12CB">
              <w:t>1,284</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904B3A9" w14:textId="77777777" w:rsidR="00A536FC" w:rsidRPr="00BD12CB" w:rsidRDefault="00A536FC" w:rsidP="005D0DBA">
            <w:pPr>
              <w:pStyle w:val="TableTextCentered"/>
              <w:spacing w:before="39" w:after="39"/>
            </w:pPr>
            <w:r w:rsidRPr="00BD12CB">
              <w:t>5.3</w:t>
            </w:r>
          </w:p>
        </w:tc>
      </w:tr>
      <w:tr w:rsidR="00A536FC" w:rsidRPr="00BD12CB" w14:paraId="57B2276C"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3205B3A8" w14:textId="77777777" w:rsidR="00A536FC" w:rsidRPr="00BD12CB" w:rsidRDefault="00A536FC" w:rsidP="005D0DBA">
            <w:pPr>
              <w:pStyle w:val="TableTextCentered"/>
              <w:spacing w:before="39" w:after="39"/>
              <w:ind w:left="-28" w:right="-28"/>
            </w:pPr>
            <w:r w:rsidRPr="00BD12CB">
              <w:t>2</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FCA11D8" w14:textId="77777777" w:rsidR="00A536FC" w:rsidRPr="00BD12CB" w:rsidRDefault="00A536FC" w:rsidP="005D0DBA">
            <w:pPr>
              <w:pStyle w:val="TableTextCentered"/>
              <w:spacing w:before="39" w:after="39"/>
            </w:pPr>
            <w:r w:rsidRPr="00BD12CB">
              <w:t>New Zealand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61B4ED5" w14:textId="77777777" w:rsidR="00A536FC" w:rsidRPr="00BD12CB" w:rsidRDefault="00A536FC" w:rsidP="005D0DBA">
            <w:pPr>
              <w:pStyle w:val="TableTextCentered"/>
              <w:spacing w:before="39" w:after="39"/>
            </w:pPr>
            <w:r w:rsidRPr="00BD12CB">
              <w:t>312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00AC002C" w14:textId="77777777" w:rsidR="00A536FC" w:rsidRPr="00BD12CB" w:rsidRDefault="00A536FC" w:rsidP="005D0DBA">
            <w:pPr>
              <w:pStyle w:val="TableTextCentered"/>
              <w:spacing w:before="39" w:after="39"/>
            </w:pPr>
            <w:r w:rsidRPr="00BD12CB">
              <w:t>1.7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18F53B3" w14:textId="77777777" w:rsidR="00A536FC" w:rsidRPr="00BD12CB" w:rsidRDefault="00A536FC" w:rsidP="005D0DBA">
            <w:pPr>
              <w:pStyle w:val="TableTextCentered"/>
              <w:spacing w:before="39" w:after="39"/>
            </w:pPr>
            <w:r w:rsidRPr="00BD12CB">
              <w:t>New Zealand</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28AF150" w14:textId="77777777" w:rsidR="00A536FC" w:rsidRPr="00BD12CB" w:rsidRDefault="00A536FC" w:rsidP="005D0DBA">
            <w:pPr>
              <w:pStyle w:val="TableTextCentered"/>
              <w:spacing w:before="39" w:after="39"/>
            </w:pPr>
            <w:r w:rsidRPr="00BD12CB">
              <w:t>607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75875F6" w14:textId="77777777" w:rsidR="00A536FC" w:rsidRPr="00BD12CB" w:rsidRDefault="00A536FC" w:rsidP="005D0DBA">
            <w:pPr>
              <w:pStyle w:val="TableTextCentered"/>
              <w:spacing w:before="39" w:after="39"/>
            </w:pPr>
            <w:r w:rsidRPr="00BD12CB">
              <w:t>2.5</w:t>
            </w:r>
          </w:p>
        </w:tc>
      </w:tr>
      <w:tr w:rsidR="00A536FC" w:rsidRPr="00BD12CB" w14:paraId="18B0C30C"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89F37E5" w14:textId="77777777" w:rsidR="00A536FC" w:rsidRPr="00BD12CB" w:rsidRDefault="00A536FC" w:rsidP="005D0DBA">
            <w:pPr>
              <w:pStyle w:val="TableTextCentered"/>
              <w:spacing w:before="39" w:after="39"/>
              <w:ind w:left="-28" w:right="-28"/>
            </w:pPr>
            <w:r w:rsidRPr="00BD12CB">
              <w:t>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3F3027FB" w14:textId="77777777" w:rsidR="00A536FC" w:rsidRPr="00BD12CB" w:rsidRDefault="00A536FC" w:rsidP="005D0DBA">
            <w:pPr>
              <w:pStyle w:val="TableTextCentered"/>
              <w:spacing w:before="39" w:after="39"/>
            </w:pPr>
            <w:r w:rsidRPr="00BD12CB">
              <w:t>Italy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57A8F37" w14:textId="77777777" w:rsidR="00A536FC" w:rsidRPr="00BD12CB" w:rsidRDefault="00A536FC" w:rsidP="005D0DBA">
            <w:pPr>
              <w:pStyle w:val="TableTextCentered"/>
              <w:spacing w:before="39" w:after="39"/>
            </w:pPr>
            <w:r w:rsidRPr="00BD12CB">
              <w:t>250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39D51250" w14:textId="77777777" w:rsidR="00A536FC" w:rsidRPr="00BD12CB" w:rsidRDefault="00A536FC" w:rsidP="005D0DBA">
            <w:pPr>
              <w:pStyle w:val="TableTextCentered"/>
              <w:spacing w:before="39" w:after="39"/>
            </w:pPr>
            <w:r w:rsidRPr="00BD12CB">
              <w:t>1.4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3E2C5F07" w14:textId="77777777" w:rsidR="00A536FC" w:rsidRPr="00BD12CB" w:rsidRDefault="00A536FC" w:rsidP="005D0DBA">
            <w:pPr>
              <w:pStyle w:val="TableTextCentered"/>
              <w:spacing w:before="39" w:after="39"/>
            </w:pPr>
            <w:r w:rsidRPr="00BD12CB">
              <w:t>China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74672D3" w14:textId="77777777" w:rsidR="00A536FC" w:rsidRPr="00BD12CB" w:rsidRDefault="00A536FC" w:rsidP="005D0DBA">
            <w:pPr>
              <w:pStyle w:val="TableTextCentered"/>
              <w:spacing w:before="39" w:after="39"/>
            </w:pPr>
            <w:r w:rsidRPr="00BD12CB">
              <w:t>526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4AFD5FA" w14:textId="77777777" w:rsidR="00A536FC" w:rsidRPr="00BD12CB" w:rsidRDefault="00A536FC" w:rsidP="005D0DBA">
            <w:pPr>
              <w:pStyle w:val="TableTextCentered"/>
              <w:spacing w:before="39" w:after="39"/>
            </w:pPr>
            <w:r w:rsidRPr="00BD12CB">
              <w:t>2.2</w:t>
            </w:r>
          </w:p>
        </w:tc>
      </w:tr>
      <w:tr w:rsidR="00A536FC" w:rsidRPr="00BD12CB" w14:paraId="2BB2DD19"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50375423" w14:textId="77777777" w:rsidR="00A536FC" w:rsidRPr="00BD12CB" w:rsidRDefault="00A536FC" w:rsidP="005D0DBA">
            <w:pPr>
              <w:pStyle w:val="TableTextCentered"/>
              <w:spacing w:before="39" w:after="39"/>
              <w:ind w:left="-28" w:right="-28"/>
            </w:pPr>
            <w:r w:rsidRPr="00BD12CB">
              <w:t>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5A3A611" w14:textId="77777777" w:rsidR="00A536FC" w:rsidRPr="00BD12CB" w:rsidRDefault="00A536FC" w:rsidP="005D0DBA">
            <w:pPr>
              <w:pStyle w:val="TableTextCentered"/>
              <w:spacing w:before="39" w:after="39"/>
            </w:pPr>
            <w:r w:rsidRPr="00BD12CB">
              <w:t>Vietnam</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226D4D6" w14:textId="77777777" w:rsidR="00A536FC" w:rsidRPr="00BD12CB" w:rsidRDefault="00A536FC" w:rsidP="005D0DBA">
            <w:pPr>
              <w:pStyle w:val="TableTextCentered"/>
              <w:spacing w:before="39" w:after="39"/>
            </w:pPr>
            <w:r w:rsidRPr="00BD12CB">
              <w:t>159</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6BFD68E" w14:textId="77777777" w:rsidR="00A536FC" w:rsidRPr="00BD12CB" w:rsidRDefault="00A536FC" w:rsidP="005D0DBA">
            <w:pPr>
              <w:pStyle w:val="TableTextCentered"/>
              <w:spacing w:before="39" w:after="39"/>
            </w:pPr>
            <w:r w:rsidRPr="00BD12CB">
              <w:t>0.9</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896E3FF" w14:textId="77777777" w:rsidR="00A536FC" w:rsidRPr="00BD12CB" w:rsidRDefault="00A536FC" w:rsidP="005D0DBA">
            <w:pPr>
              <w:pStyle w:val="TableTextCentered"/>
              <w:spacing w:before="39" w:after="39"/>
            </w:pPr>
            <w:r w:rsidRPr="00BD12CB">
              <w:t>India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FB58261" w14:textId="77777777" w:rsidR="00A536FC" w:rsidRPr="00BD12CB" w:rsidRDefault="00A536FC" w:rsidP="005D0DBA">
            <w:pPr>
              <w:pStyle w:val="TableTextCentered"/>
              <w:spacing w:before="39" w:after="39"/>
            </w:pPr>
            <w:r w:rsidRPr="00BD12CB">
              <w:t>469</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157ADC9" w14:textId="77777777" w:rsidR="00A536FC" w:rsidRPr="00BD12CB" w:rsidRDefault="00A536FC" w:rsidP="005D0DBA">
            <w:pPr>
              <w:pStyle w:val="TableTextCentered"/>
              <w:spacing w:before="39" w:after="39"/>
            </w:pPr>
            <w:r w:rsidRPr="00BD12CB">
              <w:t>1.9</w:t>
            </w:r>
          </w:p>
        </w:tc>
      </w:tr>
      <w:tr w:rsidR="00A536FC" w:rsidRPr="00BD12CB" w14:paraId="2A7D0576"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07D8E333" w14:textId="77777777" w:rsidR="00A536FC" w:rsidRPr="00BD12CB" w:rsidRDefault="00A536FC" w:rsidP="005D0DBA">
            <w:pPr>
              <w:pStyle w:val="TableTextCentered"/>
              <w:spacing w:before="39" w:after="39"/>
              <w:ind w:left="-28" w:right="-28"/>
            </w:pPr>
            <w:r w:rsidRPr="00BD12CB">
              <w:t>5</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2690CA36" w14:textId="77777777" w:rsidR="00A536FC" w:rsidRPr="00BD12CB" w:rsidRDefault="00A536FC" w:rsidP="005D0DBA">
            <w:pPr>
              <w:pStyle w:val="TableTextCentered"/>
              <w:spacing w:before="39" w:after="39"/>
            </w:pPr>
            <w:r w:rsidRPr="00BD12CB">
              <w:t>Greece</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1BAA3351" w14:textId="77777777" w:rsidR="00A536FC" w:rsidRPr="00BD12CB" w:rsidRDefault="00A536FC" w:rsidP="005D0DBA">
            <w:pPr>
              <w:pStyle w:val="TableTextCentered"/>
              <w:spacing w:before="39" w:after="39"/>
            </w:pPr>
            <w:r w:rsidRPr="00BD12CB">
              <w:t>138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B7F58A7" w14:textId="77777777" w:rsidR="00A536FC" w:rsidRPr="00BD12CB" w:rsidRDefault="00A536FC" w:rsidP="005D0DBA">
            <w:pPr>
              <w:pStyle w:val="TableTextCentered"/>
              <w:spacing w:before="39" w:after="39"/>
            </w:pPr>
            <w:r w:rsidRPr="00BD12CB">
              <w:t>0.8</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F7901A5" w14:textId="77777777" w:rsidR="00A536FC" w:rsidRPr="00BD12CB" w:rsidRDefault="00A536FC" w:rsidP="005D0DBA">
            <w:pPr>
              <w:pStyle w:val="TableTextCentered"/>
              <w:spacing w:before="39" w:after="39"/>
            </w:pPr>
            <w:r w:rsidRPr="00BD12CB">
              <w:t>Philippines</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3040DDE6" w14:textId="77777777" w:rsidR="00A536FC" w:rsidRPr="00BD12CB" w:rsidRDefault="00A536FC" w:rsidP="005D0DBA">
            <w:pPr>
              <w:pStyle w:val="TableTextCentered"/>
              <w:spacing w:before="39" w:after="39"/>
            </w:pPr>
            <w:r w:rsidRPr="00BD12CB">
              <w:t>246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38D9AEB" w14:textId="77777777" w:rsidR="00A536FC" w:rsidRPr="00BD12CB" w:rsidRDefault="00A536FC" w:rsidP="005D0DBA">
            <w:pPr>
              <w:pStyle w:val="TableTextCentered"/>
              <w:spacing w:before="39" w:after="39"/>
            </w:pPr>
            <w:r w:rsidRPr="00BD12CB">
              <w:t>1.0</w:t>
            </w:r>
          </w:p>
        </w:tc>
      </w:tr>
      <w:tr w:rsidR="00A536FC" w:rsidRPr="00BD12CB" w14:paraId="24084752"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9473C69" w14:textId="77777777" w:rsidR="00A536FC" w:rsidRPr="00BD12CB" w:rsidRDefault="00A536FC" w:rsidP="005D0DBA">
            <w:pPr>
              <w:pStyle w:val="TableTextCentered"/>
              <w:spacing w:before="39" w:after="39"/>
              <w:ind w:left="-28" w:right="-28"/>
            </w:pPr>
            <w:r w:rsidRPr="00BD12CB">
              <w:t>6</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CE558FE" w14:textId="77777777" w:rsidR="00A536FC" w:rsidRPr="00BD12CB" w:rsidRDefault="00A536FC" w:rsidP="005D0DBA">
            <w:pPr>
              <w:pStyle w:val="TableTextCentered"/>
              <w:spacing w:before="39" w:after="39"/>
            </w:pPr>
            <w:r w:rsidRPr="00BD12CB">
              <w:t>Germany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6593E1BC" w14:textId="77777777" w:rsidR="00A536FC" w:rsidRPr="00BD12CB" w:rsidRDefault="00A536FC" w:rsidP="005D0DBA">
            <w:pPr>
              <w:pStyle w:val="TableTextCentered"/>
              <w:spacing w:before="39" w:after="39"/>
            </w:pPr>
            <w:r w:rsidRPr="00BD12CB">
              <w:t>122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7547E4DA" w14:textId="77777777" w:rsidR="00A536FC" w:rsidRPr="00BD12CB" w:rsidRDefault="00A536FC" w:rsidP="005D0DBA">
            <w:pPr>
              <w:pStyle w:val="TableTextCentered"/>
              <w:spacing w:before="39" w:after="39"/>
            </w:pPr>
            <w:r w:rsidRPr="00BD12CB">
              <w:t>0.7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2236D30" w14:textId="77777777" w:rsidR="00A536FC" w:rsidRPr="00BD12CB" w:rsidRDefault="00A536FC" w:rsidP="005D0DBA">
            <w:pPr>
              <w:pStyle w:val="TableTextCentered"/>
              <w:spacing w:before="39" w:after="39"/>
            </w:pPr>
            <w:r w:rsidRPr="00BD12CB">
              <w:t>Vietnam</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420BD28" w14:textId="77777777" w:rsidR="00A536FC" w:rsidRPr="00BD12CB" w:rsidRDefault="00A536FC" w:rsidP="005D0DBA">
            <w:pPr>
              <w:pStyle w:val="TableTextCentered"/>
              <w:spacing w:before="39" w:after="39"/>
            </w:pPr>
            <w:r w:rsidRPr="00BD12CB">
              <w:t>237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7055E87" w14:textId="77777777" w:rsidR="00A536FC" w:rsidRPr="00BD12CB" w:rsidRDefault="00A536FC" w:rsidP="005D0DBA">
            <w:pPr>
              <w:pStyle w:val="TableTextCentered"/>
              <w:spacing w:before="39" w:after="39"/>
            </w:pPr>
            <w:r w:rsidRPr="00BD12CB">
              <w:t>1.0</w:t>
            </w:r>
          </w:p>
        </w:tc>
      </w:tr>
      <w:tr w:rsidR="00A536FC" w:rsidRPr="00BD12CB" w14:paraId="76C52BE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CA4EC61" w14:textId="77777777" w:rsidR="00A536FC" w:rsidRPr="00BD12CB" w:rsidRDefault="00A536FC" w:rsidP="005D0DBA">
            <w:pPr>
              <w:pStyle w:val="TableTextCentered"/>
              <w:spacing w:before="39" w:after="39"/>
              <w:ind w:left="-28" w:right="-28"/>
            </w:pPr>
            <w:r w:rsidRPr="00BD12CB">
              <w:t>7</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0E0D2C0B" w14:textId="77777777" w:rsidR="00A536FC" w:rsidRPr="00BD12CB" w:rsidRDefault="00A536FC" w:rsidP="005D0DBA">
            <w:pPr>
              <w:pStyle w:val="TableTextCentered"/>
              <w:spacing w:before="39" w:after="39"/>
            </w:pPr>
            <w:r w:rsidRPr="00BD12CB">
              <w:t>China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2A5F5D91" w14:textId="77777777" w:rsidR="00A536FC" w:rsidRPr="00BD12CB" w:rsidRDefault="00A536FC" w:rsidP="005D0DBA">
            <w:pPr>
              <w:pStyle w:val="TableTextCentered"/>
              <w:spacing w:before="39" w:after="39"/>
            </w:pPr>
            <w:r w:rsidRPr="00BD12CB">
              <w:t>119</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279546AA" w14:textId="77777777" w:rsidR="00A536FC" w:rsidRPr="00BD12CB" w:rsidRDefault="00A536FC" w:rsidP="005D0DBA">
            <w:pPr>
              <w:pStyle w:val="TableTextCentered"/>
              <w:spacing w:before="39" w:after="39"/>
            </w:pPr>
            <w:r w:rsidRPr="00BD12CB">
              <w:t>0.7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4C4AA12" w14:textId="77777777" w:rsidR="00A536FC" w:rsidRPr="00BD12CB" w:rsidRDefault="00A536FC" w:rsidP="005D0DBA">
            <w:pPr>
              <w:pStyle w:val="TableTextCentered"/>
              <w:spacing w:before="39" w:after="39"/>
            </w:pPr>
            <w:r w:rsidRPr="00BD12CB">
              <w:t>Italy</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7BD44DD" w14:textId="77777777" w:rsidR="00A536FC" w:rsidRPr="00BD12CB" w:rsidRDefault="00A536FC" w:rsidP="005D0DBA">
            <w:pPr>
              <w:pStyle w:val="TableTextCentered"/>
              <w:spacing w:before="39" w:after="39"/>
            </w:pPr>
            <w:r w:rsidRPr="00BD12CB">
              <w:t>195</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307A156" w14:textId="77777777" w:rsidR="00A536FC" w:rsidRPr="00BD12CB" w:rsidRDefault="00A536FC" w:rsidP="005D0DBA">
            <w:pPr>
              <w:pStyle w:val="TableTextCentered"/>
              <w:spacing w:before="39" w:after="39"/>
            </w:pPr>
            <w:r w:rsidRPr="00BD12CB">
              <w:t>0.8</w:t>
            </w:r>
          </w:p>
        </w:tc>
      </w:tr>
      <w:tr w:rsidR="00A536FC" w:rsidRPr="00BD12CB" w14:paraId="43E21BFF"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0532C1BF" w14:textId="77777777" w:rsidR="00A536FC" w:rsidRPr="00BD12CB" w:rsidRDefault="00A536FC" w:rsidP="005D0DBA">
            <w:pPr>
              <w:pStyle w:val="TableTextCentered"/>
              <w:spacing w:before="39" w:after="39"/>
              <w:ind w:left="-28" w:right="-28"/>
            </w:pPr>
            <w:r w:rsidRPr="00BD12CB">
              <w:t>8</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73F7B1B" w14:textId="77777777" w:rsidR="00A536FC" w:rsidRPr="00BD12CB" w:rsidRDefault="00A536FC" w:rsidP="005D0DBA">
            <w:pPr>
              <w:pStyle w:val="TableTextCentered"/>
              <w:spacing w:before="39" w:after="39"/>
            </w:pPr>
            <w:r w:rsidRPr="00BD12CB">
              <w:t>Philippines</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9626F8F" w14:textId="77777777" w:rsidR="00A536FC" w:rsidRPr="00BD12CB" w:rsidRDefault="00A536FC" w:rsidP="005D0DBA">
            <w:pPr>
              <w:pStyle w:val="TableTextCentered"/>
              <w:spacing w:before="39" w:after="39"/>
            </w:pPr>
            <w:r w:rsidRPr="00BD12CB">
              <w:t>105</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05E95FE" w14:textId="77777777" w:rsidR="00A536FC" w:rsidRPr="00BD12CB" w:rsidRDefault="00A536FC" w:rsidP="005D0DBA">
            <w:pPr>
              <w:pStyle w:val="TableTextCentered"/>
              <w:spacing w:before="39" w:after="39"/>
            </w:pPr>
            <w:r w:rsidRPr="00BD12CB">
              <w:t>0.6</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7AD1156" w14:textId="77777777" w:rsidR="00A536FC" w:rsidRPr="00BD12CB" w:rsidRDefault="00A536FC" w:rsidP="005D0DBA">
            <w:pPr>
              <w:pStyle w:val="TableTextCentered"/>
              <w:spacing w:before="39" w:after="39"/>
            </w:pPr>
            <w:r w:rsidRPr="00BD12CB">
              <w:t>South Africa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57EBE7A" w14:textId="77777777" w:rsidR="00A536FC" w:rsidRPr="00BD12CB" w:rsidRDefault="00A536FC" w:rsidP="005D0DBA">
            <w:pPr>
              <w:pStyle w:val="TableTextCentered"/>
              <w:spacing w:before="39" w:after="39"/>
            </w:pPr>
            <w:r w:rsidRPr="00BD12CB">
              <w:t>181</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A5E0492" w14:textId="77777777" w:rsidR="00A536FC" w:rsidRPr="00BD12CB" w:rsidRDefault="00A536FC" w:rsidP="005D0DBA">
            <w:pPr>
              <w:pStyle w:val="TableTextCentered"/>
              <w:spacing w:before="39" w:after="39"/>
            </w:pPr>
            <w:r w:rsidRPr="00BD12CB">
              <w:t>0.8</w:t>
            </w:r>
          </w:p>
        </w:tc>
      </w:tr>
      <w:tr w:rsidR="00A536FC" w:rsidRPr="00BD12CB" w14:paraId="069EE2E1"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5458E000" w14:textId="77777777" w:rsidR="00A536FC" w:rsidRPr="00BD12CB" w:rsidRDefault="00A536FC" w:rsidP="005D0DBA">
            <w:pPr>
              <w:pStyle w:val="TableTextCentered"/>
              <w:spacing w:before="39" w:after="39"/>
              <w:ind w:left="-28" w:right="-28"/>
            </w:pPr>
            <w:r w:rsidRPr="00BD12CB">
              <w:t>9</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70963C16" w14:textId="77777777" w:rsidR="00A536FC" w:rsidRPr="00BD12CB" w:rsidRDefault="00A536FC" w:rsidP="005D0DBA">
            <w:pPr>
              <w:pStyle w:val="TableTextCentered"/>
              <w:spacing w:before="39" w:after="39"/>
            </w:pPr>
            <w:r w:rsidRPr="00BD12CB">
              <w:t>Netherlands</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4E8BFAE6" w14:textId="77777777" w:rsidR="00A536FC" w:rsidRPr="00BD12CB" w:rsidRDefault="00A536FC" w:rsidP="005D0DBA">
            <w:pPr>
              <w:pStyle w:val="TableTextCentered"/>
              <w:spacing w:before="39" w:after="39"/>
            </w:pPr>
            <w:r w:rsidRPr="00BD12CB">
              <w:t>96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B251A66" w14:textId="77777777" w:rsidR="00A536FC" w:rsidRPr="00BD12CB" w:rsidRDefault="00A536FC" w:rsidP="005D0DBA">
            <w:pPr>
              <w:pStyle w:val="TableTextCentered"/>
              <w:spacing w:before="39" w:after="39"/>
            </w:pPr>
            <w:r w:rsidRPr="00BD12CB">
              <w:t>0.5</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972BAE3" w14:textId="77777777" w:rsidR="00A536FC" w:rsidRPr="00BD12CB" w:rsidRDefault="00A536FC" w:rsidP="005D0DBA">
            <w:pPr>
              <w:pStyle w:val="TableTextCentered"/>
              <w:spacing w:before="39" w:after="39"/>
            </w:pPr>
            <w:r w:rsidRPr="00BD12CB">
              <w:t>Malaysia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1178454C" w14:textId="77777777" w:rsidR="00A536FC" w:rsidRPr="00BD12CB" w:rsidRDefault="00A536FC" w:rsidP="005D0DBA">
            <w:pPr>
              <w:pStyle w:val="TableTextCentered"/>
              <w:spacing w:before="39" w:after="39"/>
            </w:pPr>
            <w:r w:rsidRPr="00BD12CB">
              <w:t>166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E073C3E" w14:textId="77777777" w:rsidR="00A536FC" w:rsidRPr="00BD12CB" w:rsidRDefault="00A536FC" w:rsidP="005D0DBA">
            <w:pPr>
              <w:pStyle w:val="TableTextCentered"/>
              <w:spacing w:before="39" w:after="39"/>
            </w:pPr>
            <w:r w:rsidRPr="00BD12CB">
              <w:t>0.7</w:t>
            </w:r>
          </w:p>
        </w:tc>
      </w:tr>
      <w:tr w:rsidR="00A536FC" w:rsidRPr="00BD12CB" w14:paraId="64D1D34D"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87288BD" w14:textId="77777777" w:rsidR="00A536FC" w:rsidRPr="00BD12CB" w:rsidRDefault="00A536FC" w:rsidP="005D0DBA">
            <w:pPr>
              <w:pStyle w:val="TableTextCentered"/>
              <w:spacing w:before="39" w:after="39"/>
              <w:ind w:left="-28" w:right="-28"/>
            </w:pPr>
            <w:r w:rsidRPr="00BD12CB">
              <w:t>10</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CF47A92" w14:textId="77777777" w:rsidR="00A536FC" w:rsidRPr="00BD12CB" w:rsidRDefault="00A536FC" w:rsidP="005D0DBA">
            <w:pPr>
              <w:pStyle w:val="TableTextCentered"/>
              <w:spacing w:before="39" w:after="39"/>
            </w:pPr>
            <w:r w:rsidRPr="00BD12CB">
              <w:t>Malaysia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4A0F30EB" w14:textId="77777777" w:rsidR="00A536FC" w:rsidRPr="00BD12CB" w:rsidRDefault="00A536FC" w:rsidP="005D0DBA">
            <w:pPr>
              <w:pStyle w:val="TableTextCentered"/>
              <w:spacing w:before="39" w:after="39"/>
            </w:pPr>
            <w:r w:rsidRPr="00BD12CB">
              <w:t>83</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3D48734" w14:textId="77777777" w:rsidR="00A536FC" w:rsidRPr="00BD12CB" w:rsidRDefault="00A536FC" w:rsidP="005D0DBA">
            <w:pPr>
              <w:pStyle w:val="TableTextCentered"/>
              <w:spacing w:before="39" w:after="39"/>
            </w:pPr>
            <w:r w:rsidRPr="00BD12CB">
              <w:t>0.5</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B53BBF1" w14:textId="77777777" w:rsidR="00A536FC" w:rsidRPr="00BD12CB" w:rsidRDefault="00A536FC" w:rsidP="005D0DBA">
            <w:pPr>
              <w:pStyle w:val="TableTextCentered"/>
              <w:spacing w:before="39" w:after="39"/>
            </w:pPr>
            <w:r w:rsidRPr="00BD12CB">
              <w:t>Germany</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65DF586" w14:textId="77777777" w:rsidR="00A536FC" w:rsidRPr="00BD12CB" w:rsidRDefault="00A536FC" w:rsidP="005D0DBA">
            <w:pPr>
              <w:pStyle w:val="TableTextCentered"/>
              <w:spacing w:before="39" w:after="39"/>
            </w:pPr>
            <w:r w:rsidRPr="00BD12CB">
              <w:t>124</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DA101E0" w14:textId="77777777" w:rsidR="00A536FC" w:rsidRPr="00BD12CB" w:rsidRDefault="00A536FC" w:rsidP="005D0DBA">
            <w:pPr>
              <w:pStyle w:val="TableTextCentered"/>
              <w:spacing w:before="39" w:after="39"/>
            </w:pPr>
            <w:r w:rsidRPr="00BD12CB">
              <w:t>0.5</w:t>
            </w:r>
          </w:p>
        </w:tc>
      </w:tr>
      <w:tr w:rsidR="00A536FC" w:rsidRPr="00BD12CB" w14:paraId="30BBF118"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0A42483" w14:textId="77777777" w:rsidR="00A536FC" w:rsidRPr="00BD12CB" w:rsidRDefault="00A536FC" w:rsidP="005D0DBA">
            <w:pPr>
              <w:pStyle w:val="TableTextCentered"/>
              <w:spacing w:before="39" w:after="39"/>
              <w:ind w:left="-28" w:right="-28"/>
            </w:pPr>
            <w:r w:rsidRPr="00BD12CB">
              <w:t>11</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141992E1" w14:textId="77777777" w:rsidR="00A536FC" w:rsidRPr="00BD12CB" w:rsidRDefault="00A536FC" w:rsidP="005D0DBA">
            <w:pPr>
              <w:pStyle w:val="TableTextCentered"/>
              <w:spacing w:before="39" w:after="39"/>
            </w:pPr>
            <w:r w:rsidRPr="00BD12CB">
              <w:t>India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4247AAF" w14:textId="77777777" w:rsidR="00A536FC" w:rsidRPr="00BD12CB" w:rsidRDefault="00A536FC" w:rsidP="005D0DBA">
            <w:pPr>
              <w:pStyle w:val="TableTextCentered"/>
              <w:spacing w:before="39" w:after="39"/>
            </w:pPr>
            <w:r w:rsidRPr="00BD12CB">
              <w:t>80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76836735"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A1B6214" w14:textId="77777777" w:rsidR="00A536FC" w:rsidRPr="00BD12CB" w:rsidRDefault="00A536FC" w:rsidP="005D0DBA">
            <w:pPr>
              <w:pStyle w:val="TableTextCentered"/>
              <w:spacing w:before="39" w:after="39"/>
            </w:pPr>
            <w:r w:rsidRPr="00BD12CB">
              <w:t>Sri Lanka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78E5C79" w14:textId="77777777" w:rsidR="00A536FC" w:rsidRPr="00BD12CB" w:rsidRDefault="00A536FC" w:rsidP="005D0DBA">
            <w:pPr>
              <w:pStyle w:val="TableTextCentered"/>
              <w:spacing w:before="39" w:after="39"/>
            </w:pPr>
            <w:r w:rsidRPr="00BD12CB">
              <w:t>118</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B7E8B8A" w14:textId="77777777" w:rsidR="00A536FC" w:rsidRPr="00BD12CB" w:rsidRDefault="00A536FC" w:rsidP="005D0DBA">
            <w:pPr>
              <w:pStyle w:val="TableTextCentered"/>
              <w:spacing w:before="39" w:after="39"/>
            </w:pPr>
            <w:r w:rsidRPr="00BD12CB">
              <w:t>0.5</w:t>
            </w:r>
          </w:p>
        </w:tc>
      </w:tr>
      <w:tr w:rsidR="00A536FC" w:rsidRPr="00BD12CB" w14:paraId="03CB01EE"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351CF5E5" w14:textId="77777777" w:rsidR="00A536FC" w:rsidRPr="00BD12CB" w:rsidRDefault="00A536FC" w:rsidP="005D0DBA">
            <w:pPr>
              <w:pStyle w:val="TableTextCentered"/>
              <w:spacing w:before="39" w:after="39"/>
              <w:ind w:left="-28" w:right="-28"/>
            </w:pPr>
            <w:r w:rsidRPr="00BD12CB">
              <w:t>12</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312134E" w14:textId="77777777" w:rsidR="00A536FC" w:rsidRPr="00BD12CB" w:rsidRDefault="00A536FC" w:rsidP="005D0DBA">
            <w:pPr>
              <w:pStyle w:val="TableTextCentered"/>
              <w:spacing w:before="39" w:after="39"/>
            </w:pPr>
            <w:r w:rsidRPr="00BD12CB">
              <w:t>Lebanon</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577B6B41" w14:textId="77777777" w:rsidR="00A536FC" w:rsidRPr="00BD12CB" w:rsidRDefault="00A536FC" w:rsidP="005D0DBA">
            <w:pPr>
              <w:pStyle w:val="TableTextCentered"/>
              <w:spacing w:before="39" w:after="39"/>
            </w:pPr>
            <w:r w:rsidRPr="00BD12CB">
              <w:t>78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34CE873D"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226F4D7" w14:textId="77777777" w:rsidR="00A536FC" w:rsidRPr="00BD12CB" w:rsidRDefault="00A536FC" w:rsidP="005D0DBA">
            <w:pPr>
              <w:pStyle w:val="TableTextCentered"/>
              <w:spacing w:before="39" w:after="39"/>
            </w:pPr>
            <w:r w:rsidRPr="00BD12CB">
              <w:t>Greece</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B8BD976" w14:textId="77777777" w:rsidR="00A536FC" w:rsidRPr="00BD12CB" w:rsidRDefault="00A536FC" w:rsidP="005D0DBA">
            <w:pPr>
              <w:pStyle w:val="TableTextCentered"/>
              <w:spacing w:before="39" w:after="39"/>
            </w:pPr>
            <w:r w:rsidRPr="00BD12CB">
              <w:t>117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F22595D" w14:textId="77777777" w:rsidR="00A536FC" w:rsidRPr="00BD12CB" w:rsidRDefault="00A536FC" w:rsidP="005D0DBA">
            <w:pPr>
              <w:pStyle w:val="TableTextCentered"/>
              <w:spacing w:before="39" w:after="39"/>
            </w:pPr>
            <w:r w:rsidRPr="00BD12CB">
              <w:t>0.5</w:t>
            </w:r>
          </w:p>
        </w:tc>
      </w:tr>
      <w:tr w:rsidR="00A536FC" w:rsidRPr="00BD12CB" w14:paraId="45443A7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1E15C355" w14:textId="77777777" w:rsidR="00A536FC" w:rsidRPr="00BD12CB" w:rsidRDefault="00A536FC" w:rsidP="005D0DBA">
            <w:pPr>
              <w:pStyle w:val="TableTextCentered"/>
              <w:spacing w:before="39" w:after="39"/>
              <w:ind w:left="-28" w:right="-28"/>
            </w:pPr>
            <w:r w:rsidRPr="00BD12CB">
              <w:t>13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43F34C60" w14:textId="77777777" w:rsidR="00A536FC" w:rsidRPr="00BD12CB" w:rsidRDefault="00A536FC" w:rsidP="005D0DBA">
            <w:pPr>
              <w:pStyle w:val="TableTextCentered"/>
              <w:spacing w:before="39" w:after="39"/>
            </w:pPr>
            <w:r w:rsidRPr="00BD12CB">
              <w:t>Hong Kong</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67C5D710" w14:textId="77777777" w:rsidR="00A536FC" w:rsidRPr="00BD12CB" w:rsidRDefault="00A536FC" w:rsidP="005D0DBA">
            <w:pPr>
              <w:pStyle w:val="TableTextCentered"/>
              <w:spacing w:before="39" w:after="39"/>
            </w:pPr>
            <w:r w:rsidRPr="00BD12CB">
              <w:t>76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2BD87900"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AA6B5F7" w14:textId="77777777" w:rsidR="00A536FC" w:rsidRPr="00BD12CB" w:rsidRDefault="00A536FC" w:rsidP="005D0DBA">
            <w:pPr>
              <w:pStyle w:val="TableTextCentered"/>
              <w:spacing w:before="39" w:after="39"/>
            </w:pPr>
            <w:r w:rsidRPr="00BD12CB">
              <w:t>South Korea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589F8AB6" w14:textId="77777777" w:rsidR="00A536FC" w:rsidRPr="00BD12CB" w:rsidRDefault="00A536FC" w:rsidP="005D0DBA">
            <w:pPr>
              <w:pStyle w:val="TableTextCentered"/>
              <w:spacing w:before="39" w:after="39"/>
            </w:pPr>
            <w:r w:rsidRPr="00BD12CB">
              <w:t>107</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B995AFB" w14:textId="77777777" w:rsidR="00A536FC" w:rsidRPr="00BD12CB" w:rsidRDefault="00A536FC" w:rsidP="005D0DBA">
            <w:pPr>
              <w:pStyle w:val="TableTextCentered"/>
              <w:spacing w:before="39" w:after="39"/>
            </w:pPr>
            <w:r w:rsidRPr="00BD12CB">
              <w:t>0.4</w:t>
            </w:r>
          </w:p>
        </w:tc>
      </w:tr>
      <w:tr w:rsidR="00A536FC" w:rsidRPr="00BD12CB" w14:paraId="2A28C82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65845EB7" w14:textId="77777777" w:rsidR="00A536FC" w:rsidRPr="00BD12CB" w:rsidRDefault="00A536FC" w:rsidP="005D0DBA">
            <w:pPr>
              <w:pStyle w:val="TableTextCentered"/>
              <w:spacing w:before="39" w:after="39"/>
              <w:ind w:left="-28" w:right="-28"/>
            </w:pPr>
            <w:r w:rsidRPr="00BD12CB">
              <w:t>14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232911D" w14:textId="77777777" w:rsidR="00A536FC" w:rsidRPr="00BD12CB" w:rsidRDefault="00A536FC" w:rsidP="005D0DBA">
            <w:pPr>
              <w:pStyle w:val="TableTextCentered"/>
              <w:spacing w:before="39" w:after="39"/>
            </w:pPr>
            <w:r w:rsidRPr="00BD12CB">
              <w:t>Poland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08F5B7F7" w14:textId="77777777" w:rsidR="00A536FC" w:rsidRPr="00BD12CB" w:rsidRDefault="00A536FC" w:rsidP="005D0DBA">
            <w:pPr>
              <w:pStyle w:val="TableTextCentered"/>
              <w:spacing w:before="39" w:after="39"/>
            </w:pPr>
            <w:r w:rsidRPr="00BD12CB">
              <w:t>72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559F3B92"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8BD3CC2" w14:textId="77777777" w:rsidR="00A536FC" w:rsidRPr="00BD12CB" w:rsidRDefault="00A536FC" w:rsidP="005D0DBA">
            <w:pPr>
              <w:pStyle w:val="TableTextCentered"/>
              <w:spacing w:before="39" w:after="39"/>
            </w:pPr>
            <w:r w:rsidRPr="00BD12CB">
              <w:t>USA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ED0CDD1" w14:textId="77777777" w:rsidR="00A536FC" w:rsidRPr="00BD12CB" w:rsidRDefault="00A536FC" w:rsidP="005D0DBA">
            <w:pPr>
              <w:pStyle w:val="TableTextCentered"/>
              <w:spacing w:before="39" w:after="39"/>
            </w:pPr>
            <w:r w:rsidRPr="00BD12CB">
              <w:t>104</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B74C7FB" w14:textId="77777777" w:rsidR="00A536FC" w:rsidRPr="00BD12CB" w:rsidRDefault="00A536FC" w:rsidP="005D0DBA">
            <w:pPr>
              <w:pStyle w:val="TableTextCentered"/>
              <w:spacing w:before="39" w:after="39"/>
            </w:pPr>
            <w:r w:rsidRPr="00BD12CB">
              <w:t>0.4</w:t>
            </w:r>
          </w:p>
        </w:tc>
      </w:tr>
      <w:tr w:rsidR="00A536FC" w:rsidRPr="00BD12CB" w14:paraId="199FB89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7993E73E" w14:textId="77777777" w:rsidR="00A536FC" w:rsidRPr="00BD12CB" w:rsidRDefault="00A536FC" w:rsidP="005D0DBA">
            <w:pPr>
              <w:pStyle w:val="TableTextCentered"/>
              <w:spacing w:before="39" w:after="39"/>
              <w:ind w:left="-28" w:right="-28"/>
            </w:pPr>
            <w:r w:rsidRPr="00BD12CB">
              <w:t>15</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3A1B3C9F" w14:textId="77777777" w:rsidR="00A536FC" w:rsidRPr="00BD12CB" w:rsidRDefault="00A536FC" w:rsidP="005D0DBA">
            <w:pPr>
              <w:pStyle w:val="TableTextCentered"/>
              <w:spacing w:before="39" w:after="39"/>
            </w:pPr>
            <w:r w:rsidRPr="00BD12CB">
              <w:t>South Africa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41F1666B" w14:textId="77777777" w:rsidR="00A536FC" w:rsidRPr="00BD12CB" w:rsidRDefault="00A536FC" w:rsidP="005D0DBA">
            <w:pPr>
              <w:pStyle w:val="TableTextCentered"/>
              <w:spacing w:before="39" w:after="39"/>
            </w:pPr>
            <w:r w:rsidRPr="00BD12CB">
              <w:t>62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4F2FBB9"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58AFD4C7" w14:textId="77777777" w:rsidR="00A536FC" w:rsidRPr="00BD12CB" w:rsidRDefault="00A536FC" w:rsidP="005D0DBA">
            <w:pPr>
              <w:pStyle w:val="TableTextCentered"/>
              <w:spacing w:before="39" w:after="39"/>
            </w:pPr>
            <w:r w:rsidRPr="00BD12CB">
              <w:t>Hong Kong</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6C82B7B3" w14:textId="77777777" w:rsidR="00A536FC" w:rsidRPr="00BD12CB" w:rsidRDefault="00A536FC" w:rsidP="005D0DBA">
            <w:pPr>
              <w:pStyle w:val="TableTextCentered"/>
              <w:spacing w:before="39" w:after="39"/>
            </w:pPr>
            <w:r w:rsidRPr="00BD12CB">
              <w:t>97</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6DCE2CF6" w14:textId="77777777" w:rsidR="00A536FC" w:rsidRPr="00BD12CB" w:rsidRDefault="00A536FC" w:rsidP="005D0DBA">
            <w:pPr>
              <w:pStyle w:val="TableTextCentered"/>
              <w:spacing w:before="39" w:after="39"/>
            </w:pPr>
            <w:r w:rsidRPr="00BD12CB">
              <w:t>0.4</w:t>
            </w:r>
          </w:p>
        </w:tc>
      </w:tr>
      <w:tr w:rsidR="00A536FC" w:rsidRPr="00BD12CB" w14:paraId="284C7F20"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F79C0B1" w14:textId="77777777" w:rsidR="00A536FC" w:rsidRPr="00BD12CB" w:rsidRDefault="00A536FC" w:rsidP="005D0DBA">
            <w:pPr>
              <w:pStyle w:val="TableTextCentered"/>
              <w:spacing w:before="39" w:after="39"/>
              <w:ind w:left="-28" w:right="-28"/>
            </w:pPr>
            <w:r w:rsidRPr="00BD12CB">
              <w:t>16</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CE20A7D" w14:textId="77777777" w:rsidR="00A536FC" w:rsidRPr="00BD12CB" w:rsidRDefault="00A536FC" w:rsidP="005D0DBA">
            <w:pPr>
              <w:pStyle w:val="TableTextCentered"/>
              <w:spacing w:before="39" w:after="39"/>
            </w:pPr>
            <w:r w:rsidRPr="00BD12CB">
              <w:t>Croatia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6B91C21" w14:textId="77777777" w:rsidR="00A536FC" w:rsidRPr="00BD12CB" w:rsidRDefault="00A536FC" w:rsidP="005D0DBA">
            <w:pPr>
              <w:pStyle w:val="TableTextCentered"/>
              <w:spacing w:before="39" w:after="39"/>
            </w:pPr>
            <w:r w:rsidRPr="00BD12CB">
              <w:t>58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2678D2BD"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43971B5" w14:textId="77777777" w:rsidR="00A536FC" w:rsidRPr="00BD12CB" w:rsidRDefault="00A536FC" w:rsidP="005D0DBA">
            <w:pPr>
              <w:pStyle w:val="TableTextCentered"/>
              <w:spacing w:before="39" w:after="39"/>
            </w:pPr>
            <w:r w:rsidRPr="00BD12CB">
              <w:t>Lebanon</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ACBE673" w14:textId="77777777" w:rsidR="00A536FC" w:rsidRPr="00BD12CB" w:rsidRDefault="00A536FC" w:rsidP="005D0DBA">
            <w:pPr>
              <w:pStyle w:val="TableTextCentered"/>
              <w:spacing w:before="39" w:after="39"/>
            </w:pPr>
            <w:r w:rsidRPr="00BD12CB">
              <w:t>93</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B549E5E" w14:textId="77777777" w:rsidR="00A536FC" w:rsidRPr="00BD12CB" w:rsidRDefault="00A536FC" w:rsidP="005D0DBA">
            <w:pPr>
              <w:pStyle w:val="TableTextCentered"/>
              <w:spacing w:before="39" w:after="39"/>
            </w:pPr>
            <w:r w:rsidRPr="00BD12CB">
              <w:t>0.4</w:t>
            </w:r>
          </w:p>
        </w:tc>
      </w:tr>
      <w:tr w:rsidR="00A536FC" w:rsidRPr="00BD12CB" w14:paraId="7C68F6E9"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19B5B596" w14:textId="77777777" w:rsidR="00A536FC" w:rsidRPr="00BD12CB" w:rsidRDefault="00A536FC" w:rsidP="005D0DBA">
            <w:pPr>
              <w:pStyle w:val="TableTextCentered"/>
              <w:spacing w:before="39" w:after="39"/>
              <w:ind w:left="-28" w:right="-28"/>
            </w:pPr>
            <w:r w:rsidRPr="00BD12CB">
              <w:t>17</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6B03EF7D" w14:textId="77777777" w:rsidR="00A536FC" w:rsidRPr="00BD12CB" w:rsidRDefault="00A536FC" w:rsidP="005D0DBA">
            <w:pPr>
              <w:pStyle w:val="TableTextCentered"/>
              <w:spacing w:before="39" w:after="39"/>
            </w:pPr>
            <w:r w:rsidRPr="00BD12CB">
              <w:t>USA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110790DD" w14:textId="77777777" w:rsidR="00A536FC" w:rsidRPr="00BD12CB" w:rsidRDefault="00A536FC" w:rsidP="005D0DBA">
            <w:pPr>
              <w:pStyle w:val="TableTextCentered"/>
              <w:spacing w:before="39" w:after="39"/>
            </w:pPr>
            <w:r w:rsidRPr="00BD12CB">
              <w:t>56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A4D2AE6"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D73B7BC" w14:textId="77777777" w:rsidR="00A536FC" w:rsidRPr="00BD12CB" w:rsidRDefault="00A536FC" w:rsidP="005D0DBA">
            <w:pPr>
              <w:pStyle w:val="TableTextCentered"/>
              <w:spacing w:before="39" w:after="39"/>
            </w:pPr>
            <w:r w:rsidRPr="00BD12CB">
              <w:t>Indonesia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B5C7CA4" w14:textId="77777777" w:rsidR="00A536FC" w:rsidRPr="00BD12CB" w:rsidRDefault="00A536FC" w:rsidP="005D0DBA">
            <w:pPr>
              <w:pStyle w:val="TableTextCentered"/>
              <w:spacing w:before="39" w:after="39"/>
            </w:pPr>
            <w:r w:rsidRPr="00BD12CB">
              <w:t>84</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36267526" w14:textId="77777777" w:rsidR="00A536FC" w:rsidRPr="00BD12CB" w:rsidRDefault="00A536FC" w:rsidP="005D0DBA">
            <w:pPr>
              <w:pStyle w:val="TableTextCentered"/>
              <w:spacing w:before="39" w:after="39"/>
            </w:pPr>
            <w:r w:rsidRPr="00BD12CB">
              <w:t>0.3</w:t>
            </w:r>
          </w:p>
        </w:tc>
      </w:tr>
      <w:tr w:rsidR="00A536FC" w:rsidRPr="00BD12CB" w14:paraId="15E79ED4"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61D54D1E" w14:textId="77777777" w:rsidR="00A536FC" w:rsidRPr="00BD12CB" w:rsidRDefault="00A536FC" w:rsidP="005D0DBA">
            <w:pPr>
              <w:pStyle w:val="TableTextCentered"/>
              <w:spacing w:before="39" w:after="39"/>
              <w:ind w:left="-28" w:right="-28"/>
            </w:pPr>
            <w:r w:rsidRPr="00BD12CB">
              <w:t>18</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EFC5722" w14:textId="77777777" w:rsidR="00A536FC" w:rsidRPr="00BD12CB" w:rsidRDefault="00A536FC" w:rsidP="005D0DBA">
            <w:pPr>
              <w:pStyle w:val="TableTextCentered"/>
              <w:spacing w:before="39" w:after="39"/>
            </w:pPr>
            <w:r w:rsidRPr="00BD12CB">
              <w:t>Malta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41A78805" w14:textId="77777777" w:rsidR="00A536FC" w:rsidRPr="00BD12CB" w:rsidRDefault="00A536FC" w:rsidP="005D0DBA">
            <w:pPr>
              <w:pStyle w:val="TableTextCentered"/>
              <w:spacing w:before="39" w:after="39"/>
            </w:pPr>
            <w:r w:rsidRPr="00BD12CB">
              <w:t>56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531A0B65"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9340AE4" w14:textId="77777777" w:rsidR="00A536FC" w:rsidRPr="00BD12CB" w:rsidRDefault="00A536FC" w:rsidP="005D0DBA">
            <w:pPr>
              <w:pStyle w:val="TableTextCentered"/>
              <w:spacing w:before="39" w:after="39"/>
            </w:pPr>
            <w:r w:rsidRPr="00BD12CB">
              <w:t>Netherlands</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C92A791" w14:textId="77777777" w:rsidR="00A536FC" w:rsidRPr="00BD12CB" w:rsidRDefault="00A536FC" w:rsidP="005D0DBA">
            <w:pPr>
              <w:pStyle w:val="TableTextCentered"/>
              <w:spacing w:before="39" w:after="39"/>
            </w:pPr>
            <w:r w:rsidRPr="00BD12CB">
              <w:t>83</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1333E3E" w14:textId="77777777" w:rsidR="00A536FC" w:rsidRPr="00BD12CB" w:rsidRDefault="00A536FC" w:rsidP="005D0DBA">
            <w:pPr>
              <w:pStyle w:val="TableTextCentered"/>
              <w:spacing w:before="39" w:after="39"/>
            </w:pPr>
            <w:r w:rsidRPr="00BD12CB">
              <w:t>0.3</w:t>
            </w:r>
          </w:p>
        </w:tc>
      </w:tr>
      <w:tr w:rsidR="00A536FC" w:rsidRPr="00BD12CB" w14:paraId="389AD0D8"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71C4D75F" w14:textId="77777777" w:rsidR="00A536FC" w:rsidRPr="00BD12CB" w:rsidRDefault="00A536FC" w:rsidP="005D0DBA">
            <w:pPr>
              <w:pStyle w:val="TableTextCentered"/>
              <w:spacing w:before="39" w:after="39"/>
              <w:ind w:left="-28" w:right="-28"/>
            </w:pPr>
            <w:r w:rsidRPr="00BD12CB">
              <w:t>19</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278745BC" w14:textId="77777777" w:rsidR="00A536FC" w:rsidRPr="00BD12CB" w:rsidRDefault="00A536FC" w:rsidP="005D0DBA">
            <w:pPr>
              <w:pStyle w:val="TableTextCentered"/>
              <w:spacing w:before="39" w:after="39"/>
            </w:pPr>
            <w:r w:rsidRPr="00BD12CB">
              <w:t>Sri Lanka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0B8AF845" w14:textId="77777777" w:rsidR="00A536FC" w:rsidRPr="00BD12CB" w:rsidRDefault="00A536FC" w:rsidP="005D0DBA">
            <w:pPr>
              <w:pStyle w:val="TableTextCentered"/>
              <w:spacing w:before="39" w:after="39"/>
            </w:pPr>
            <w:r w:rsidRPr="00BD12CB">
              <w:t>54</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D6320AB"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EE92368" w14:textId="77777777" w:rsidR="00A536FC" w:rsidRPr="00BD12CB" w:rsidRDefault="00A536FC" w:rsidP="005D0DBA">
            <w:pPr>
              <w:pStyle w:val="TableTextCentered"/>
              <w:spacing w:before="39" w:after="39"/>
            </w:pPr>
            <w:r w:rsidRPr="00BD12CB">
              <w:t>Singapore</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0FFF3D2" w14:textId="77777777" w:rsidR="00A536FC" w:rsidRPr="00BD12CB" w:rsidRDefault="00A536FC" w:rsidP="005D0DBA">
            <w:pPr>
              <w:pStyle w:val="TableTextCentered"/>
              <w:spacing w:before="39" w:after="39"/>
            </w:pPr>
            <w:r w:rsidRPr="00BD12CB">
              <w:t>73</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16398B1F" w14:textId="77777777" w:rsidR="00A536FC" w:rsidRPr="00BD12CB" w:rsidRDefault="00A536FC" w:rsidP="005D0DBA">
            <w:pPr>
              <w:pStyle w:val="TableTextCentered"/>
              <w:spacing w:before="39" w:after="39"/>
            </w:pPr>
            <w:r w:rsidRPr="00BD12CB">
              <w:t>0.3</w:t>
            </w:r>
          </w:p>
        </w:tc>
      </w:tr>
      <w:tr w:rsidR="00A536FC" w:rsidRPr="00BD12CB" w14:paraId="4FC654E3"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264ACB3B" w14:textId="77777777" w:rsidR="00A536FC" w:rsidRPr="00BD12CB" w:rsidRDefault="00A536FC" w:rsidP="005D0DBA">
            <w:pPr>
              <w:pStyle w:val="TableTextCentered"/>
              <w:spacing w:before="39" w:after="39"/>
              <w:ind w:left="-28" w:right="-28"/>
            </w:pPr>
            <w:r w:rsidRPr="00BD12CB">
              <w:t>20</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E636B54" w14:textId="77777777" w:rsidR="00A536FC" w:rsidRPr="00BD12CB" w:rsidRDefault="00A536FC" w:rsidP="005D0DBA">
            <w:pPr>
              <w:pStyle w:val="TableTextCentered"/>
              <w:spacing w:before="39" w:after="39"/>
            </w:pPr>
            <w:r w:rsidRPr="00BD12CB">
              <w:t>Serbia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671947A3" w14:textId="77777777" w:rsidR="00A536FC" w:rsidRPr="00BD12CB" w:rsidRDefault="00A536FC" w:rsidP="005D0DBA">
            <w:pPr>
              <w:pStyle w:val="TableTextCentered"/>
              <w:spacing w:before="39" w:after="39"/>
            </w:pPr>
            <w:r w:rsidRPr="00BD12CB">
              <w:t>50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FDE150D"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5DA6F96" w14:textId="77777777" w:rsidR="00A536FC" w:rsidRPr="00BD12CB" w:rsidRDefault="00A536FC" w:rsidP="005D0DBA">
            <w:pPr>
              <w:pStyle w:val="TableTextCentered"/>
              <w:spacing w:before="39" w:after="39"/>
            </w:pPr>
            <w:r w:rsidRPr="00BD12CB">
              <w:t>Thailand</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7F79B7D" w14:textId="77777777" w:rsidR="00A536FC" w:rsidRPr="00BD12CB" w:rsidRDefault="00A536FC" w:rsidP="005D0DBA">
            <w:pPr>
              <w:pStyle w:val="TableTextCentered"/>
              <w:spacing w:before="39" w:after="39"/>
            </w:pPr>
            <w:r w:rsidRPr="00BD12CB">
              <w:t>72</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1150DFB" w14:textId="77777777" w:rsidR="00A536FC" w:rsidRPr="00BD12CB" w:rsidRDefault="00A536FC" w:rsidP="005D0DBA">
            <w:pPr>
              <w:pStyle w:val="TableTextCentered"/>
              <w:spacing w:before="39" w:after="39"/>
            </w:pPr>
            <w:r w:rsidRPr="00BD12CB">
              <w:t>0.3</w:t>
            </w:r>
          </w:p>
        </w:tc>
      </w:tr>
    </w:tbl>
    <w:p w14:paraId="06B3684D" w14:textId="77777777" w:rsidR="00444873" w:rsidRDefault="00444873" w:rsidP="002427F4">
      <w:pPr>
        <w:pStyle w:val="Heading3Numbered"/>
      </w:pPr>
      <w:r>
        <w:lastRenderedPageBreak/>
        <w:t>Current migration programs include a mix of permanent and temporary arrivals</w:t>
      </w:r>
    </w:p>
    <w:p w14:paraId="2BB511AA" w14:textId="77777777" w:rsidR="00444873" w:rsidRDefault="00444873" w:rsidP="002427F4">
      <w:pPr>
        <w:pStyle w:val="Heading4"/>
      </w:pPr>
      <w:r w:rsidRPr="00444873">
        <w:t>Permanent</w:t>
      </w:r>
      <w:r w:rsidRPr="00DC385A">
        <w:t xml:space="preserve"> migration has increasingly focused on skills</w:t>
      </w:r>
    </w:p>
    <w:p w14:paraId="5C73695E" w14:textId="77777777" w:rsidR="00444873" w:rsidRDefault="00444873" w:rsidP="00631304">
      <w:pPr>
        <w:rPr>
          <w:lang w:val="en-US"/>
        </w:rPr>
      </w:pPr>
      <w:r w:rsidRPr="00DC385A">
        <w:rPr>
          <w:lang w:val="en-US"/>
        </w:rPr>
        <w:t xml:space="preserve">Australia currently has two distinct programs for permanent migrants — the Permanent Migration </w:t>
      </w:r>
      <w:r w:rsidR="007D2322">
        <w:rPr>
          <w:lang w:val="en-US"/>
        </w:rPr>
        <w:t>P</w:t>
      </w:r>
      <w:r w:rsidRPr="00DC385A">
        <w:rPr>
          <w:lang w:val="en-US"/>
        </w:rPr>
        <w:t>rogram that includes a skill stream and a family stream</w:t>
      </w:r>
      <w:r w:rsidR="007D2322">
        <w:rPr>
          <w:lang w:val="en-US"/>
        </w:rPr>
        <w:t>,</w:t>
      </w:r>
      <w:r w:rsidRPr="00DC385A">
        <w:rPr>
          <w:lang w:val="en-US"/>
        </w:rPr>
        <w:t xml:space="preserve"> and the </w:t>
      </w:r>
      <w:r w:rsidR="00BE2C82">
        <w:rPr>
          <w:lang w:val="en-US"/>
        </w:rPr>
        <w:t xml:space="preserve">Refugee and </w:t>
      </w:r>
      <w:r w:rsidRPr="00DC385A">
        <w:rPr>
          <w:lang w:val="en-US"/>
        </w:rPr>
        <w:t xml:space="preserve">Humanitarian </w:t>
      </w:r>
      <w:r w:rsidR="007D2322">
        <w:rPr>
          <w:lang w:val="en-US"/>
        </w:rPr>
        <w:t>P</w:t>
      </w:r>
      <w:r w:rsidRPr="00DC385A">
        <w:rPr>
          <w:lang w:val="en-US"/>
        </w:rPr>
        <w:t xml:space="preserve">rogram. The Australian Government controls the level of permanent migration by setting </w:t>
      </w:r>
      <w:r w:rsidR="00F7369D">
        <w:rPr>
          <w:lang w:val="en-US"/>
        </w:rPr>
        <w:t xml:space="preserve">the </w:t>
      </w:r>
      <w:r w:rsidRPr="00DC385A">
        <w:rPr>
          <w:lang w:val="en-US"/>
        </w:rPr>
        <w:t>annual intake for both programs.</w:t>
      </w:r>
    </w:p>
    <w:p w14:paraId="529E2758" w14:textId="77777777" w:rsidR="00A529C6" w:rsidRPr="00A529C6" w:rsidRDefault="00444873" w:rsidP="00631304">
      <w:pPr>
        <w:rPr>
          <w:lang w:val="en-US"/>
        </w:rPr>
      </w:pPr>
      <w:r>
        <w:rPr>
          <w:lang w:val="en-US"/>
        </w:rPr>
        <w:t xml:space="preserve">The </w:t>
      </w:r>
      <w:r w:rsidR="00F7369D">
        <w:rPr>
          <w:lang w:val="en-US"/>
        </w:rPr>
        <w:t>s</w:t>
      </w:r>
      <w:r w:rsidRPr="00570F8C">
        <w:rPr>
          <w:lang w:val="en-US"/>
        </w:rPr>
        <w:t xml:space="preserve">kill stream of the Permanent Migration </w:t>
      </w:r>
      <w:r w:rsidR="00F7369D">
        <w:rPr>
          <w:lang w:val="en-US"/>
        </w:rPr>
        <w:t>P</w:t>
      </w:r>
      <w:r w:rsidRPr="00570F8C">
        <w:rPr>
          <w:lang w:val="en-US"/>
        </w:rPr>
        <w:t xml:space="preserve">rogram includes skilled migrants together with </w:t>
      </w:r>
      <w:r w:rsidR="00A529C6">
        <w:rPr>
          <w:lang w:val="en-US"/>
        </w:rPr>
        <w:t xml:space="preserve">their </w:t>
      </w:r>
      <w:r w:rsidRPr="00570F8C">
        <w:rPr>
          <w:lang w:val="en-US"/>
        </w:rPr>
        <w:t>family members</w:t>
      </w:r>
      <w:r w:rsidR="00A529C6">
        <w:rPr>
          <w:lang w:val="en-US"/>
        </w:rPr>
        <w:t xml:space="preserve">. </w:t>
      </w:r>
      <w:r w:rsidR="00AD59E9" w:rsidRPr="00AD59E9">
        <w:rPr>
          <w:lang w:val="en-US"/>
        </w:rPr>
        <w:t>In 2016</w:t>
      </w:r>
      <w:r w:rsidR="00AD59E9">
        <w:rPr>
          <w:lang w:val="en-US"/>
        </w:rPr>
        <w:noBreakHyphen/>
      </w:r>
      <w:r w:rsidR="00AD59E9" w:rsidRPr="00AD59E9">
        <w:rPr>
          <w:lang w:val="en-US"/>
        </w:rPr>
        <w:t>17, almost 39 per cent of skilled migrants were employer sponsored, almost 55 per cent arrived independently with qualifications on the skilled occupation lists, and almost 6 per cent came through bus</w:t>
      </w:r>
      <w:r w:rsidR="00AD59E9">
        <w:rPr>
          <w:lang w:val="en-US"/>
        </w:rPr>
        <w:t>iness innovation streams. State</w:t>
      </w:r>
      <w:r w:rsidR="00AD59E9">
        <w:rPr>
          <w:lang w:val="en-US"/>
        </w:rPr>
        <w:noBreakHyphen/>
      </w:r>
      <w:r w:rsidR="00AD59E9" w:rsidRPr="00AD59E9">
        <w:rPr>
          <w:lang w:val="en-US"/>
        </w:rPr>
        <w:t>specific and Regional Migration had an outcome of 29.5 per cent</w:t>
      </w:r>
      <w:r w:rsidR="00AD59E9">
        <w:rPr>
          <w:lang w:val="en-US"/>
        </w:rPr>
        <w:t>;</w:t>
      </w:r>
      <w:r w:rsidR="00AD59E9" w:rsidRPr="00AD59E9">
        <w:rPr>
          <w:lang w:val="en-US"/>
        </w:rPr>
        <w:t xml:space="preserve"> these visas are included in various Skill Stream categories.</w:t>
      </w:r>
    </w:p>
    <w:p w14:paraId="18583FE6" w14:textId="77777777" w:rsidR="00A529C6" w:rsidRPr="00DC385A" w:rsidRDefault="00AD59E9" w:rsidP="00631304">
      <w:pPr>
        <w:rPr>
          <w:lang w:val="en-US"/>
        </w:rPr>
      </w:pPr>
      <w:r>
        <w:rPr>
          <w:lang w:val="en-US"/>
        </w:rPr>
        <w:t>In 2016</w:t>
      </w:r>
      <w:r>
        <w:rPr>
          <w:lang w:val="en-US"/>
        </w:rPr>
        <w:noBreakHyphen/>
      </w:r>
      <w:r w:rsidRPr="00AD59E9">
        <w:rPr>
          <w:lang w:val="en-US"/>
        </w:rPr>
        <w:t>17, over 85 per cent of family stream migrants were the partners of Australian residents, and over 13 per cent were parents.</w:t>
      </w:r>
    </w:p>
    <w:p w14:paraId="0C9827BC" w14:textId="77777777" w:rsidR="00444873" w:rsidRDefault="00444873" w:rsidP="009A0AF8">
      <w:pPr>
        <w:keepNext/>
        <w:keepLines/>
      </w:pPr>
      <w:r w:rsidRPr="00A15BBB">
        <w:t xml:space="preserve">Following the </w:t>
      </w:r>
      <w:r w:rsidR="00B35A9D">
        <w:t>Howard Government</w:t>
      </w:r>
      <w:r w:rsidR="00171105">
        <w:t>’s</w:t>
      </w:r>
      <w:r w:rsidRPr="00A15BBB">
        <w:t xml:space="preserve"> decision to focus the Permanent Migration </w:t>
      </w:r>
      <w:r w:rsidR="00F7369D">
        <w:t>P</w:t>
      </w:r>
      <w:r w:rsidRPr="00A15BBB">
        <w:t>rogram on skilled migration and away from family reunion, the</w:t>
      </w:r>
      <w:r w:rsidRPr="00DC385A">
        <w:t xml:space="preserve"> skilled intake </w:t>
      </w:r>
      <w:r w:rsidR="00B35A9D">
        <w:t xml:space="preserve">has </w:t>
      </w:r>
      <w:r w:rsidRPr="00DC385A">
        <w:t>increased more than five</w:t>
      </w:r>
      <w:r w:rsidR="00021968">
        <w:noBreakHyphen/>
      </w:r>
      <w:r w:rsidRPr="00DC385A">
        <w:t xml:space="preserve">fold to 129,000 </w:t>
      </w:r>
      <w:r w:rsidR="006F4745">
        <w:t>in 2015</w:t>
      </w:r>
      <w:r w:rsidR="006F4745">
        <w:noBreakHyphen/>
        <w:t>16</w:t>
      </w:r>
      <w:r w:rsidRPr="00DC385A">
        <w:t xml:space="preserve">. By comparison, the family intake remains 20 per cent below the peak levels that occurred in the late 1980s. Two decades ago, skilled migrants and their families accounted for around 30 to 40 per cent of the Permanent Migration </w:t>
      </w:r>
      <w:r w:rsidR="00F7369D">
        <w:t>P</w:t>
      </w:r>
      <w:r w:rsidRPr="00DC385A">
        <w:t>rogram. They now account for nearly 70</w:t>
      </w:r>
      <w:r w:rsidR="005D0DBA">
        <w:t> </w:t>
      </w:r>
      <w:r w:rsidRPr="00DC385A">
        <w:t>per</w:t>
      </w:r>
      <w:r w:rsidR="005D0DBA">
        <w:t> </w:t>
      </w:r>
      <w:r w:rsidRPr="00DC385A">
        <w:t>cent of the intake (</w:t>
      </w:r>
      <w:r w:rsidR="00604BF5">
        <w:t>Figure 1</w:t>
      </w:r>
      <w:r w:rsidR="008C1147">
        <w:t>5</w:t>
      </w:r>
      <w:r w:rsidRPr="00DC385A">
        <w:t>).</w:t>
      </w:r>
      <w:r>
        <w:t xml:space="preserve"> </w:t>
      </w:r>
      <w:r w:rsidRPr="00DC385A">
        <w:t xml:space="preserve">The Permanent Migration </w:t>
      </w:r>
      <w:r w:rsidR="00F7369D">
        <w:t>P</w:t>
      </w:r>
      <w:r w:rsidRPr="00DC385A">
        <w:t>rogram has been set at 190,000</w:t>
      </w:r>
      <w:r w:rsidR="000C7EEA">
        <w:t> </w:t>
      </w:r>
      <w:r w:rsidRPr="00DC385A">
        <w:t xml:space="preserve">migrants per year for the last </w:t>
      </w:r>
      <w:r w:rsidR="00AD59E9">
        <w:t>six</w:t>
      </w:r>
      <w:r w:rsidRPr="00DC385A">
        <w:t xml:space="preserve"> years.</w:t>
      </w:r>
    </w:p>
    <w:p w14:paraId="44390E38" w14:textId="77777777" w:rsidR="00444873" w:rsidRPr="00AB515C" w:rsidRDefault="00444873" w:rsidP="000B438C">
      <w:pPr>
        <w:pStyle w:val="ChartMainHeading"/>
      </w:pPr>
      <w:bookmarkStart w:id="74" w:name="_Ref491424598"/>
      <w:r w:rsidRPr="00AB515C">
        <w:t xml:space="preserve">Figure </w:t>
      </w:r>
      <w:bookmarkEnd w:id="74"/>
      <w:r w:rsidR="00604BF5" w:rsidRPr="00AB515C">
        <w:t>1</w:t>
      </w:r>
      <w:r w:rsidR="008C1147" w:rsidRPr="00AB515C">
        <w:t>5</w:t>
      </w:r>
      <w:r w:rsidRPr="00AB515C">
        <w:t>: Evolution of Australia</w:t>
      </w:r>
      <w:r w:rsidR="00021968" w:rsidRPr="00AB515C">
        <w:t>’</w:t>
      </w:r>
      <w:r w:rsidRPr="00AB515C">
        <w:t>s permanent migration intake</w:t>
      </w:r>
    </w:p>
    <w:p w14:paraId="5BE359A7" w14:textId="16DEB855" w:rsidR="00444873" w:rsidRDefault="00302A39" w:rsidP="00A90229">
      <w:pPr>
        <w:pStyle w:val="ChartGraphic"/>
      </w:pPr>
      <w:r>
        <w:pict w14:anchorId="4DB43EEC">
          <v:shape id="_x0000_i1046" type="#_x0000_t75" style="width:438.75pt;height:227.25pt">
            <v:imagedata r:id="rId71" o:title=""/>
          </v:shape>
        </w:pict>
      </w:r>
    </w:p>
    <w:p w14:paraId="3BF3374E" w14:textId="77777777" w:rsidR="00AF0916" w:rsidRPr="00AF0916" w:rsidRDefault="00444873" w:rsidP="00A36CBF">
      <w:pPr>
        <w:pStyle w:val="ChartorTableNote"/>
      </w:pPr>
      <w:r w:rsidRPr="00A536FC">
        <w:t>Source: Department of Immigration and Border Protection (DIBP) 201</w:t>
      </w:r>
      <w:r w:rsidR="000840F7" w:rsidRPr="00A536FC">
        <w:t>6a</w:t>
      </w:r>
      <w:r w:rsidR="00D013CF" w:rsidRPr="00A536FC">
        <w:t xml:space="preserve"> &amp; unpublished </w:t>
      </w:r>
      <w:r w:rsidR="00DD20CE">
        <w:t>H</w:t>
      </w:r>
      <w:r w:rsidR="00754902">
        <w:t xml:space="preserve">ome </w:t>
      </w:r>
      <w:r w:rsidR="00DD20CE">
        <w:t>A</w:t>
      </w:r>
      <w:r w:rsidR="00754902">
        <w:t>ffairs</w:t>
      </w:r>
      <w:r w:rsidR="002B6D9C">
        <w:t xml:space="preserve"> </w:t>
      </w:r>
      <w:r w:rsidR="00D013CF" w:rsidRPr="00A536FC">
        <w:t>data</w:t>
      </w:r>
      <w:r w:rsidRPr="00A536FC">
        <w:t>.</w:t>
      </w:r>
    </w:p>
    <w:p w14:paraId="7C9D8ACB" w14:textId="77777777" w:rsidR="00444873" w:rsidRDefault="00444873" w:rsidP="002427F4">
      <w:pPr>
        <w:pStyle w:val="Heading4"/>
      </w:pPr>
      <w:r>
        <w:lastRenderedPageBreak/>
        <w:t>The stock of temporary migrants has increased over time</w:t>
      </w:r>
    </w:p>
    <w:p w14:paraId="42E27752" w14:textId="77777777" w:rsidR="00444873" w:rsidRDefault="00444873" w:rsidP="00631304">
      <w:r>
        <w:t>In addition to permanent migrants, there are nearly 1.6 million tempo</w:t>
      </w:r>
      <w:r w:rsidR="00AD59E9">
        <w:t>rary migrants in Australia</w:t>
      </w:r>
      <w:r>
        <w:t xml:space="preserve">. Temporary migrants primarily include students, working holiday makers, temporary skilled migrants, </w:t>
      </w:r>
      <w:r w:rsidR="007B7864">
        <w:t xml:space="preserve">and </w:t>
      </w:r>
      <w:r>
        <w:t>New Zealanders living in Australia.</w:t>
      </w:r>
      <w:r w:rsidR="00896AD2">
        <w:rPr>
          <w:rStyle w:val="FootnoteReference"/>
        </w:rPr>
        <w:footnoteReference w:id="4"/>
      </w:r>
    </w:p>
    <w:p w14:paraId="05085C16" w14:textId="77777777" w:rsidR="00444873" w:rsidRDefault="00444873" w:rsidP="00631304">
      <w:r>
        <w:t>Australia</w:t>
      </w:r>
      <w:r w:rsidR="00021968">
        <w:t>’</w:t>
      </w:r>
      <w:r>
        <w:t>s temporary visa program is largely an uncapped program. The vast majority of temporary migrants (nearly 90 per cent) have visas that provide the right to work. This includes migrants who are primarily in Australia for other reasons (such as students and working holiday makers, for whom work rights are limited). The number of those arriving on temporary visas for which the primary purpose is work has been responsive to general labour market conditions</w:t>
      </w:r>
      <w:r w:rsidR="003555DF">
        <w:t>,</w:t>
      </w:r>
      <w:r>
        <w:t xml:space="preserve"> whilst the export focused international student program has moved in line with factors such as global economic conditions and exchange rate changes.</w:t>
      </w:r>
    </w:p>
    <w:p w14:paraId="2CC15C8F" w14:textId="77777777" w:rsidR="0048410D" w:rsidRDefault="0048410D" w:rsidP="00631304">
      <w:r w:rsidRPr="0048410D">
        <w:t>New Zealanders account for 40 per cent of the stock of temporary migrants, and more than a quarter are international students. Workers on 457 temporary</w:t>
      </w:r>
      <w:r>
        <w:t xml:space="preserve"> skilled</w:t>
      </w:r>
      <w:r w:rsidRPr="0048410D">
        <w:t xml:space="preserve"> visas</w:t>
      </w:r>
      <w:r>
        <w:rPr>
          <w:rStyle w:val="FootnoteReference"/>
        </w:rPr>
        <w:footnoteReference w:id="5"/>
      </w:r>
      <w:r w:rsidRPr="0048410D">
        <w:t xml:space="preserve"> account for </w:t>
      </w:r>
      <w:r w:rsidR="004B4CBA">
        <w:t>around</w:t>
      </w:r>
      <w:r w:rsidRPr="0048410D">
        <w:t xml:space="preserve"> 10</w:t>
      </w:r>
      <w:r w:rsidR="005D0DBA">
        <w:t> </w:t>
      </w:r>
      <w:r w:rsidRPr="0048410D">
        <w:t xml:space="preserve">per cent of the stock and working holiday makers a further 8 per cent (Figure </w:t>
      </w:r>
      <w:r w:rsidR="006143E4" w:rsidRPr="0048410D">
        <w:t>1</w:t>
      </w:r>
      <w:r w:rsidR="006143E4">
        <w:t>6</w:t>
      </w:r>
      <w:r w:rsidRPr="0048410D">
        <w:t>). Since</w:t>
      </w:r>
      <w:r w:rsidR="005D0DBA">
        <w:br/>
      </w:r>
      <w:r w:rsidRPr="0048410D">
        <w:t>2000–01, more temporary migrants have generally arrived than departed each year</w:t>
      </w:r>
      <w:r w:rsidR="006143E4">
        <w:t>,</w:t>
      </w:r>
      <w:r w:rsidRPr="0048410D">
        <w:t xml:space="preserve"> with the stock increasing by an average of over 50,000</w:t>
      </w:r>
      <w:r w:rsidR="006143E4">
        <w:t xml:space="preserve"> people</w:t>
      </w:r>
      <w:r w:rsidR="000A07A2">
        <w:t xml:space="preserve"> per year over the period.</w:t>
      </w:r>
    </w:p>
    <w:p w14:paraId="1108A601" w14:textId="77777777" w:rsidR="00444873" w:rsidRDefault="00444873" w:rsidP="000B438C">
      <w:pPr>
        <w:pStyle w:val="ChartMainHeading"/>
      </w:pPr>
      <w:r w:rsidRPr="00444873">
        <w:t>Figure 1</w:t>
      </w:r>
      <w:r w:rsidR="008C1147">
        <w:t>6</w:t>
      </w:r>
      <w:r w:rsidRPr="00444873">
        <w:t>: Stock of temporary migrants</w:t>
      </w:r>
    </w:p>
    <w:p w14:paraId="13D535DB" w14:textId="2C9CEEF2" w:rsidR="00444873" w:rsidRDefault="00302A39" w:rsidP="005F3E79">
      <w:pPr>
        <w:pStyle w:val="ChartGraphic"/>
      </w:pPr>
      <w:r>
        <w:pict w14:anchorId="73D0CEDD">
          <v:shape id="_x0000_i1047" type="#_x0000_t75" style="width:430.5pt;height:227.25pt">
            <v:imagedata r:id="rId72" o:title="" cropleft="1270f"/>
          </v:shape>
        </w:pict>
      </w:r>
    </w:p>
    <w:p w14:paraId="757FBC97" w14:textId="77777777" w:rsidR="00444873" w:rsidRDefault="00E90AEF" w:rsidP="00A36CBF">
      <w:pPr>
        <w:pStyle w:val="ChartorTableNote"/>
      </w:pPr>
      <w:r>
        <w:t xml:space="preserve">Source: </w:t>
      </w:r>
      <w:r w:rsidR="000502F3">
        <w:t xml:space="preserve">Unpublished </w:t>
      </w:r>
      <w:r w:rsidR="00DD20CE">
        <w:t>H</w:t>
      </w:r>
      <w:r w:rsidR="00754902">
        <w:t xml:space="preserve">ome </w:t>
      </w:r>
      <w:r w:rsidR="00DD20CE">
        <w:t>A</w:t>
      </w:r>
      <w:r w:rsidR="00754902">
        <w:t>ffairs</w:t>
      </w:r>
      <w:r w:rsidR="00AC5A21" w:rsidRPr="00A536FC">
        <w:t xml:space="preserve"> data</w:t>
      </w:r>
      <w:r w:rsidR="000A07A2">
        <w:t>.</w:t>
      </w:r>
    </w:p>
    <w:p w14:paraId="4072E93D" w14:textId="77777777" w:rsidR="005A6957" w:rsidRDefault="004B4CBA" w:rsidP="00A36CBF">
      <w:r>
        <w:t xml:space="preserve">Over </w:t>
      </w:r>
      <w:r w:rsidR="0048410D">
        <w:t>the period 2007-08 t</w:t>
      </w:r>
      <w:r>
        <w:t>o</w:t>
      </w:r>
      <w:r w:rsidR="0048410D">
        <w:t xml:space="preserve"> 2011-12, the stock of New Zealanders,</w:t>
      </w:r>
      <w:r>
        <w:t xml:space="preserve"> working holiday makers and 457 </w:t>
      </w:r>
      <w:r w:rsidR="0048410D">
        <w:t xml:space="preserve">visa holders increased strongly (by 24, 53 and 18 per cent respectively). </w:t>
      </w:r>
      <w:r w:rsidR="000221C2">
        <w:t>By contrast, i</w:t>
      </w:r>
      <w:r w:rsidR="0048410D">
        <w:t xml:space="preserve">nternational student numbers </w:t>
      </w:r>
      <w:r w:rsidR="000221C2">
        <w:t xml:space="preserve">fell by 3 </w:t>
      </w:r>
      <w:r w:rsidR="0048410D">
        <w:t xml:space="preserve">per cent (and </w:t>
      </w:r>
      <w:r w:rsidR="000221C2">
        <w:t xml:space="preserve">were </w:t>
      </w:r>
      <w:r w:rsidR="0048410D">
        <w:t xml:space="preserve">down </w:t>
      </w:r>
      <w:r w:rsidR="000221C2">
        <w:t>almost 21</w:t>
      </w:r>
      <w:r w:rsidR="0048410D">
        <w:t xml:space="preserve"> per cent by the end of the period compared to the peak in 2008-0</w:t>
      </w:r>
      <w:r w:rsidR="00A36CBF">
        <w:t>9).</w:t>
      </w:r>
    </w:p>
    <w:p w14:paraId="136A90B8" w14:textId="77777777" w:rsidR="0048410D" w:rsidRDefault="0048410D" w:rsidP="00C57890">
      <w:pPr>
        <w:keepNext/>
        <w:keepLines/>
      </w:pPr>
      <w:r>
        <w:lastRenderedPageBreak/>
        <w:t>Since late 2012, the pace of growth in the stock of some of these visa holders has ceased or reversed. The number of New Zealanders residing in Australia has increased only 3 per cent in total since 2011</w:t>
      </w:r>
      <w:r>
        <w:noBreakHyphen/>
        <w:t xml:space="preserve">12. The stock of 457 visa holders </w:t>
      </w:r>
      <w:r w:rsidR="00960742">
        <w:t xml:space="preserve">has </w:t>
      </w:r>
      <w:r>
        <w:t>fallen 17</w:t>
      </w:r>
      <w:r w:rsidR="00A0793E">
        <w:t xml:space="preserve"> per cent</w:t>
      </w:r>
      <w:r>
        <w:t xml:space="preserve"> </w:t>
      </w:r>
      <w:r w:rsidR="00960742">
        <w:t>since the peak in 2013</w:t>
      </w:r>
      <w:r w:rsidR="00960742">
        <w:noBreakHyphen/>
        <w:t>14, and the stock of working holiday makers has declined 16 per cent since 2012</w:t>
      </w:r>
      <w:r w:rsidR="00960742">
        <w:noBreakHyphen/>
        <w:t>13</w:t>
      </w:r>
      <w:r>
        <w:t xml:space="preserve">. In contrast, the stock of international students has increased </w:t>
      </w:r>
      <w:r w:rsidR="004B4CBA">
        <w:t>46</w:t>
      </w:r>
      <w:r>
        <w:t xml:space="preserve"> per cent on the back of increasing global demand for education services and a lower exchange rate relative to earlier this decade.</w:t>
      </w:r>
    </w:p>
    <w:p w14:paraId="7A3EA839" w14:textId="77777777" w:rsidR="00444873" w:rsidRDefault="00C76A04" w:rsidP="002427F4">
      <w:pPr>
        <w:pStyle w:val="Heading3Numbered"/>
      </w:pPr>
      <w:r>
        <w:t>Some t</w:t>
      </w:r>
      <w:r w:rsidR="00444873">
        <w:t>emporary migrants become permanent</w:t>
      </w:r>
    </w:p>
    <w:p w14:paraId="50C89A8D" w14:textId="77777777" w:rsidR="00CA1F94" w:rsidRDefault="00444873" w:rsidP="006A0D40">
      <w:r>
        <w:t>Various waves of reforms, from the introduction of the points test in the 1970s to the increased focus on skills in the 1990s and the prioriti</w:t>
      </w:r>
      <w:r w:rsidR="00091279">
        <w:t>s</w:t>
      </w:r>
      <w:r>
        <w:t>ation of employer</w:t>
      </w:r>
      <w:r w:rsidR="00021968">
        <w:noBreakHyphen/>
      </w:r>
      <w:r>
        <w:t xml:space="preserve">sponsored individuals in the 2000s have increasingly required migrants to prove their </w:t>
      </w:r>
      <w:r w:rsidR="00091279">
        <w:t>commitment</w:t>
      </w:r>
      <w:r w:rsidR="00F053C7">
        <w:t xml:space="preserve"> and skills</w:t>
      </w:r>
      <w:r>
        <w:t xml:space="preserve"> before they are granted permanent residency</w:t>
      </w:r>
      <w:r w:rsidR="00021968">
        <w:t xml:space="preserve">. </w:t>
      </w:r>
      <w:r>
        <w:t xml:space="preserve">This has resulted in </w:t>
      </w:r>
      <w:r w:rsidR="006A0D40">
        <w:t xml:space="preserve">those </w:t>
      </w:r>
      <w:r w:rsidR="00DF3239">
        <w:t xml:space="preserve">migrants </w:t>
      </w:r>
      <w:r w:rsidR="006A0D40">
        <w:t>granted permanent residency having average skill levels and productivity higher than the non</w:t>
      </w:r>
      <w:r w:rsidR="006A0D40">
        <w:noBreakHyphen/>
        <w:t>migrant workforce</w:t>
      </w:r>
      <w:r w:rsidR="00637806">
        <w:t>,</w:t>
      </w:r>
      <w:r w:rsidR="00963FDB">
        <w:t xml:space="preserve"> on average</w:t>
      </w:r>
      <w:r w:rsidR="006A0D40">
        <w:t xml:space="preserve"> (Hawthor</w:t>
      </w:r>
      <w:r w:rsidR="00DF3239">
        <w:t>n</w:t>
      </w:r>
      <w:r w:rsidR="006A0D40">
        <w:t>e</w:t>
      </w:r>
      <w:r w:rsidR="00963FDB">
        <w:t> </w:t>
      </w:r>
      <w:r w:rsidR="006A0D40">
        <w:t>2011</w:t>
      </w:r>
      <w:r w:rsidR="00060430">
        <w:t>;</w:t>
      </w:r>
      <w:r w:rsidR="006A0D40">
        <w:t xml:space="preserve"> Gregory 2014</w:t>
      </w:r>
      <w:r w:rsidR="00F456DA">
        <w:t>;</w:t>
      </w:r>
      <w:r w:rsidR="00F456DA" w:rsidRPr="00F456DA">
        <w:t xml:space="preserve"> </w:t>
      </w:r>
      <w:r w:rsidR="00F456DA">
        <w:t>Parham et al. 2015</w:t>
      </w:r>
      <w:r w:rsidR="000A07A2">
        <w:t>).</w:t>
      </w:r>
    </w:p>
    <w:p w14:paraId="3ADDF933" w14:textId="77777777" w:rsidR="00444873" w:rsidRPr="00E50C62" w:rsidRDefault="00444873" w:rsidP="00631304">
      <w:r>
        <w:t>T</w:t>
      </w:r>
      <w:r w:rsidR="00286AB8">
        <w:t>hese days</w:t>
      </w:r>
      <w:r>
        <w:t xml:space="preserve">, </w:t>
      </w:r>
      <w:r w:rsidR="00CE23E3">
        <w:t>almost half of the</w:t>
      </w:r>
      <w:r w:rsidRPr="00A74035">
        <w:t xml:space="preserve"> individuals</w:t>
      </w:r>
      <w:r>
        <w:t xml:space="preserve"> granted permanent </w:t>
      </w:r>
      <w:proofErr w:type="gramStart"/>
      <w:r>
        <w:t xml:space="preserve">residency </w:t>
      </w:r>
      <w:r w:rsidR="00CC2144">
        <w:t>are</w:t>
      </w:r>
      <w:proofErr w:type="gramEnd"/>
      <w:r w:rsidR="00CC2144">
        <w:t xml:space="preserve"> already in</w:t>
      </w:r>
      <w:r>
        <w:t xml:space="preserve"> Australia on a temporary visa. The pathway through temporary visa categories to permanent residence is highly varied</w:t>
      </w:r>
      <w:r w:rsidR="00DF3239">
        <w:t>,</w:t>
      </w:r>
      <w:r>
        <w:t xml:space="preserve"> with more than 5,500 different pathways identified. Nonetheless, </w:t>
      </w:r>
      <w:r w:rsidR="00DF3239">
        <w:t xml:space="preserve">of </w:t>
      </w:r>
      <w:r>
        <w:t xml:space="preserve">those who become permanent residents, nearly 55 per cent transition across just one or two temporary visa categories prior to </w:t>
      </w:r>
      <w:r w:rsidR="00DF3239">
        <w:t xml:space="preserve">obtaining </w:t>
      </w:r>
      <w:r>
        <w:t>a p</w:t>
      </w:r>
      <w:r w:rsidR="00EA122F">
        <w:t>ermanent visa within four years (Figure 1</w:t>
      </w:r>
      <w:r w:rsidR="008C1147">
        <w:t>7</w:t>
      </w:r>
      <w:r w:rsidR="00EA122F">
        <w:t>).</w:t>
      </w:r>
    </w:p>
    <w:p w14:paraId="70ADFB88" w14:textId="77777777" w:rsidR="00E50C62" w:rsidRDefault="00EA122F" w:rsidP="000B438C">
      <w:pPr>
        <w:pStyle w:val="ChartMainHeading"/>
      </w:pPr>
      <w:r>
        <w:t>Figure 1</w:t>
      </w:r>
      <w:r w:rsidR="008C1147">
        <w:t>7</w:t>
      </w:r>
      <w:r w:rsidR="001403C8">
        <w:t xml:space="preserve">: </w:t>
      </w:r>
      <w:r w:rsidR="00893053">
        <w:t>Transitions across visa classes</w:t>
      </w:r>
      <w:r w:rsidR="0025653B">
        <w:t>, 2000</w:t>
      </w:r>
      <w:r w:rsidR="0025653B">
        <w:noBreakHyphen/>
        <w:t>01 to 2013</w:t>
      </w:r>
      <w:r w:rsidR="0025653B">
        <w:noBreakHyphen/>
        <w:t>14</w:t>
      </w:r>
    </w:p>
    <w:p w14:paraId="5D9780B9" w14:textId="77777777" w:rsidR="007B0C4F" w:rsidRDefault="007B0C4F" w:rsidP="005F3E79">
      <w:pPr>
        <w:pStyle w:val="ChartGraphic"/>
      </w:pPr>
      <w:r>
        <w:rPr>
          <w:noProof/>
        </w:rPr>
        <w:drawing>
          <wp:inline distT="0" distB="0" distL="0" distR="0" wp14:anchorId="22AB8EAD" wp14:editId="2A8D57AB">
            <wp:extent cx="4680000" cy="4680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 chart.fw_16.jpg"/>
                    <pic:cNvPicPr/>
                  </pic:nvPicPr>
                  <pic:blipFill rotWithShape="1">
                    <a:blip r:embed="rId73" cstate="print">
                      <a:extLst>
                        <a:ext uri="{28A0092B-C50C-407E-A947-70E740481C1C}">
                          <a14:useLocalDpi xmlns:a14="http://schemas.microsoft.com/office/drawing/2010/main" val="0"/>
                        </a:ext>
                      </a:extLst>
                    </a:blip>
                    <a:srcRect l="6622" t="6452" r="6912" b="7401"/>
                    <a:stretch/>
                  </pic:blipFill>
                  <pic:spPr bwMode="auto">
                    <a:xfrm>
                      <a:off x="0" y="0"/>
                      <a:ext cx="4680000" cy="4680000"/>
                    </a:xfrm>
                    <a:prstGeom prst="rect">
                      <a:avLst/>
                    </a:prstGeom>
                    <a:ln>
                      <a:noFill/>
                    </a:ln>
                    <a:extLst>
                      <a:ext uri="{53640926-AAD7-44D8-BBD7-CCE9431645EC}">
                        <a14:shadowObscured xmlns:a14="http://schemas.microsoft.com/office/drawing/2010/main"/>
                      </a:ext>
                    </a:extLst>
                  </pic:spPr>
                </pic:pic>
              </a:graphicData>
            </a:graphic>
          </wp:inline>
        </w:drawing>
      </w:r>
    </w:p>
    <w:p w14:paraId="18321DD7" w14:textId="77777777" w:rsidR="00BE3294" w:rsidRPr="005A6957" w:rsidRDefault="00BE3294" w:rsidP="005A6957">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Pr="005A6957">
        <w:t xml:space="preserve"> data, authors’ </w:t>
      </w:r>
      <w:r w:rsidR="00D013CF" w:rsidRPr="005A6957">
        <w:t>calculations</w:t>
      </w:r>
      <w:r w:rsidR="00350824" w:rsidRPr="005A6957">
        <w:t>.</w:t>
      </w:r>
    </w:p>
    <w:p w14:paraId="55AF7268" w14:textId="77777777" w:rsidR="007B0C4F" w:rsidRDefault="007B0C4F" w:rsidP="00510DBE">
      <w:pPr>
        <w:keepNext/>
        <w:keepLines/>
      </w:pPr>
      <w:r>
        <w:lastRenderedPageBreak/>
        <w:t xml:space="preserve">More than a decade ago, former international students were the largest source of permanent skilled migrants. </w:t>
      </w:r>
      <w:r w:rsidR="00C2373E">
        <w:t xml:space="preserve">However, </w:t>
      </w:r>
      <w:proofErr w:type="gramStart"/>
      <w:r w:rsidR="00C2373E">
        <w:t xml:space="preserve">expanded </w:t>
      </w:r>
      <w:r>
        <w:t>opportunit</w:t>
      </w:r>
      <w:r w:rsidR="00C2373E">
        <w:t>ies from</w:t>
      </w:r>
      <w:r w:rsidR="00350824">
        <w:t xml:space="preserve"> the late</w:t>
      </w:r>
      <w:r w:rsidR="00C2373E">
        <w:t xml:space="preserve"> </w:t>
      </w:r>
      <w:r w:rsidR="00350824">
        <w:t xml:space="preserve">2000s </w:t>
      </w:r>
      <w:r>
        <w:t>for employers to sponsor temporary and permanent workers has</w:t>
      </w:r>
      <w:proofErr w:type="gramEnd"/>
      <w:r>
        <w:t xml:space="preserve"> enabled a demand</w:t>
      </w:r>
      <w:r w:rsidR="004121A1">
        <w:noBreakHyphen/>
      </w:r>
      <w:r>
        <w:t>driven approach to selecting relevant workforce skills. This has resulted in the most common pathway to permanent residency since 2007</w:t>
      </w:r>
      <w:r w:rsidR="00021968">
        <w:noBreakHyphen/>
      </w:r>
      <w:r>
        <w:t>08</w:t>
      </w:r>
      <w:r w:rsidR="00350824">
        <w:t xml:space="preserve"> including a period on a 457 visa</w:t>
      </w:r>
      <w:r w:rsidR="000A07A2">
        <w:t>.</w:t>
      </w:r>
    </w:p>
    <w:p w14:paraId="46C4ED8D" w14:textId="77777777" w:rsidR="007B0C4F" w:rsidRDefault="004121A1" w:rsidP="00631304">
      <w:r>
        <w:t>O</w:t>
      </w:r>
      <w:r w:rsidR="007B0C4F">
        <w:t xml:space="preserve">f the 946,000 individuals </w:t>
      </w:r>
      <w:r w:rsidR="00350824">
        <w:t xml:space="preserve">who </w:t>
      </w:r>
      <w:r w:rsidR="006A0D40">
        <w:t>were</w:t>
      </w:r>
      <w:r w:rsidR="007B0C4F">
        <w:t xml:space="preserve"> employed </w:t>
      </w:r>
      <w:r w:rsidR="006A0D40">
        <w:t>on</w:t>
      </w:r>
      <w:r w:rsidR="007B0C4F">
        <w:t xml:space="preserve"> a 457 visa</w:t>
      </w:r>
      <w:r>
        <w:t xml:space="preserve"> between 2000</w:t>
      </w:r>
      <w:r>
        <w:noBreakHyphen/>
        <w:t>01 and 2013</w:t>
      </w:r>
      <w:r>
        <w:noBreakHyphen/>
        <w:t>14</w:t>
      </w:r>
      <w:r w:rsidR="007B0C4F">
        <w:t xml:space="preserve">, </w:t>
      </w:r>
      <w:r w:rsidR="00B20EA1">
        <w:t>55 per </w:t>
      </w:r>
      <w:r w:rsidR="007B0C4F">
        <w:t>cent eventually transitioned to permanent residence (</w:t>
      </w:r>
      <w:r w:rsidR="00EA122F">
        <w:t>Figure 1</w:t>
      </w:r>
      <w:r w:rsidR="008C1147">
        <w:t>8</w:t>
      </w:r>
      <w:r w:rsidR="007B0C4F">
        <w:t xml:space="preserve">). For those </w:t>
      </w:r>
      <w:r w:rsidR="00350824">
        <w:t xml:space="preserve">who </w:t>
      </w:r>
      <w:r w:rsidR="007B0C4F">
        <w:t>transition</w:t>
      </w:r>
      <w:r w:rsidR="006A0D40">
        <w:t>ed</w:t>
      </w:r>
      <w:r w:rsidR="007B0C4F">
        <w:t xml:space="preserve"> to permanent residence, 25 per cent did so </w:t>
      </w:r>
      <w:r w:rsidR="0061178E">
        <w:t>within around</w:t>
      </w:r>
      <w:r w:rsidR="00C2373E">
        <w:t xml:space="preserve"> </w:t>
      </w:r>
      <w:r w:rsidR="000F1121">
        <w:t>one and a half</w:t>
      </w:r>
      <w:r w:rsidR="00C2373E">
        <w:t xml:space="preserve"> years</w:t>
      </w:r>
      <w:r w:rsidR="007B0C4F">
        <w:t xml:space="preserve">, and 75 per cent did so </w:t>
      </w:r>
      <w:r w:rsidR="0061178E">
        <w:t>with</w:t>
      </w:r>
      <w:r w:rsidR="007B0C4F">
        <w:t xml:space="preserve">in </w:t>
      </w:r>
      <w:r w:rsidR="000F1121">
        <w:t xml:space="preserve">three and three quarter </w:t>
      </w:r>
      <w:r w:rsidR="00C2373E">
        <w:t>years</w:t>
      </w:r>
      <w:r w:rsidR="007B0C4F">
        <w:t>.</w:t>
      </w:r>
    </w:p>
    <w:p w14:paraId="0BDA1809" w14:textId="77777777" w:rsidR="007B0C4F" w:rsidRPr="00184AC2" w:rsidRDefault="007B0C4F" w:rsidP="000B438C">
      <w:pPr>
        <w:pStyle w:val="ChartMainHeading"/>
      </w:pPr>
      <w:bookmarkStart w:id="75" w:name="_Ref491019752"/>
      <w:r w:rsidRPr="00184AC2">
        <w:t xml:space="preserve">Figure </w:t>
      </w:r>
      <w:bookmarkEnd w:id="75"/>
      <w:r w:rsidR="00EA122F">
        <w:t>1</w:t>
      </w:r>
      <w:r w:rsidR="008C1147">
        <w:t>8</w:t>
      </w:r>
      <w:r>
        <w:t>:</w:t>
      </w:r>
      <w:r w:rsidRPr="00184AC2">
        <w:t xml:space="preserve"> </w:t>
      </w:r>
      <w:r w:rsidR="006A0D40">
        <w:t>457 visa transitions</w:t>
      </w:r>
    </w:p>
    <w:p w14:paraId="48D8D4A1" w14:textId="77777777" w:rsidR="007B0C4F" w:rsidRDefault="00FF7C62" w:rsidP="005F3E79">
      <w:pPr>
        <w:pStyle w:val="ChartGraphic"/>
      </w:pPr>
      <w:r>
        <w:rPr>
          <w:noProof/>
        </w:rPr>
        <w:drawing>
          <wp:inline distT="0" distB="0" distL="0" distR="0" wp14:anchorId="0B690647" wp14:editId="57228C63">
            <wp:extent cx="4824000" cy="2390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457 transitions.png"/>
                    <pic:cNvPicPr/>
                  </pic:nvPicPr>
                  <pic:blipFill rotWithShape="1">
                    <a:blip r:embed="rId74" cstate="print">
                      <a:extLst>
                        <a:ext uri="{28A0092B-C50C-407E-A947-70E740481C1C}">
                          <a14:useLocalDpi xmlns:a14="http://schemas.microsoft.com/office/drawing/2010/main" val="0"/>
                        </a:ext>
                      </a:extLst>
                    </a:blip>
                    <a:srcRect l="1262" r="1621" b="4469"/>
                    <a:stretch/>
                  </pic:blipFill>
                  <pic:spPr bwMode="auto">
                    <a:xfrm>
                      <a:off x="0" y="0"/>
                      <a:ext cx="4824000" cy="2390765"/>
                    </a:xfrm>
                    <a:prstGeom prst="rect">
                      <a:avLst/>
                    </a:prstGeom>
                    <a:ln>
                      <a:noFill/>
                    </a:ln>
                    <a:extLst>
                      <a:ext uri="{53640926-AAD7-44D8-BBD7-CCE9431645EC}">
                        <a14:shadowObscured xmlns:a14="http://schemas.microsoft.com/office/drawing/2010/main"/>
                      </a:ext>
                    </a:extLst>
                  </pic:spPr>
                </pic:pic>
              </a:graphicData>
            </a:graphic>
          </wp:inline>
        </w:drawing>
      </w:r>
    </w:p>
    <w:p w14:paraId="416209A4" w14:textId="77777777" w:rsidR="00DA74F0" w:rsidRPr="005A6957" w:rsidRDefault="00DA74F0" w:rsidP="005A6957">
      <w:pPr>
        <w:pStyle w:val="ChartorTableNote"/>
      </w:pPr>
      <w:r w:rsidRPr="005A6957">
        <w:t>Note: This may also have involved working in Australia under visa arrangements other than a 457 visa.</w:t>
      </w:r>
    </w:p>
    <w:p w14:paraId="6918BAA8" w14:textId="77777777" w:rsidR="005A6957" w:rsidRDefault="007B0C4F" w:rsidP="00A36CBF">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000502F3">
        <w:t xml:space="preserve"> data</w:t>
      </w:r>
      <w:r w:rsidRPr="005A6957">
        <w:t>, authors</w:t>
      </w:r>
      <w:r w:rsidR="00021968" w:rsidRPr="005A6957">
        <w:t>’</w:t>
      </w:r>
      <w:r w:rsidRPr="005A6957">
        <w:t xml:space="preserve"> </w:t>
      </w:r>
      <w:r w:rsidR="00D013CF" w:rsidRPr="005A6957">
        <w:t>calculations</w:t>
      </w:r>
      <w:r w:rsidR="00350824" w:rsidRPr="005A6957">
        <w:t>.</w:t>
      </w:r>
    </w:p>
    <w:p w14:paraId="74BDB650" w14:textId="77777777" w:rsidR="007B0C4F" w:rsidRDefault="007B0C4F" w:rsidP="005A6957">
      <w:proofErr w:type="gramStart"/>
      <w:r>
        <w:t>A much smaller share of those arriving as international students eventually transition to permanent residence (</w:t>
      </w:r>
      <w:r w:rsidR="00EA122F">
        <w:t>Figure 1</w:t>
      </w:r>
      <w:r w:rsidR="008C1147">
        <w:t>9</w:t>
      </w:r>
      <w:r>
        <w:t>).</w:t>
      </w:r>
      <w:proofErr w:type="gramEnd"/>
      <w:r>
        <w:t xml:space="preserve"> Of </w:t>
      </w:r>
      <w:r w:rsidRPr="00A74035">
        <w:t xml:space="preserve">the </w:t>
      </w:r>
      <w:r w:rsidR="00271AA3">
        <w:t>1.6 million</w:t>
      </w:r>
      <w:r w:rsidRPr="00A74035">
        <w:t xml:space="preserve"> individuals</w:t>
      </w:r>
      <w:r>
        <w:t xml:space="preserve"> examined between 2000</w:t>
      </w:r>
      <w:r w:rsidR="00021968">
        <w:noBreakHyphen/>
      </w:r>
      <w:r>
        <w:t>01 and 2013</w:t>
      </w:r>
      <w:r w:rsidR="00021968">
        <w:noBreakHyphen/>
      </w:r>
      <w:r>
        <w:t xml:space="preserve">14, </w:t>
      </w:r>
      <w:r w:rsidR="00B20EA1">
        <w:t>16 per </w:t>
      </w:r>
      <w:r>
        <w:t>cent eventually transition</w:t>
      </w:r>
      <w:r w:rsidR="00537C11">
        <w:t>ed</w:t>
      </w:r>
      <w:r>
        <w:t xml:space="preserve"> to permanent residence. Reflecting the time involved in studying, </w:t>
      </w:r>
      <w:r w:rsidR="00393042">
        <w:t xml:space="preserve">students </w:t>
      </w:r>
      <w:r>
        <w:t xml:space="preserve">take longer to </w:t>
      </w:r>
      <w:r w:rsidR="00393042">
        <w:t xml:space="preserve">make </w:t>
      </w:r>
      <w:r>
        <w:t xml:space="preserve">this </w:t>
      </w:r>
      <w:r w:rsidR="00393042">
        <w:t xml:space="preserve">transition </w:t>
      </w:r>
      <w:r>
        <w:t xml:space="preserve">than </w:t>
      </w:r>
      <w:r w:rsidR="006A0D40">
        <w:t>457 visa holders</w:t>
      </w:r>
      <w:r>
        <w:t xml:space="preserve">. For those </w:t>
      </w:r>
      <w:r w:rsidR="00393042">
        <w:t xml:space="preserve">who </w:t>
      </w:r>
      <w:r>
        <w:t>transition to permanent residence, 25</w:t>
      </w:r>
      <w:r w:rsidR="006A0D40">
        <w:t> </w:t>
      </w:r>
      <w:r>
        <w:t xml:space="preserve">per cent do so within </w:t>
      </w:r>
      <w:r w:rsidR="000F1121">
        <w:t>two and a half</w:t>
      </w:r>
      <w:r w:rsidR="0061178E">
        <w:t xml:space="preserve"> years</w:t>
      </w:r>
      <w:r>
        <w:t xml:space="preserve">, and 75 per cent </w:t>
      </w:r>
      <w:r w:rsidR="0061178E">
        <w:t xml:space="preserve">within just under </w:t>
      </w:r>
      <w:r w:rsidR="000F1121">
        <w:t>five and a half</w:t>
      </w:r>
      <w:r w:rsidR="0061178E">
        <w:t xml:space="preserve"> years</w:t>
      </w:r>
      <w:r>
        <w:t>.</w:t>
      </w:r>
    </w:p>
    <w:p w14:paraId="2D0821DC" w14:textId="77777777" w:rsidR="007B0C4F" w:rsidRPr="00184AC2" w:rsidRDefault="007B0C4F" w:rsidP="000B438C">
      <w:pPr>
        <w:pStyle w:val="ChartMainHeading"/>
      </w:pPr>
      <w:bookmarkStart w:id="76" w:name="_Ref491020573"/>
      <w:r w:rsidRPr="00184AC2">
        <w:t xml:space="preserve">Figure </w:t>
      </w:r>
      <w:bookmarkEnd w:id="76"/>
      <w:r w:rsidR="00EA122F">
        <w:t>1</w:t>
      </w:r>
      <w:r w:rsidR="008C1147">
        <w:t>9</w:t>
      </w:r>
      <w:r w:rsidRPr="00184AC2">
        <w:t xml:space="preserve">: </w:t>
      </w:r>
      <w:r w:rsidR="00350824">
        <w:t>S</w:t>
      </w:r>
      <w:r w:rsidR="006A0D40">
        <w:t>tudent visa transitions</w:t>
      </w:r>
    </w:p>
    <w:p w14:paraId="2C07C612" w14:textId="77777777" w:rsidR="007B0C4F" w:rsidRDefault="00FF7C62" w:rsidP="005A6957">
      <w:pPr>
        <w:pStyle w:val="ChartGraphic"/>
      </w:pPr>
      <w:r>
        <w:rPr>
          <w:noProof/>
        </w:rPr>
        <w:drawing>
          <wp:inline distT="0" distB="0" distL="0" distR="0" wp14:anchorId="63708D73" wp14:editId="6FEF6CA9">
            <wp:extent cx="4824000" cy="2412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student transitions.png"/>
                    <pic:cNvPicPr/>
                  </pic:nvPicPr>
                  <pic:blipFill rotWithShape="1">
                    <a:blip r:embed="rId75" cstate="print">
                      <a:extLst>
                        <a:ext uri="{28A0092B-C50C-407E-A947-70E740481C1C}">
                          <a14:useLocalDpi xmlns:a14="http://schemas.microsoft.com/office/drawing/2010/main" val="0"/>
                        </a:ext>
                      </a:extLst>
                    </a:blip>
                    <a:srcRect l="1441" r="1621" b="3798"/>
                    <a:stretch/>
                  </pic:blipFill>
                  <pic:spPr bwMode="auto">
                    <a:xfrm>
                      <a:off x="0" y="0"/>
                      <a:ext cx="4824000" cy="2412000"/>
                    </a:xfrm>
                    <a:prstGeom prst="rect">
                      <a:avLst/>
                    </a:prstGeom>
                    <a:ln>
                      <a:noFill/>
                    </a:ln>
                    <a:extLst>
                      <a:ext uri="{53640926-AAD7-44D8-BBD7-CCE9431645EC}">
                        <a14:shadowObscured xmlns:a14="http://schemas.microsoft.com/office/drawing/2010/main"/>
                      </a:ext>
                    </a:extLst>
                  </pic:spPr>
                </pic:pic>
              </a:graphicData>
            </a:graphic>
          </wp:inline>
        </w:drawing>
      </w:r>
    </w:p>
    <w:p w14:paraId="41466F84" w14:textId="77777777" w:rsidR="007B0C4F" w:rsidRPr="005A6957" w:rsidRDefault="007B0C4F" w:rsidP="005A6957">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Pr="005A6957">
        <w:t xml:space="preserve"> data, authors</w:t>
      </w:r>
      <w:r w:rsidR="00021968" w:rsidRPr="005A6957">
        <w:t>’</w:t>
      </w:r>
      <w:r w:rsidRPr="005A6957">
        <w:t xml:space="preserve"> </w:t>
      </w:r>
      <w:r w:rsidR="00D013CF" w:rsidRPr="005A6957">
        <w:t>calculations</w:t>
      </w:r>
      <w:r w:rsidR="00537C11" w:rsidRPr="005A6957">
        <w:t>.</w:t>
      </w:r>
    </w:p>
    <w:p w14:paraId="4630DFAA" w14:textId="77777777" w:rsidR="001B7E15" w:rsidRDefault="00BE3294" w:rsidP="005A6957">
      <w:r>
        <w:lastRenderedPageBreak/>
        <w:t>T</w:t>
      </w:r>
      <w:r w:rsidR="007B0C4F">
        <w:t xml:space="preserve">he time taken for 457 visa holders to transition to permanent </w:t>
      </w:r>
      <w:r w:rsidR="00CC4CC3">
        <w:t xml:space="preserve">residence </w:t>
      </w:r>
      <w:r w:rsidR="007B0C4F">
        <w:t xml:space="preserve">has reduced over time. This is </w:t>
      </w:r>
      <w:r w:rsidR="004121A1">
        <w:t xml:space="preserve">likely </w:t>
      </w:r>
      <w:r w:rsidR="007B0C4F">
        <w:t>due to</w:t>
      </w:r>
      <w:r w:rsidR="004121A1">
        <w:t xml:space="preserve"> increased opportunities for employer sponsorship to permanent residenc</w:t>
      </w:r>
      <w:r w:rsidR="00CC4CC3">
        <w:t>e</w:t>
      </w:r>
      <w:r w:rsidR="004121A1">
        <w:t>, with 457</w:t>
      </w:r>
      <w:r w:rsidR="0061178E">
        <w:t> </w:t>
      </w:r>
      <w:r w:rsidR="004121A1">
        <w:t>visa holders accounting</w:t>
      </w:r>
      <w:r w:rsidR="00021968">
        <w:t xml:space="preserve"> </w:t>
      </w:r>
      <w:r w:rsidR="007B0C4F">
        <w:t xml:space="preserve">for more than 75 per cent of the increase in </w:t>
      </w:r>
      <w:r w:rsidR="006A0D40">
        <w:t xml:space="preserve">permanent employer </w:t>
      </w:r>
      <w:r w:rsidR="007B0C4F">
        <w:t xml:space="preserve">sponsored </w:t>
      </w:r>
      <w:r w:rsidR="007B0C4F" w:rsidRPr="00A74035">
        <w:t xml:space="preserve">residents </w:t>
      </w:r>
      <w:r w:rsidR="00CC4CC3">
        <w:t>between</w:t>
      </w:r>
      <w:r w:rsidR="00CC4CC3" w:rsidRPr="00A74035">
        <w:t xml:space="preserve"> </w:t>
      </w:r>
      <w:r w:rsidR="004121A1" w:rsidRPr="00A74035">
        <w:t>2000</w:t>
      </w:r>
      <w:r w:rsidR="0061178E">
        <w:noBreakHyphen/>
      </w:r>
      <w:r w:rsidR="004121A1" w:rsidRPr="00A74035">
        <w:t xml:space="preserve">01 </w:t>
      </w:r>
      <w:r w:rsidR="00CC4CC3">
        <w:t>and</w:t>
      </w:r>
      <w:r w:rsidR="00CC4CC3" w:rsidRPr="00A74035">
        <w:t xml:space="preserve"> </w:t>
      </w:r>
      <w:r w:rsidR="007B0C4F" w:rsidRPr="00A74035">
        <w:t>2007</w:t>
      </w:r>
      <w:r w:rsidR="00021968" w:rsidRPr="00A74035">
        <w:noBreakHyphen/>
      </w:r>
      <w:r w:rsidR="000A07A2">
        <w:t>08.</w:t>
      </w:r>
    </w:p>
    <w:p w14:paraId="5C0145E3" w14:textId="77777777" w:rsidR="007B0C4F" w:rsidRPr="00331CFA" w:rsidRDefault="004F3BAD" w:rsidP="005A6957">
      <w:pPr>
        <w:rPr>
          <w:rStyle w:val="CommentReference"/>
          <w:sz w:val="20"/>
          <w:szCs w:val="22"/>
        </w:rPr>
      </w:pPr>
      <w:r w:rsidRPr="00A74035">
        <w:t>The time taken</w:t>
      </w:r>
      <w:r>
        <w:t xml:space="preserve"> for students to transition</w:t>
      </w:r>
      <w:r w:rsidR="00963FDB">
        <w:t xml:space="preserve"> to permanent residence</w:t>
      </w:r>
      <w:r>
        <w:t xml:space="preserve"> </w:t>
      </w:r>
      <w:r w:rsidR="001B7E15">
        <w:t>did</w:t>
      </w:r>
      <w:r>
        <w:t xml:space="preserve"> not decrease much</w:t>
      </w:r>
      <w:r w:rsidR="001B7E15">
        <w:t xml:space="preserve"> between 2000</w:t>
      </w:r>
      <w:r w:rsidR="001B7E15">
        <w:noBreakHyphen/>
        <w:t>01 and 2013</w:t>
      </w:r>
      <w:r w:rsidR="001B7E15">
        <w:noBreakHyphen/>
        <w:t>14</w:t>
      </w:r>
      <w:r w:rsidR="00CC4CC3">
        <w:t>,</w:t>
      </w:r>
      <w:r>
        <w:t xml:space="preserve"> perhaps reflecting </w:t>
      </w:r>
      <w:r w:rsidR="00963FDB">
        <w:t xml:space="preserve">an </w:t>
      </w:r>
      <w:r w:rsidR="00236225">
        <w:t xml:space="preserve">increased requirement for students to demonstrate their </w:t>
      </w:r>
      <w:r w:rsidR="007B0C4F">
        <w:t xml:space="preserve">labour market capabilities through workforce participation. This </w:t>
      </w:r>
      <w:r w:rsidR="00236225">
        <w:t xml:space="preserve">has </w:t>
      </w:r>
      <w:r w:rsidR="007B0C4F">
        <w:t xml:space="preserve">made the transition more difficult and less direct. Students have increasingly had to look towards 457 </w:t>
      </w:r>
      <w:r w:rsidR="00236225">
        <w:t xml:space="preserve">visas </w:t>
      </w:r>
      <w:r w:rsidR="007B0C4F">
        <w:t>and then employer sponsored pathways to permanent residence.</w:t>
      </w:r>
    </w:p>
    <w:p w14:paraId="37E2FA18" w14:textId="77777777" w:rsidR="007B0C4F" w:rsidRDefault="007B0C4F" w:rsidP="002427F4">
      <w:pPr>
        <w:pStyle w:val="Heading3Numbered"/>
      </w:pPr>
      <w:r w:rsidRPr="00DC385A">
        <w:t>The supply of migrants is not assured</w:t>
      </w:r>
    </w:p>
    <w:p w14:paraId="19A14263" w14:textId="77777777" w:rsidR="0052522A" w:rsidRDefault="0052522A" w:rsidP="00631304">
      <w:r w:rsidRPr="0052522A">
        <w:t>Due to the important role that a skilled workforce has in contributing to economic growth, policymakers around the world increasingly compete to attract the best and brightest in the ‘global competition to attract high skilled migrants’ (Boeri et al. eds. 2012). Although the global pool of highly skilled people expressing a desire to migrate is increasing, Australia faces considerable competitio</w:t>
      </w:r>
      <w:r w:rsidR="000A07A2">
        <w:t>n in attracting these migrants.</w:t>
      </w:r>
    </w:p>
    <w:p w14:paraId="5A7C975F" w14:textId="77777777" w:rsidR="007B0C4F" w:rsidRPr="00DC385A" w:rsidRDefault="007B0C4F" w:rsidP="00631304">
      <w:r w:rsidRPr="00DC385A">
        <w:t>Governments set the number of migrants allowed into a country as well as the selection criteria to choose between prospective migrants. However, the factors that drive the supply of prospective migrants are generally outside the influence of migration policy. These factors include economic, social and cultural forces, such as whether there are opportunities available for prospective migrants to meet professional, personal and family goals. These considerations therefore go beyond financial opportunities, to include factors such as a tolerant and safe society, environment and lifestyle amenities, and the social safety net in the country (</w:t>
      </w:r>
      <w:proofErr w:type="spellStart"/>
      <w:r w:rsidRPr="00DC385A">
        <w:t>Papademetriou</w:t>
      </w:r>
      <w:proofErr w:type="spellEnd"/>
      <w:r w:rsidRPr="00DC385A">
        <w:t xml:space="preserve"> </w:t>
      </w:r>
      <w:r w:rsidR="00951E01">
        <w:t>&amp;</w:t>
      </w:r>
      <w:r w:rsidR="00951E01" w:rsidRPr="00DC385A">
        <w:t xml:space="preserve"> </w:t>
      </w:r>
      <w:proofErr w:type="spellStart"/>
      <w:r w:rsidRPr="00DC385A">
        <w:t>Sumption</w:t>
      </w:r>
      <w:proofErr w:type="spellEnd"/>
      <w:r w:rsidRPr="00DC385A">
        <w:t xml:space="preserve"> 201</w:t>
      </w:r>
      <w:r w:rsidR="00CC4CC3">
        <w:t>3</w:t>
      </w:r>
      <w:r w:rsidRPr="00DC385A">
        <w:t>).</w:t>
      </w:r>
    </w:p>
    <w:p w14:paraId="78C7F552" w14:textId="77777777" w:rsidR="007B0C4F" w:rsidRPr="00DC385A" w:rsidRDefault="007B0C4F" w:rsidP="00631304">
      <w:r w:rsidRPr="00DC385A">
        <w:t xml:space="preserve">Countries in the OECD are currently the preferred destination for the vast majority of skilled migrants. In the decade to 2010, the net increase </w:t>
      </w:r>
      <w:r w:rsidR="001B7E15">
        <w:t>in</w:t>
      </w:r>
      <w:r w:rsidRPr="00DC385A">
        <w:t xml:space="preserve"> university educated migrants arriving in the United States, Canada, Australia or countries within the European Union was 12.8 million. Less than 1</w:t>
      </w:r>
      <w:r w:rsidR="00021968">
        <w:noBreakHyphen/>
      </w:r>
      <w:r w:rsidRPr="00DC385A">
        <w:t>in</w:t>
      </w:r>
      <w:r w:rsidR="00021968">
        <w:noBreakHyphen/>
      </w:r>
      <w:r w:rsidRPr="00DC385A">
        <w:t xml:space="preserve">9 (11 per cent) came to Australia. </w:t>
      </w:r>
      <w:r w:rsidR="00344CCF">
        <w:t>This pales in comparison to the almost 7</w:t>
      </w:r>
      <w:r w:rsidR="00344CCF">
        <w:noBreakHyphen/>
        <w:t>in</w:t>
      </w:r>
      <w:r w:rsidR="00344CCF">
        <w:noBreakHyphen/>
        <w:t>9 (76 per cent) of university educat</w:t>
      </w:r>
      <w:r w:rsidR="001B7E15">
        <w:t>ed</w:t>
      </w:r>
      <w:r w:rsidR="00344CCF">
        <w:t xml:space="preserve"> migrant</w:t>
      </w:r>
      <w:r w:rsidR="001B7E15">
        <w:t>s who went to the United States</w:t>
      </w:r>
      <w:r w:rsidR="00344CCF">
        <w:t xml:space="preserve">. </w:t>
      </w:r>
      <w:r w:rsidRPr="00DC385A">
        <w:t>Of a further 19.4 million prospective migrants with a university education, less than 1</w:t>
      </w:r>
      <w:r w:rsidR="00021968">
        <w:noBreakHyphen/>
      </w:r>
      <w:r w:rsidRPr="00DC385A">
        <w:t>in</w:t>
      </w:r>
      <w:r w:rsidR="00021968">
        <w:noBreakHyphen/>
      </w:r>
      <w:r w:rsidRPr="00DC385A">
        <w:t>5 (18 per cent) nominated Australia as their most preferred destination (</w:t>
      </w:r>
      <w:proofErr w:type="spellStart"/>
      <w:r w:rsidRPr="00DC385A">
        <w:t>Docquier</w:t>
      </w:r>
      <w:proofErr w:type="spellEnd"/>
      <w:r w:rsidR="00CC4CC3">
        <w:t xml:space="preserve"> &amp;</w:t>
      </w:r>
      <w:r w:rsidRPr="00DC385A">
        <w:t xml:space="preserve"> Machado 201</w:t>
      </w:r>
      <w:r w:rsidR="0059098E">
        <w:t>6</w:t>
      </w:r>
      <w:r w:rsidR="000A07A2">
        <w:t>).</w:t>
      </w:r>
    </w:p>
    <w:p w14:paraId="2A1B3484" w14:textId="77777777" w:rsidR="007B0C4F" w:rsidRPr="00DC385A" w:rsidRDefault="007B0C4F" w:rsidP="002427F4">
      <w:pPr>
        <w:pStyle w:val="Heading2Numbered"/>
      </w:pPr>
      <w:bookmarkStart w:id="77" w:name="_Toc491027253"/>
      <w:bookmarkStart w:id="78" w:name="_Toc495402483"/>
      <w:r w:rsidRPr="00DC385A">
        <w:t xml:space="preserve">Relationship between </w:t>
      </w:r>
      <w:r w:rsidR="00CB3BEC">
        <w:t>migration</w:t>
      </w:r>
      <w:r w:rsidR="00CB3BEC" w:rsidRPr="00DC385A">
        <w:t xml:space="preserve"> </w:t>
      </w:r>
      <w:r w:rsidRPr="00DC385A">
        <w:t>and economic growth</w:t>
      </w:r>
      <w:bookmarkEnd w:id="77"/>
      <w:bookmarkEnd w:id="78"/>
    </w:p>
    <w:p w14:paraId="70BA6AD1" w14:textId="77777777" w:rsidR="007B0C4F" w:rsidRPr="00DC385A" w:rsidRDefault="007B0C4F" w:rsidP="002427F4">
      <w:pPr>
        <w:pStyle w:val="Heading3Numbered"/>
      </w:pPr>
      <w:bookmarkStart w:id="79" w:name="_Toc491694293"/>
      <w:bookmarkStart w:id="80" w:name="_Toc491694354"/>
      <w:bookmarkStart w:id="81" w:name="_Toc491694380"/>
      <w:bookmarkStart w:id="82" w:name="_Toc493227985"/>
      <w:bookmarkStart w:id="83" w:name="_Toc493250571"/>
      <w:bookmarkStart w:id="84" w:name="_Toc493510253"/>
      <w:bookmarkStart w:id="85" w:name="_Toc493511045"/>
      <w:bookmarkStart w:id="86" w:name="_Toc493511996"/>
      <w:bookmarkStart w:id="87" w:name="_Toc493543065"/>
      <w:bookmarkStart w:id="88" w:name="_Toc493543106"/>
      <w:bookmarkEnd w:id="79"/>
      <w:bookmarkEnd w:id="80"/>
      <w:bookmarkEnd w:id="81"/>
      <w:bookmarkEnd w:id="82"/>
      <w:bookmarkEnd w:id="83"/>
      <w:bookmarkEnd w:id="84"/>
      <w:bookmarkEnd w:id="85"/>
      <w:bookmarkEnd w:id="86"/>
      <w:bookmarkEnd w:id="87"/>
      <w:bookmarkEnd w:id="88"/>
      <w:r>
        <w:t>Migration and economic conditions have moved together</w:t>
      </w:r>
    </w:p>
    <w:p w14:paraId="3AA0BCFA" w14:textId="77777777" w:rsidR="007B0C4F" w:rsidRDefault="00CB3BEC" w:rsidP="00631304">
      <w:r w:rsidRPr="00CB3BEC">
        <w:t>Since World War</w:t>
      </w:r>
      <w:r w:rsidR="00094FA3">
        <w:t xml:space="preserve"> II</w:t>
      </w:r>
      <w:r w:rsidRPr="00CB3BEC">
        <w:t xml:space="preserve">, economic growth in Australia has been relatively stable. Recent decades have been especially noteworthy, as the economy has recorded 26 years of uninterrupted economic growth — a remarkable feat considering the rest of the </w:t>
      </w:r>
      <w:r w:rsidR="00CC4CC3">
        <w:t xml:space="preserve">world’s </w:t>
      </w:r>
      <w:r w:rsidRPr="00CB3BEC">
        <w:t xml:space="preserve">advanced economies experienced deep recessions following the Global Financial Crisis of 2008. </w:t>
      </w:r>
      <w:r w:rsidR="00CC4CC3">
        <w:t>NOM</w:t>
      </w:r>
      <w:r w:rsidR="007B0C4F" w:rsidRPr="00DC385A">
        <w:t xml:space="preserve"> has moved roughly in line with economic conditions</w:t>
      </w:r>
      <w:r w:rsidR="00021968">
        <w:t xml:space="preserve"> — </w:t>
      </w:r>
      <w:r w:rsidR="007B0C4F" w:rsidRPr="00DC385A">
        <w:t>rising during periods of strong economic activity and falling during periods of economic weakness, including recessions</w:t>
      </w:r>
      <w:r w:rsidR="007B0C4F">
        <w:t xml:space="preserve"> (</w:t>
      </w:r>
      <w:r w:rsidR="00EA122F">
        <w:t xml:space="preserve">Figure </w:t>
      </w:r>
      <w:r w:rsidR="008C1147">
        <w:t>20</w:t>
      </w:r>
      <w:r w:rsidR="007B0C4F">
        <w:t>)</w:t>
      </w:r>
      <w:r w:rsidR="000A07A2">
        <w:t>.</w:t>
      </w:r>
    </w:p>
    <w:p w14:paraId="437E8F9F" w14:textId="77777777" w:rsidR="007B0C4F" w:rsidRDefault="007B0C4F" w:rsidP="00631304">
      <w:r w:rsidRPr="00DC385A">
        <w:t>Migration was strong during the immediate post</w:t>
      </w:r>
      <w:r w:rsidR="00021968">
        <w:noBreakHyphen/>
      </w:r>
      <w:r w:rsidRPr="00DC385A">
        <w:t>war growth period of the 1950s and 1960s. Net inflows reduced during the 1970s when unemployment was high, and increased again in the 1980s before retracting du</w:t>
      </w:r>
      <w:r w:rsidR="000A07A2">
        <w:t>ring the early 1990s recession.</w:t>
      </w:r>
    </w:p>
    <w:p w14:paraId="6958A791" w14:textId="77777777" w:rsidR="007B0C4F" w:rsidRPr="009101C0" w:rsidRDefault="007B0C4F" w:rsidP="00631304">
      <w:r w:rsidRPr="009101C0">
        <w:lastRenderedPageBreak/>
        <w:t xml:space="preserve">Australia experienced persistent strong growth in real incomes over the 2000s as the terms of trade increased to historically high levels. Migration rose over this period as a share of the population, peaking during the Global Financial Crisis </w:t>
      </w:r>
      <w:r w:rsidR="00CC4CC3">
        <w:t>in</w:t>
      </w:r>
      <w:r w:rsidR="00CC4CC3" w:rsidRPr="009101C0">
        <w:t xml:space="preserve"> </w:t>
      </w:r>
      <w:r w:rsidRPr="009101C0">
        <w:t>2008. Since then, migration has remained above historical levels</w:t>
      </w:r>
      <w:r>
        <w:t>.</w:t>
      </w:r>
    </w:p>
    <w:p w14:paraId="09215998" w14:textId="77777777" w:rsidR="007B0C4F" w:rsidRDefault="007B0C4F" w:rsidP="000B438C">
      <w:pPr>
        <w:pStyle w:val="ChartMainHeading"/>
      </w:pPr>
      <w:bookmarkStart w:id="89" w:name="_Ref491424829"/>
      <w:r w:rsidRPr="00184AC2">
        <w:t xml:space="preserve">Figure </w:t>
      </w:r>
      <w:bookmarkEnd w:id="89"/>
      <w:r w:rsidR="008C1147">
        <w:t>20</w:t>
      </w:r>
      <w:r w:rsidRPr="00184AC2">
        <w:t xml:space="preserve">: </w:t>
      </w:r>
      <w:r w:rsidRPr="00DC385A">
        <w:t>Real GDP growth and net overseas migration over time</w:t>
      </w:r>
    </w:p>
    <w:p w14:paraId="5F76CF9E" w14:textId="63C491E4" w:rsidR="00F148E0" w:rsidRDefault="00302A39" w:rsidP="005F3E79">
      <w:pPr>
        <w:pStyle w:val="ChartGraphic"/>
      </w:pPr>
      <w:r>
        <w:pict w14:anchorId="3B812065">
          <v:shape id="_x0000_i1048" type="#_x0000_t75" style="width:445.5pt;height:230.25pt" o:preferrelative="f">
            <v:imagedata r:id="rId76" o:title="" cropbottom="431f" cropright="504f"/>
            <o:lock v:ext="edit" aspectratio="f"/>
          </v:shape>
        </w:pict>
      </w:r>
    </w:p>
    <w:p w14:paraId="6C07D176" w14:textId="77777777" w:rsidR="004D501B" w:rsidRPr="00381B16" w:rsidRDefault="004D501B" w:rsidP="00F148E0">
      <w:pPr>
        <w:pStyle w:val="ChartorTableNote"/>
      </w:pPr>
      <w:r w:rsidRPr="00381B16">
        <w:t xml:space="preserve">Note: NOM contains a number of series breaks. For a full description see Phillips, </w:t>
      </w:r>
      <w:proofErr w:type="spellStart"/>
      <w:r w:rsidRPr="00381B16">
        <w:t>Klapdor</w:t>
      </w:r>
      <w:proofErr w:type="spellEnd"/>
      <w:r w:rsidRPr="00381B16">
        <w:t>, &amp; Simon</w:t>
      </w:r>
      <w:r w:rsidRPr="00381B16">
        <w:noBreakHyphen/>
        <w:t>Davies 2010.</w:t>
      </w:r>
    </w:p>
    <w:p w14:paraId="02FB9FBF" w14:textId="77777777" w:rsidR="00F148E0" w:rsidRDefault="007B0C4F" w:rsidP="00A36CBF">
      <w:pPr>
        <w:pStyle w:val="ChartorTableNote"/>
      </w:pPr>
      <w:r w:rsidRPr="007B0C4F">
        <w:t>Source</w:t>
      </w:r>
      <w:r w:rsidRPr="00DC385A">
        <w:t>:</w:t>
      </w:r>
      <w:r w:rsidR="00F148E0">
        <w:t xml:space="preserve"> </w:t>
      </w:r>
      <w:proofErr w:type="spellStart"/>
      <w:r w:rsidR="00D013CF">
        <w:t>Butlin</w:t>
      </w:r>
      <w:proofErr w:type="spellEnd"/>
      <w:r w:rsidR="00D013CF">
        <w:t xml:space="preserve"> 1977</w:t>
      </w:r>
      <w:r w:rsidR="00B72E88">
        <w:t>;</w:t>
      </w:r>
      <w:r w:rsidR="00C711AC">
        <w:t xml:space="preserve"> </w:t>
      </w:r>
      <w:r w:rsidR="00CA2C67">
        <w:t>Australian Treasury 2001</w:t>
      </w:r>
      <w:r w:rsidR="00A4670D">
        <w:t xml:space="preserve">; </w:t>
      </w:r>
      <w:r w:rsidR="00CA2C67">
        <w:t>ABS 20</w:t>
      </w:r>
      <w:r w:rsidR="001F5756">
        <w:t>14</w:t>
      </w:r>
      <w:r w:rsidR="00D013CF">
        <w:t>a</w:t>
      </w:r>
      <w:r w:rsidR="00A4670D">
        <w:t xml:space="preserve">; </w:t>
      </w:r>
      <w:r w:rsidR="00CA2C67">
        <w:t>ABS 201</w:t>
      </w:r>
      <w:r w:rsidR="00D013CF">
        <w:t>7</w:t>
      </w:r>
      <w:r w:rsidR="00CA2C67">
        <w:t>a</w:t>
      </w:r>
      <w:r w:rsidR="00A4670D">
        <w:t>;</w:t>
      </w:r>
      <w:r w:rsidR="00CA2C67">
        <w:t xml:space="preserve"> </w:t>
      </w:r>
      <w:r w:rsidRPr="00DC385A">
        <w:t>ABS</w:t>
      </w:r>
      <w:r w:rsidR="00CA2C67">
        <w:t xml:space="preserve"> 2016</w:t>
      </w:r>
      <w:r w:rsidR="00D013CF">
        <w:t>c</w:t>
      </w:r>
      <w:r w:rsidR="00A4670D">
        <w:t xml:space="preserve">; </w:t>
      </w:r>
      <w:r w:rsidRPr="00DC385A">
        <w:t xml:space="preserve">Phillips, </w:t>
      </w:r>
      <w:proofErr w:type="spellStart"/>
      <w:r w:rsidRPr="00DC385A">
        <w:t>Klapdor</w:t>
      </w:r>
      <w:proofErr w:type="spellEnd"/>
      <w:r w:rsidR="00A4670D">
        <w:t xml:space="preserve"> &amp;</w:t>
      </w:r>
      <w:r w:rsidRPr="00DC385A">
        <w:t xml:space="preserve"> Simon</w:t>
      </w:r>
      <w:r w:rsidR="00021968">
        <w:noBreakHyphen/>
      </w:r>
      <w:r w:rsidRPr="00DC385A">
        <w:t>Davies</w:t>
      </w:r>
      <w:r w:rsidR="00A4670D">
        <w:t xml:space="preserve"> 2010</w:t>
      </w:r>
      <w:r w:rsidR="000A07A2">
        <w:t>.</w:t>
      </w:r>
    </w:p>
    <w:p w14:paraId="0A2C09E1" w14:textId="77777777" w:rsidR="007B0C4F" w:rsidRDefault="007B0C4F" w:rsidP="00F148E0">
      <w:r>
        <w:t xml:space="preserve">In </w:t>
      </w:r>
      <w:r w:rsidR="00721643">
        <w:t>F</w:t>
      </w:r>
      <w:r>
        <w:t xml:space="preserve">igure </w:t>
      </w:r>
      <w:r w:rsidR="008C1147">
        <w:t>20</w:t>
      </w:r>
      <w:r>
        <w:t xml:space="preserve">, peaks in economic activity have often slightly preceded peaks in NOM. </w:t>
      </w:r>
      <w:r w:rsidR="00726F78" w:rsidRPr="00726F78">
        <w:t xml:space="preserve">This suggests that Australia takes in larger numbers </w:t>
      </w:r>
      <w:r w:rsidR="00726F78">
        <w:t xml:space="preserve">of migrants </w:t>
      </w:r>
      <w:r w:rsidR="00726F78" w:rsidRPr="00726F78">
        <w:t>when economic conditions are strong and</w:t>
      </w:r>
      <w:r w:rsidR="00CA2C67">
        <w:t xml:space="preserve"> </w:t>
      </w:r>
      <w:r w:rsidR="00726F78" w:rsidRPr="00726F78">
        <w:t>fewer migr</w:t>
      </w:r>
      <w:r w:rsidR="000A07A2">
        <w:t>ants when conditions are weak.</w:t>
      </w:r>
    </w:p>
    <w:p w14:paraId="5683A5A7" w14:textId="77777777" w:rsidR="007B0C4F" w:rsidRDefault="002D66FC" w:rsidP="00631304">
      <w:r>
        <w:t>There is</w:t>
      </w:r>
      <w:r w:rsidR="007B0C4F">
        <w:t xml:space="preserve"> </w:t>
      </w:r>
      <w:r w:rsidR="005D3393">
        <w:t>considerable</w:t>
      </w:r>
      <w:r w:rsidR="007B0C4F">
        <w:t xml:space="preserve"> evidence </w:t>
      </w:r>
      <w:r>
        <w:t>pointing</w:t>
      </w:r>
      <w:r w:rsidR="007B0C4F">
        <w:t xml:space="preserve"> to the role of migrants in sustaining or fostering strong economic growth</w:t>
      </w:r>
      <w:r w:rsidR="00BD4EFE">
        <w:t xml:space="preserve"> over the longer term</w:t>
      </w:r>
      <w:r w:rsidR="007B0C4F">
        <w:t xml:space="preserve">. </w:t>
      </w:r>
      <w:r w:rsidR="00E20A5A">
        <w:t xml:space="preserve">The </w:t>
      </w:r>
      <w:r w:rsidR="00C711AC" w:rsidRPr="00510DBE">
        <w:t>2015</w:t>
      </w:r>
      <w:r w:rsidR="00C711AC">
        <w:rPr>
          <w:i/>
        </w:rPr>
        <w:t xml:space="preserve"> </w:t>
      </w:r>
      <w:r w:rsidR="00E20A5A" w:rsidRPr="00510DBE">
        <w:rPr>
          <w:i/>
        </w:rPr>
        <w:t>Intergenerational Report</w:t>
      </w:r>
      <w:r w:rsidR="00E20A5A">
        <w:t xml:space="preserve"> </w:t>
      </w:r>
      <w:r w:rsidR="00CA2C67">
        <w:t xml:space="preserve">(Australian Government 2015) </w:t>
      </w:r>
      <w:r w:rsidR="00E20A5A">
        <w:t>estimated that, over the</w:t>
      </w:r>
      <w:r w:rsidR="00BD5F3B">
        <w:t xml:space="preserve"> 40</w:t>
      </w:r>
      <w:r w:rsidR="00E20A5A">
        <w:t xml:space="preserve"> years to 2015, population factors contributed </w:t>
      </w:r>
      <w:r w:rsidR="0030782D">
        <w:t>almost</w:t>
      </w:r>
      <w:r w:rsidR="00E20A5A">
        <w:t xml:space="preserve"> 18 per cent of the 1.7 per cent </w:t>
      </w:r>
      <w:r w:rsidR="0030782D">
        <w:t xml:space="preserve">annual average growth in </w:t>
      </w:r>
      <w:r w:rsidR="00E20A5A">
        <w:t>GDP per person</w:t>
      </w:r>
      <w:r w:rsidR="0030782D">
        <w:t xml:space="preserve">. This was mainly due to the growth in the working age share of the population. </w:t>
      </w:r>
      <w:r w:rsidR="0052522A">
        <w:t xml:space="preserve">This suggests that </w:t>
      </w:r>
      <w:r w:rsidR="007B0C4F" w:rsidRPr="00DC385A">
        <w:t xml:space="preserve">migration </w:t>
      </w:r>
      <w:r w:rsidR="00D33698">
        <w:t xml:space="preserve">helped the economy </w:t>
      </w:r>
      <w:r w:rsidR="007B0C4F" w:rsidRPr="00DC385A">
        <w:t>successfully weather the Global Financial Crisis and the slow global growth and poor eco</w:t>
      </w:r>
      <w:r w:rsidR="000A07A2">
        <w:t>nomic conditions that followed.</w:t>
      </w:r>
    </w:p>
    <w:p w14:paraId="1376C8E2" w14:textId="77777777" w:rsidR="007B0C4F" w:rsidRDefault="007B0C4F" w:rsidP="00631304">
      <w:r>
        <w:t>GDP per person provides a better measure of living standards</w:t>
      </w:r>
      <w:r w:rsidR="00CA2C67">
        <w:t xml:space="preserve"> than total GDP</w:t>
      </w:r>
      <w:r w:rsidR="0061178E">
        <w:t>. However</w:t>
      </w:r>
      <w:r>
        <w:t xml:space="preserve">, steady positive movements in total GDP also bring benefits in their own right </w:t>
      </w:r>
      <w:r w:rsidR="0061178E">
        <w:t>by</w:t>
      </w:r>
      <w:r>
        <w:t xml:space="preserve"> creating a stable and positive macroeconomic environment. Such an environment increases the level of certainty that people and businesses have in making decisions and improves efficiency in the allocation o</w:t>
      </w:r>
      <w:r w:rsidR="000A07A2">
        <w:t>f resources across the economy.</w:t>
      </w:r>
    </w:p>
    <w:p w14:paraId="4F054CC2" w14:textId="77777777" w:rsidR="007B0C4F" w:rsidRDefault="00CA2C67" w:rsidP="00631304">
      <w:r>
        <w:t>Migrants have</w:t>
      </w:r>
      <w:r w:rsidR="007B0C4F">
        <w:t xml:space="preserve"> contribut</w:t>
      </w:r>
      <w:r>
        <w:t>ed</w:t>
      </w:r>
      <w:r w:rsidR="007B0C4F">
        <w:t xml:space="preserve"> to </w:t>
      </w:r>
      <w:r>
        <w:t xml:space="preserve">both </w:t>
      </w:r>
      <w:r w:rsidR="007B0C4F">
        <w:t>Australia</w:t>
      </w:r>
      <w:r w:rsidR="00021968">
        <w:t>’</w:t>
      </w:r>
      <w:r w:rsidR="007B0C4F">
        <w:t xml:space="preserve">s total GDP </w:t>
      </w:r>
      <w:r>
        <w:t>and</w:t>
      </w:r>
      <w:r w:rsidR="007B0C4F">
        <w:t xml:space="preserve"> GDP per person</w:t>
      </w:r>
      <w:r w:rsidR="00021968">
        <w:t xml:space="preserve">. </w:t>
      </w:r>
      <w:r w:rsidR="007B0C4F">
        <w:t xml:space="preserve">Just like </w:t>
      </w:r>
      <w:r>
        <w:t xml:space="preserve">total </w:t>
      </w:r>
      <w:r w:rsidR="007B0C4F">
        <w:t>GDP, GDP</w:t>
      </w:r>
      <w:r w:rsidR="000A6C16">
        <w:t> </w:t>
      </w:r>
      <w:r w:rsidR="007B0C4F">
        <w:t>per person has been rising over time (</w:t>
      </w:r>
      <w:r w:rsidR="00EA122F">
        <w:t xml:space="preserve">Figure </w:t>
      </w:r>
      <w:r w:rsidR="008C1147">
        <w:t>21</w:t>
      </w:r>
      <w:r w:rsidR="000A07A2">
        <w:t>).</w:t>
      </w:r>
    </w:p>
    <w:p w14:paraId="195E9355" w14:textId="77777777" w:rsidR="007B0C4F" w:rsidRDefault="007B0C4F" w:rsidP="000B438C">
      <w:pPr>
        <w:pStyle w:val="ChartMainHeading"/>
      </w:pPr>
      <w:bookmarkStart w:id="90" w:name="_Ref491424990"/>
      <w:r w:rsidRPr="00184AC2">
        <w:lastRenderedPageBreak/>
        <w:t xml:space="preserve">Figure </w:t>
      </w:r>
      <w:bookmarkEnd w:id="90"/>
      <w:r w:rsidR="008C1147">
        <w:t>21</w:t>
      </w:r>
      <w:r w:rsidRPr="00184AC2">
        <w:t xml:space="preserve">: Real </w:t>
      </w:r>
      <w:r w:rsidR="00CA2C67">
        <w:t>g</w:t>
      </w:r>
      <w:r w:rsidRPr="00184AC2">
        <w:t xml:space="preserve">ross </w:t>
      </w:r>
      <w:r w:rsidR="00CA2C67">
        <w:t>d</w:t>
      </w:r>
      <w:r w:rsidRPr="00184AC2">
        <w:t xml:space="preserve">omestic </w:t>
      </w:r>
      <w:r w:rsidR="00CA2C67">
        <w:t>p</w:t>
      </w:r>
      <w:r w:rsidRPr="00184AC2">
        <w:t xml:space="preserve">roduct </w:t>
      </w:r>
      <w:r w:rsidR="0030782D">
        <w:t>p</w:t>
      </w:r>
      <w:r w:rsidRPr="00184AC2">
        <w:t xml:space="preserve">er </w:t>
      </w:r>
      <w:r w:rsidR="0030782D">
        <w:t>p</w:t>
      </w:r>
      <w:r w:rsidRPr="00184AC2">
        <w:t>erson</w:t>
      </w:r>
      <w:r>
        <w:t>, indexed at 19</w:t>
      </w:r>
      <w:r w:rsidR="00586F12">
        <w:t>59-</w:t>
      </w:r>
      <w:r>
        <w:t>60 levels</w:t>
      </w:r>
    </w:p>
    <w:p w14:paraId="5C46EA16" w14:textId="0D496D27" w:rsidR="007B0C4F" w:rsidRPr="00224A23" w:rsidRDefault="00302A39" w:rsidP="005F3E79">
      <w:pPr>
        <w:pStyle w:val="ChartGraphic"/>
      </w:pPr>
      <w:r>
        <w:pict w14:anchorId="54C10E2B">
          <v:shape id="_x0000_i1049" type="#_x0000_t75" style="width:438.75pt;height:199.5pt">
            <v:imagedata r:id="rId77" o:title=""/>
          </v:shape>
        </w:pict>
      </w:r>
    </w:p>
    <w:p w14:paraId="278F2F67" w14:textId="77777777" w:rsidR="00B20EA1" w:rsidRPr="00F148E0" w:rsidRDefault="00E33009" w:rsidP="00A36CBF">
      <w:pPr>
        <w:pStyle w:val="ChartorTableNote"/>
      </w:pPr>
      <w:r w:rsidRPr="003E4AD9">
        <w:t>Source:</w:t>
      </w:r>
      <w:r w:rsidR="009E1456">
        <w:t xml:space="preserve"> </w:t>
      </w:r>
      <w:r w:rsidR="00BD4EFE" w:rsidRPr="003E4AD9">
        <w:t>ABS 2014</w:t>
      </w:r>
      <w:r w:rsidR="00D013CF">
        <w:t>a</w:t>
      </w:r>
      <w:r w:rsidR="00344631" w:rsidRPr="003E4AD9">
        <w:t>, ABS 201</w:t>
      </w:r>
      <w:r w:rsidR="00D013CF">
        <w:t>7</w:t>
      </w:r>
      <w:r w:rsidR="00344631" w:rsidRPr="003E4AD9">
        <w:t>a</w:t>
      </w:r>
      <w:r w:rsidR="00D013CF">
        <w:t xml:space="preserve"> &amp;</w:t>
      </w:r>
      <w:r w:rsidR="00344631" w:rsidRPr="003E4AD9">
        <w:t xml:space="preserve"> </w:t>
      </w:r>
      <w:r w:rsidR="003E4AD9" w:rsidRPr="003E4AD9">
        <w:t>ABS 2017</w:t>
      </w:r>
      <w:r w:rsidR="00D013CF">
        <w:t>h</w:t>
      </w:r>
      <w:r w:rsidR="00344631" w:rsidRPr="003E4AD9">
        <w:t>.</w:t>
      </w:r>
    </w:p>
    <w:p w14:paraId="3B1A3AFD" w14:textId="77777777" w:rsidR="007B0C4F" w:rsidRPr="00904ADE" w:rsidRDefault="007B0C4F" w:rsidP="00501C6E">
      <w:r w:rsidRPr="00904ADE">
        <w:t>Migrants, particularly skill</w:t>
      </w:r>
      <w:r w:rsidR="00E00B57">
        <w:t xml:space="preserve"> stream</w:t>
      </w:r>
      <w:r w:rsidRPr="00904ADE">
        <w:t xml:space="preserve"> migrants wh</w:t>
      </w:r>
      <w:r w:rsidR="0030782D">
        <w:t>o</w:t>
      </w:r>
      <w:r w:rsidRPr="00904ADE">
        <w:t xml:space="preserve"> </w:t>
      </w:r>
      <w:r w:rsidR="00BD4EFE">
        <w:t>account for around 70 per cent of</w:t>
      </w:r>
      <w:r w:rsidRPr="00904ADE">
        <w:t xml:space="preserve"> </w:t>
      </w:r>
      <w:r w:rsidR="00E51EA5">
        <w:t>Australia’s</w:t>
      </w:r>
      <w:r w:rsidR="00E51EA5" w:rsidRPr="00904ADE">
        <w:t xml:space="preserve"> </w:t>
      </w:r>
      <w:r w:rsidRPr="00904ADE">
        <w:t>migrant intake, contribute to GDP per person in a number of ways. They offset Australia</w:t>
      </w:r>
      <w:r w:rsidR="00021968" w:rsidRPr="00904ADE">
        <w:t>’</w:t>
      </w:r>
      <w:r w:rsidRPr="00904ADE">
        <w:t>s ageing population, improve labour</w:t>
      </w:r>
      <w:r w:rsidR="00CF5E73">
        <w:t xml:space="preserve"> force</w:t>
      </w:r>
      <w:r w:rsidRPr="00904ADE">
        <w:t xml:space="preserve"> participation and productivity, and help businesses to source skills that are difficult to develop at short notice.</w:t>
      </w:r>
    </w:p>
    <w:p w14:paraId="7855DB11" w14:textId="77777777" w:rsidR="00620C54" w:rsidRDefault="007B0C4F" w:rsidP="00631304">
      <w:r w:rsidRPr="00904ADE">
        <w:t>Unemployment among skilled migrants is low</w:t>
      </w:r>
      <w:r w:rsidR="002D66FC">
        <w:t>. T</w:t>
      </w:r>
      <w:r w:rsidR="007E16B2">
        <w:t xml:space="preserve">he unemployment rate of the skill stream (including both primary and secondary applicants) </w:t>
      </w:r>
      <w:r w:rsidR="002D66FC">
        <w:t xml:space="preserve">is </w:t>
      </w:r>
      <w:r w:rsidR="00620C54">
        <w:t>comparable to unemployment rates in the general population</w:t>
      </w:r>
      <w:r w:rsidR="007E16B2">
        <w:t xml:space="preserve"> after migrants </w:t>
      </w:r>
      <w:r w:rsidR="002D66FC">
        <w:t>have been</w:t>
      </w:r>
      <w:r w:rsidR="007E16B2">
        <w:t xml:space="preserve"> in Australia for </w:t>
      </w:r>
      <w:r w:rsidR="00B72E88">
        <w:t xml:space="preserve">only </w:t>
      </w:r>
      <w:r w:rsidR="007E16B2">
        <w:t>1</w:t>
      </w:r>
      <w:r w:rsidR="00620C54">
        <w:t>8</w:t>
      </w:r>
      <w:r w:rsidR="007E16B2">
        <w:t xml:space="preserve"> months (</w:t>
      </w:r>
      <w:r w:rsidR="00CE789F">
        <w:t>DIBP 2016</w:t>
      </w:r>
      <w:r w:rsidR="00620C54">
        <w:t>c</w:t>
      </w:r>
      <w:r w:rsidR="007E16B2">
        <w:t>).</w:t>
      </w:r>
    </w:p>
    <w:p w14:paraId="10C20F3E" w14:textId="77777777" w:rsidR="007B0C4F" w:rsidRPr="00904ADE" w:rsidRDefault="004E5A94" w:rsidP="00631304">
      <w:r>
        <w:t xml:space="preserve">Skill stream migrants are also </w:t>
      </w:r>
      <w:r w:rsidR="00CB3BEC">
        <w:t>estimated to</w:t>
      </w:r>
      <w:r w:rsidR="007B0C4F" w:rsidRPr="00904ADE">
        <w:t xml:space="preserve"> contribute more to government revenue through taxation than they </w:t>
      </w:r>
      <w:r w:rsidR="00CB3BEC">
        <w:t>receive</w:t>
      </w:r>
      <w:r w:rsidR="00CB3BEC" w:rsidRPr="00904ADE">
        <w:t xml:space="preserve"> </w:t>
      </w:r>
      <w:r w:rsidR="007B0C4F" w:rsidRPr="00904ADE">
        <w:t>through government services and benefits. Even migrants in the family stream, who are not brought into Australia for their skills, are estimated to have a positive fiscal impact over their lifetimes</w:t>
      </w:r>
      <w:r w:rsidR="00CB3BEC">
        <w:t>, provided that they arrive relatively early in their working life.</w:t>
      </w:r>
    </w:p>
    <w:p w14:paraId="7FCF7EEF" w14:textId="77777777" w:rsidR="007B0C4F" w:rsidRDefault="000A6C16" w:rsidP="00631304">
      <w:r>
        <w:t>I</w:t>
      </w:r>
      <w:r w:rsidR="00A4670D">
        <w:t>n addition, t</w:t>
      </w:r>
      <w:r w:rsidR="007B0C4F" w:rsidRPr="00904ADE">
        <w:t xml:space="preserve">he increased diversity that migrants bring is likely to play an important role in helping </w:t>
      </w:r>
      <w:r w:rsidR="00E51EA5">
        <w:t>Australian</w:t>
      </w:r>
      <w:r w:rsidR="007B0C4F" w:rsidRPr="00904ADE">
        <w:t xml:space="preserve"> businesses to innovate in the face of intensified global compet</w:t>
      </w:r>
      <w:r w:rsidR="000A07A2">
        <w:t>ition and technological change.</w:t>
      </w:r>
    </w:p>
    <w:p w14:paraId="5645869E" w14:textId="77777777" w:rsidR="00E02B65" w:rsidRDefault="00E02B65" w:rsidP="00E02B65">
      <w:r>
        <w:t xml:space="preserve">In some ways, migration mirrors trade in the benefits it can bring to an economy. In general, migrants can bring with them productive skills and preferences for goods and services that are different to those of the local born population. These differences </w:t>
      </w:r>
      <w:r w:rsidR="002D66FC">
        <w:t xml:space="preserve">can </w:t>
      </w:r>
      <w:r>
        <w:t>generate wealth that would otherwise not exist by enabling specialisation of activity and international trade in goods and services. In contrast to international trade, migration realises these benefits onshore rather than across borders. However</w:t>
      </w:r>
      <w:r w:rsidR="009E1456">
        <w:t xml:space="preserve">, </w:t>
      </w:r>
      <w:r>
        <w:t>the gains from migration w</w:t>
      </w:r>
      <w:r w:rsidR="002D66FC">
        <w:t>ould</w:t>
      </w:r>
      <w:r>
        <w:t xml:space="preserve"> be greater than the gain from international trade in goods and services when the migrant has access to </w:t>
      </w:r>
      <w:r w:rsidR="00800175">
        <w:t>more opportunities or resources</w:t>
      </w:r>
      <w:r>
        <w:t xml:space="preserve"> in Austra</w:t>
      </w:r>
      <w:r w:rsidR="000A07A2">
        <w:t>lia than in their home country.</w:t>
      </w:r>
    </w:p>
    <w:p w14:paraId="444A358A" w14:textId="77777777" w:rsidR="001B72E6" w:rsidRDefault="00837F3D" w:rsidP="007F7BBE">
      <w:r w:rsidRPr="00837F3D">
        <w:t>In the Australian context, the Productivity Commission (2016) estimated that GDP per person would be around 7 per cent higher in 2060 under a business as usual case compared to a zero NOM scenario, or an average of 0.15 per cent higher growth each year. Consistent with the Productivity Commission’s finding, the IMF estimate</w:t>
      </w:r>
      <w:r w:rsidR="00A807C6">
        <w:t>s</w:t>
      </w:r>
      <w:r w:rsidRPr="00837F3D">
        <w:t xml:space="preserve"> that Australia’s current migration program will add </w:t>
      </w:r>
      <w:r>
        <w:t>between ½ and 1</w:t>
      </w:r>
      <w:r w:rsidRPr="00837F3D">
        <w:t xml:space="preserve"> percentage points to annual </w:t>
      </w:r>
      <w:r>
        <w:t xml:space="preserve">average </w:t>
      </w:r>
      <w:r w:rsidRPr="00837F3D">
        <w:t>GDP growth over the period 2020 to 2050 through its effect o</w:t>
      </w:r>
      <w:r w:rsidR="002D66FC">
        <w:t>f</w:t>
      </w:r>
      <w:r w:rsidRPr="00837F3D">
        <w:t xml:space="preserve"> limiting the economic impact of Australia’s ageing population (</w:t>
      </w:r>
      <w:r>
        <w:t>IMF 2017</w:t>
      </w:r>
      <w:r w:rsidR="00A36CBF">
        <w:t>).</w:t>
      </w:r>
    </w:p>
    <w:p w14:paraId="6DF4B650" w14:textId="77777777" w:rsidR="007B0C4F" w:rsidRPr="00DC385A" w:rsidRDefault="00837F3D" w:rsidP="007F7BBE">
      <w:r>
        <w:lastRenderedPageBreak/>
        <w:t>Another</w:t>
      </w:r>
      <w:r w:rsidR="00796ACD">
        <w:t xml:space="preserve"> </w:t>
      </w:r>
      <w:r w:rsidR="001B72E6">
        <w:t xml:space="preserve">IMF </w:t>
      </w:r>
      <w:r w:rsidR="00796ACD">
        <w:t>study</w:t>
      </w:r>
      <w:r>
        <w:t xml:space="preserve"> </w:t>
      </w:r>
      <w:r w:rsidRPr="00837F3D">
        <w:t>(</w:t>
      </w:r>
      <w:proofErr w:type="spellStart"/>
      <w:r w:rsidRPr="00837F3D">
        <w:t>Jaumotte</w:t>
      </w:r>
      <w:proofErr w:type="spellEnd"/>
      <w:r w:rsidRPr="00837F3D">
        <w:t xml:space="preserve">, </w:t>
      </w:r>
      <w:proofErr w:type="spellStart"/>
      <w:r w:rsidRPr="00837F3D">
        <w:t>Koloskova</w:t>
      </w:r>
      <w:proofErr w:type="spellEnd"/>
      <w:r w:rsidRPr="00837F3D">
        <w:t xml:space="preserve"> &amp; </w:t>
      </w:r>
      <w:proofErr w:type="spellStart"/>
      <w:r w:rsidRPr="00837F3D">
        <w:t>Saxena</w:t>
      </w:r>
      <w:proofErr w:type="spellEnd"/>
      <w:r w:rsidRPr="00837F3D">
        <w:t xml:space="preserve"> 2016)</w:t>
      </w:r>
      <w:r w:rsidR="00796ACD">
        <w:t xml:space="preserve"> found that the </w:t>
      </w:r>
      <w:r w:rsidR="007F7BBE">
        <w:t xml:space="preserve">benefits from migration seem to be shared across the population, </w:t>
      </w:r>
      <w:r w:rsidR="00E77323">
        <w:t xml:space="preserve">although the study </w:t>
      </w:r>
      <w:r w:rsidR="00F93D2F">
        <w:t>grouped</w:t>
      </w:r>
      <w:r w:rsidR="00E77323">
        <w:t xml:space="preserve"> the bottom 90 per cent</w:t>
      </w:r>
      <w:r w:rsidR="00F93D2F">
        <w:t xml:space="preserve"> of income earners</w:t>
      </w:r>
      <w:r w:rsidR="00E77323">
        <w:t xml:space="preserve"> and found</w:t>
      </w:r>
      <w:r w:rsidR="00F93D2F">
        <w:t xml:space="preserve"> that this cohort and the top 10 per cent of income earners </w:t>
      </w:r>
      <w:r w:rsidR="00E77323">
        <w:t>both benefitted</w:t>
      </w:r>
      <w:r w:rsidR="007F7BBE">
        <w:t xml:space="preserve">. Moreover, both high and low skilled migrants can contribute to </w:t>
      </w:r>
      <w:proofErr w:type="gramStart"/>
      <w:r w:rsidR="007F7BBE">
        <w:t>increase</w:t>
      </w:r>
      <w:r w:rsidR="006C61F5">
        <w:t>d</w:t>
      </w:r>
      <w:proofErr w:type="gramEnd"/>
      <w:r w:rsidR="007F7BBE">
        <w:t xml:space="preserve"> GDP per </w:t>
      </w:r>
      <w:r w:rsidR="00E77323">
        <w:t>capita. For lower</w:t>
      </w:r>
      <w:r w:rsidR="00E77323">
        <w:noBreakHyphen/>
      </w:r>
      <w:r w:rsidR="007F7BBE">
        <w:t>skilled migrants, this is particularly the case if there is a comp</w:t>
      </w:r>
      <w:r w:rsidR="00724931">
        <w:t>lementarity with native</w:t>
      </w:r>
      <w:r w:rsidR="00724931">
        <w:noBreakHyphen/>
        <w:t>born skills</w:t>
      </w:r>
      <w:r w:rsidR="007F7BBE">
        <w:t>. Such complementarities are more likely in fast-ag</w:t>
      </w:r>
      <w:r w:rsidR="00F93D2F">
        <w:t>e</w:t>
      </w:r>
      <w:r w:rsidR="007F7BBE">
        <w:t>ing societies with rising education levels</w:t>
      </w:r>
      <w:r w:rsidR="006C61F5">
        <w:t xml:space="preserve"> (like Australia)</w:t>
      </w:r>
      <w:r w:rsidR="007F7BBE">
        <w:t>, where shortages are bound to occur in certain parts of the economy, in particular in non</w:t>
      </w:r>
      <w:r w:rsidR="00F93D2F">
        <w:noBreakHyphen/>
      </w:r>
      <w:r w:rsidR="007F7BBE">
        <w:t>tradable low skilled services, for which imports cannot substitute.</w:t>
      </w:r>
    </w:p>
    <w:p w14:paraId="60030A54" w14:textId="77777777" w:rsidR="007B0C4F" w:rsidRPr="00DC385A" w:rsidRDefault="008E2E09" w:rsidP="002427F4">
      <w:pPr>
        <w:pStyle w:val="Heading3Numbered"/>
      </w:pPr>
      <w:r>
        <w:t>Migrants affect economic growth through several mechanisms</w:t>
      </w:r>
    </w:p>
    <w:p w14:paraId="6FB02EAD" w14:textId="77777777" w:rsidR="007B0C4F" w:rsidRPr="00346661" w:rsidRDefault="007B0C4F" w:rsidP="00631304">
      <w:r w:rsidRPr="00346661">
        <w:t xml:space="preserve">Migration contributes to the economy in a number of ways. These can be thought of as contributions through </w:t>
      </w:r>
      <w:r w:rsidRPr="009734CA">
        <w:t xml:space="preserve">the </w:t>
      </w:r>
      <w:r w:rsidR="00985BEE" w:rsidRPr="00351E78">
        <w:t>demand</w:t>
      </w:r>
      <w:r w:rsidRPr="00194464">
        <w:t xml:space="preserve"> side of the economy, and the </w:t>
      </w:r>
      <w:r w:rsidR="00985BEE" w:rsidRPr="00286AB8">
        <w:t>supply</w:t>
      </w:r>
      <w:r w:rsidRPr="00286AB8">
        <w:t xml:space="preserve"> side of the economy. On the demand side, permanent migrants increase overall </w:t>
      </w:r>
      <w:r w:rsidRPr="008A08E4">
        <w:t>consumption</w:t>
      </w:r>
      <w:r w:rsidRPr="00346661">
        <w:t xml:space="preserve"> in the economy by enlarging the pool of consumers, encouraging personal and business </w:t>
      </w:r>
      <w:r w:rsidR="00AA3B86" w:rsidRPr="008A08E4">
        <w:t>capital flows</w:t>
      </w:r>
      <w:r w:rsidRPr="00346661">
        <w:t xml:space="preserve">, and requiring </w:t>
      </w:r>
      <w:r w:rsidRPr="008A08E4">
        <w:t>government services</w:t>
      </w:r>
      <w:r w:rsidRPr="00346661">
        <w:t xml:space="preserve">. Temporary migrants can increase </w:t>
      </w:r>
      <w:r w:rsidRPr="008A08E4">
        <w:t>exports</w:t>
      </w:r>
      <w:r w:rsidRPr="00346661">
        <w:t>, including education exports. On the supply side, migration adds to the supply of goods and services through the 3Ps</w:t>
      </w:r>
      <w:r w:rsidR="00021968" w:rsidRPr="009734CA">
        <w:t xml:space="preserve"> — </w:t>
      </w:r>
      <w:r w:rsidRPr="008A08E4">
        <w:t>population</w:t>
      </w:r>
      <w:r w:rsidRPr="00346661">
        <w:t xml:space="preserve">, </w:t>
      </w:r>
      <w:r w:rsidRPr="008A08E4">
        <w:t>participation</w:t>
      </w:r>
      <w:r w:rsidRPr="00346661">
        <w:t xml:space="preserve"> and </w:t>
      </w:r>
      <w:r w:rsidRPr="008A08E4">
        <w:t>productivity</w:t>
      </w:r>
      <w:r w:rsidRPr="00346661">
        <w:t>.</w:t>
      </w:r>
    </w:p>
    <w:p w14:paraId="54FB8DD8" w14:textId="77777777" w:rsidR="007B0C4F" w:rsidRPr="00DC385A" w:rsidRDefault="007B0C4F" w:rsidP="00631304">
      <w:r w:rsidRPr="00DC385A">
        <w:t>Say</w:t>
      </w:r>
      <w:r w:rsidR="00021968">
        <w:t>’</w:t>
      </w:r>
      <w:r w:rsidRPr="00DC385A">
        <w:t xml:space="preserve">s Law </w:t>
      </w:r>
      <w:r w:rsidR="002B2F87">
        <w:t>suggests</w:t>
      </w:r>
      <w:r w:rsidR="0052522A">
        <w:t xml:space="preserve"> that</w:t>
      </w:r>
      <w:r w:rsidR="002B2F87">
        <w:t>, over time,</w:t>
      </w:r>
      <w:r w:rsidRPr="00DC385A">
        <w:t xml:space="preserve"> the supply of goods and services will grow by enough to meet the demand for goods and services. On the one hand, migrants work and participate in the local labour market. On the other hand, migrants consume and spend on locally produced goods and services, which in turn increases demand for all factors of production, incl</w:t>
      </w:r>
      <w:r w:rsidR="000A07A2">
        <w:t>uding land, capital and labour.</w:t>
      </w:r>
    </w:p>
    <w:p w14:paraId="517D7FFE" w14:textId="77777777" w:rsidR="007B0C4F" w:rsidRDefault="007B0C4F" w:rsidP="002427F4">
      <w:pPr>
        <w:pStyle w:val="Heading3Numbered"/>
      </w:pPr>
      <w:bookmarkStart w:id="91" w:name="_Toc491694298"/>
      <w:bookmarkStart w:id="92" w:name="_Toc491694356"/>
      <w:bookmarkStart w:id="93" w:name="_Toc491694382"/>
      <w:bookmarkEnd w:id="91"/>
      <w:bookmarkEnd w:id="92"/>
      <w:bookmarkEnd w:id="93"/>
      <w:r>
        <w:t xml:space="preserve">Migrants have </w:t>
      </w:r>
      <w:r w:rsidRPr="004D189B">
        <w:t>demand</w:t>
      </w:r>
      <w:r w:rsidR="00021968">
        <w:noBreakHyphen/>
      </w:r>
      <w:r>
        <w:t>side impacts on GDP</w:t>
      </w:r>
    </w:p>
    <w:p w14:paraId="56A41C06" w14:textId="77777777" w:rsidR="004D189B" w:rsidRDefault="004D189B" w:rsidP="002427F4">
      <w:pPr>
        <w:pStyle w:val="Heading4"/>
      </w:pPr>
      <w:r w:rsidRPr="0087771F">
        <w:t xml:space="preserve">Migrants add to </w:t>
      </w:r>
      <w:r w:rsidRPr="00385501">
        <w:t>consumption</w:t>
      </w:r>
      <w:r>
        <w:t xml:space="preserve"> in a similar way to </w:t>
      </w:r>
      <w:r w:rsidR="00CE6AAD">
        <w:t>Australian</w:t>
      </w:r>
      <w:r w:rsidR="00021968">
        <w:noBreakHyphen/>
      </w:r>
      <w:r w:rsidRPr="0087771F">
        <w:t>born</w:t>
      </w:r>
      <w:r w:rsidR="00F93D2F">
        <w:t xml:space="preserve"> consumers</w:t>
      </w:r>
    </w:p>
    <w:p w14:paraId="70D3E978" w14:textId="77777777" w:rsidR="004D189B" w:rsidRPr="00DC385A" w:rsidRDefault="004D189B" w:rsidP="00631304">
      <w:r w:rsidRPr="00DC385A">
        <w:t>Migration leads to a larger population, which leads to increased consumption. To the extent that the increased demand is for domestically produced goods and services, the additional</w:t>
      </w:r>
      <w:r w:rsidR="000A07A2">
        <w:t xml:space="preserve"> consumption will increase GDP.</w:t>
      </w:r>
    </w:p>
    <w:p w14:paraId="0CB091E4" w14:textId="77777777" w:rsidR="004D189B" w:rsidRDefault="004D189B" w:rsidP="00631304">
      <w:r w:rsidRPr="00DC385A">
        <w:t>In Australia, there is little difference in overall spending patterns for Australian</w:t>
      </w:r>
      <w:r w:rsidR="00021968">
        <w:noBreakHyphen/>
      </w:r>
      <w:r w:rsidRPr="00DC385A">
        <w:t>born and migrant households. In 2009</w:t>
      </w:r>
      <w:r w:rsidR="00021968">
        <w:noBreakHyphen/>
      </w:r>
      <w:r w:rsidRPr="00DC385A">
        <w:t>10, average weekly expenditure for the Australian</w:t>
      </w:r>
      <w:r w:rsidR="00021968">
        <w:noBreakHyphen/>
      </w:r>
      <w:r w:rsidRPr="00DC385A">
        <w:t>born population was $</w:t>
      </w:r>
      <w:r w:rsidRPr="00EF1BB5">
        <w:t>1</w:t>
      </w:r>
      <w:r w:rsidR="00EF6330">
        <w:t>,</w:t>
      </w:r>
      <w:r w:rsidRPr="00EF1BB5">
        <w:t>242</w:t>
      </w:r>
      <w:r w:rsidR="00EF6330">
        <w:t>,</w:t>
      </w:r>
      <w:r w:rsidR="00EF1BB5">
        <w:t> </w:t>
      </w:r>
      <w:r w:rsidRPr="00EF1BB5">
        <w:t>compared</w:t>
      </w:r>
      <w:r w:rsidRPr="00DC385A">
        <w:t xml:space="preserve"> with $1</w:t>
      </w:r>
      <w:r w:rsidR="00EF6330">
        <w:t>,</w:t>
      </w:r>
      <w:r w:rsidRPr="00DC385A">
        <w:t>225 for migrant households (</w:t>
      </w:r>
      <w:r w:rsidRPr="006566E3">
        <w:t>ABS 2015</w:t>
      </w:r>
      <w:r w:rsidR="00EF1BB5" w:rsidRPr="006566E3">
        <w:t>, cited in P</w:t>
      </w:r>
      <w:r w:rsidR="00401B0E" w:rsidRPr="006566E3">
        <w:t xml:space="preserve">roductivity </w:t>
      </w:r>
      <w:r w:rsidR="008C1147" w:rsidRPr="006566E3">
        <w:t>Commission</w:t>
      </w:r>
      <w:r w:rsidR="00EF1BB5" w:rsidRPr="006566E3">
        <w:t xml:space="preserve"> 2016</w:t>
      </w:r>
      <w:r w:rsidRPr="00DC385A">
        <w:t>). This suggests that while migrants increase GDP</w:t>
      </w:r>
      <w:r w:rsidR="00E00B57">
        <w:t xml:space="preserve"> through increased consumption</w:t>
      </w:r>
      <w:r w:rsidRPr="00DC385A">
        <w:t xml:space="preserve">, they are unlikely to affect GDP per capita </w:t>
      </w:r>
      <w:r w:rsidR="00E00B57">
        <w:t>through this mechanism</w:t>
      </w:r>
      <w:r w:rsidRPr="00DC385A">
        <w:t xml:space="preserve"> </w:t>
      </w:r>
      <w:r w:rsidR="002D66FC">
        <w:t xml:space="preserve">alone </w:t>
      </w:r>
      <w:r w:rsidRPr="00DC385A">
        <w:t xml:space="preserve">because they spend similar amounts to the </w:t>
      </w:r>
      <w:r w:rsidR="00CE6AAD">
        <w:t>Australian</w:t>
      </w:r>
      <w:r w:rsidR="00021968">
        <w:noBreakHyphen/>
      </w:r>
      <w:r w:rsidR="000A07A2">
        <w:t>born population.</w:t>
      </w:r>
    </w:p>
    <w:p w14:paraId="6CD97D84" w14:textId="77777777" w:rsidR="004D189B" w:rsidRDefault="00371FC7" w:rsidP="002427F4">
      <w:pPr>
        <w:pStyle w:val="Heading4"/>
      </w:pPr>
      <w:r>
        <w:t>Migrants may lead to increased</w:t>
      </w:r>
      <w:r w:rsidR="004D189B">
        <w:t xml:space="preserve"> </w:t>
      </w:r>
      <w:r w:rsidR="00AA3B86" w:rsidRPr="00385501">
        <w:t>cap</w:t>
      </w:r>
      <w:r w:rsidR="00AA3B86" w:rsidRPr="00501C6E">
        <w:t>ital flows</w:t>
      </w:r>
    </w:p>
    <w:p w14:paraId="6EB118CD" w14:textId="77777777" w:rsidR="00F148E0" w:rsidRDefault="00AA3B86" w:rsidP="00A36CBF">
      <w:r>
        <w:t>Mainstream</w:t>
      </w:r>
      <w:r w:rsidR="004D189B" w:rsidRPr="00DC385A">
        <w:t xml:space="preserve"> economic growth theory</w:t>
      </w:r>
      <w:r>
        <w:t xml:space="preserve"> suggests that</w:t>
      </w:r>
      <w:r w:rsidR="004D189B" w:rsidRPr="00DC385A">
        <w:t xml:space="preserve"> labour and capital are complementary inputs to production. For example, workers are able to produce more when they have </w:t>
      </w:r>
      <w:r>
        <w:t>the right tools and equipment</w:t>
      </w:r>
      <w:r w:rsidRPr="00DC385A">
        <w:t xml:space="preserve"> </w:t>
      </w:r>
      <w:r w:rsidR="004D189B" w:rsidRPr="00DC385A">
        <w:t>to assist them. Everything else being equal, a larger workforce</w:t>
      </w:r>
      <w:r w:rsidR="004D189B">
        <w:t xml:space="preserve"> </w:t>
      </w:r>
      <w:r w:rsidR="004D189B" w:rsidRPr="00DC385A">
        <w:t>should increase the returns to capital, which should in tur</w:t>
      </w:r>
      <w:r w:rsidR="000A07A2">
        <w:t>n encourage further investment.</w:t>
      </w:r>
    </w:p>
    <w:p w14:paraId="1B11673D" w14:textId="77777777" w:rsidR="004D189B" w:rsidRDefault="00AA3B86" w:rsidP="00C57890">
      <w:pPr>
        <w:keepNext/>
        <w:keepLines/>
      </w:pPr>
      <w:r>
        <w:lastRenderedPageBreak/>
        <w:t xml:space="preserve">Another potential benefit of migration is the extent to which </w:t>
      </w:r>
      <w:r w:rsidR="00EF1BB5">
        <w:t>migrants</w:t>
      </w:r>
      <w:r>
        <w:t xml:space="preserve"> attract capital inflows into Australia from their countries of origin. There </w:t>
      </w:r>
      <w:r w:rsidR="00EF1BB5">
        <w:t>is</w:t>
      </w:r>
      <w:r w:rsidR="004D189B" w:rsidRPr="00DC385A">
        <w:t xml:space="preserve"> evidence internationally that migration can lead to increased foreign</w:t>
      </w:r>
      <w:r>
        <w:t xml:space="preserve"> capital inflows</w:t>
      </w:r>
      <w:r w:rsidR="004D189B" w:rsidRPr="00DC385A">
        <w:t xml:space="preserve">. </w:t>
      </w:r>
      <w:proofErr w:type="spellStart"/>
      <w:r w:rsidR="004D189B" w:rsidRPr="00DC385A">
        <w:t>Burchardi</w:t>
      </w:r>
      <w:proofErr w:type="spellEnd"/>
      <w:r w:rsidR="0016786A">
        <w:t>, Chaney and Hassan</w:t>
      </w:r>
      <w:r w:rsidR="004D189B" w:rsidRPr="00DC385A">
        <w:t xml:space="preserve"> (2016) found that</w:t>
      </w:r>
      <w:r>
        <w:t xml:space="preserve"> </w:t>
      </w:r>
      <w:r w:rsidR="00371FC7">
        <w:t xml:space="preserve">migrants in the US </w:t>
      </w:r>
      <w:r w:rsidR="00465B28">
        <w:t>have had</w:t>
      </w:r>
      <w:r w:rsidR="004D189B" w:rsidRPr="00DC385A">
        <w:t xml:space="preserve"> a positive long</w:t>
      </w:r>
      <w:r w:rsidR="00021968">
        <w:noBreakHyphen/>
      </w:r>
      <w:r w:rsidR="004D189B" w:rsidRPr="00DC385A">
        <w:t xml:space="preserve">term effect on the ability of firms to </w:t>
      </w:r>
      <w:r>
        <w:t xml:space="preserve">engage in foreign direct investment (both inward and outward) </w:t>
      </w:r>
      <w:r w:rsidR="004D189B" w:rsidRPr="00DC385A">
        <w:t>with migrants</w:t>
      </w:r>
      <w:r w:rsidR="00021968">
        <w:t>’</w:t>
      </w:r>
      <w:r w:rsidR="004D189B" w:rsidRPr="00DC385A">
        <w:t xml:space="preserve"> countr</w:t>
      </w:r>
      <w:r w:rsidR="0016786A">
        <w:t>ies</w:t>
      </w:r>
      <w:r w:rsidR="004D189B" w:rsidRPr="00DC385A">
        <w:t xml:space="preserve"> of origin. </w:t>
      </w:r>
      <w:r>
        <w:t xml:space="preserve">For Australia, the available evidence suggests that there is a small but positive link. </w:t>
      </w:r>
      <w:r w:rsidR="00465B28">
        <w:t>The </w:t>
      </w:r>
      <w:r w:rsidR="00371FC7">
        <w:t xml:space="preserve">Productivity Commission </w:t>
      </w:r>
      <w:r w:rsidR="00EF1BB5">
        <w:t>examined migrant populations in 28</w:t>
      </w:r>
      <w:r w:rsidR="0016786A">
        <w:t> </w:t>
      </w:r>
      <w:r w:rsidR="00EF1BB5">
        <w:t>OECD countries and found that a 1 per cent increase in the number of migrants can lead to around a 0.15</w:t>
      </w:r>
      <w:r w:rsidR="00401B0E">
        <w:t> </w:t>
      </w:r>
      <w:r w:rsidR="00EF1BB5">
        <w:t xml:space="preserve">per cent increase in </w:t>
      </w:r>
      <w:r>
        <w:t xml:space="preserve">capital </w:t>
      </w:r>
      <w:r w:rsidR="00EF1BB5">
        <w:t xml:space="preserve">inflows from </w:t>
      </w:r>
      <w:r>
        <w:t xml:space="preserve">a </w:t>
      </w:r>
      <w:r w:rsidR="00EF1BB5">
        <w:t>migrant</w:t>
      </w:r>
      <w:r>
        <w:t>’</w:t>
      </w:r>
      <w:r w:rsidR="00EF1BB5">
        <w:t>s country of birth</w:t>
      </w:r>
      <w:r w:rsidR="00D013CF">
        <w:t xml:space="preserve"> (Dolman</w:t>
      </w:r>
      <w:r w:rsidR="00D4624F">
        <w:t> </w:t>
      </w:r>
      <w:r w:rsidR="00D013CF">
        <w:t>2008)</w:t>
      </w:r>
      <w:r w:rsidR="00EF1BB5">
        <w:t>.</w:t>
      </w:r>
    </w:p>
    <w:p w14:paraId="05B23EE5" w14:textId="77777777" w:rsidR="004D189B" w:rsidRPr="00DC385A" w:rsidRDefault="00F776DC" w:rsidP="00631304">
      <w:r>
        <w:t>A final consideration is whether migrants increase the supply of funds available for domestic investment. T</w:t>
      </w:r>
      <w:r w:rsidR="00EF1BB5">
        <w:t>here is no evidence that</w:t>
      </w:r>
      <w:r>
        <w:t xml:space="preserve"> </w:t>
      </w:r>
      <w:r w:rsidR="00EF1BB5">
        <w:t xml:space="preserve">migrants increase domestic savings </w:t>
      </w:r>
      <w:r w:rsidR="00371FC7">
        <w:t>on a per person basis</w:t>
      </w:r>
      <w:r>
        <w:t>, in the short</w:t>
      </w:r>
      <w:r>
        <w:noBreakHyphen/>
        <w:t>run</w:t>
      </w:r>
      <w:r w:rsidR="00371FC7">
        <w:t>. For example, t</w:t>
      </w:r>
      <w:r w:rsidR="004D189B" w:rsidRPr="00DC385A">
        <w:t>he Productivity Commission</w:t>
      </w:r>
      <w:r w:rsidR="00371FC7">
        <w:t xml:space="preserve"> (2016) </w:t>
      </w:r>
      <w:r w:rsidR="004D189B" w:rsidRPr="00DC385A">
        <w:t xml:space="preserve">noted that </w:t>
      </w:r>
      <w:r>
        <w:t>overseas</w:t>
      </w:r>
      <w:r>
        <w:noBreakHyphen/>
        <w:t>born people</w:t>
      </w:r>
      <w:r w:rsidR="004D189B" w:rsidRPr="00DC385A">
        <w:t xml:space="preserve"> on average at a single point in time have less wealth</w:t>
      </w:r>
      <w:r>
        <w:t xml:space="preserve"> and savings</w:t>
      </w:r>
      <w:r w:rsidR="004D189B" w:rsidRPr="00DC385A">
        <w:t xml:space="preserve"> than Australian</w:t>
      </w:r>
      <w:r w:rsidR="00021968">
        <w:noBreakHyphen/>
      </w:r>
      <w:r w:rsidR="004D189B" w:rsidRPr="00DC385A">
        <w:t>born people. One</w:t>
      </w:r>
      <w:r w:rsidR="00B20EA1">
        <w:t> </w:t>
      </w:r>
      <w:r w:rsidR="004D189B" w:rsidRPr="00DC385A">
        <w:t>explanation for the wealth gap is the increasing levels of remittances sent by migrants to their home countries</w:t>
      </w:r>
      <w:r w:rsidR="00E21FDC">
        <w:t xml:space="preserve"> in recent years</w:t>
      </w:r>
      <w:r>
        <w:t>. The Productivity Commission noted that this increase was likely the result of increasing migration flows, the appreciation of the Australian dollar and the increase in immigrants from countries with large remittance flows including China, India, the Philippines and Vietnam.</w:t>
      </w:r>
    </w:p>
    <w:p w14:paraId="22237F5B" w14:textId="77777777" w:rsidR="004D189B" w:rsidRPr="00DC385A" w:rsidRDefault="004D189B" w:rsidP="002427F4">
      <w:pPr>
        <w:pStyle w:val="Heading4"/>
      </w:pPr>
      <w:r>
        <w:t xml:space="preserve">Migrants have a positive fiscal impact as they consume less </w:t>
      </w:r>
      <w:r w:rsidR="0016786A">
        <w:t xml:space="preserve">in </w:t>
      </w:r>
      <w:r w:rsidRPr="00385501">
        <w:t>government servic</w:t>
      </w:r>
      <w:r w:rsidRPr="00501C6E">
        <w:t>es</w:t>
      </w:r>
      <w:r>
        <w:t xml:space="preserve"> than they contribute to tax revenue</w:t>
      </w:r>
    </w:p>
    <w:p w14:paraId="46D98752" w14:textId="77777777" w:rsidR="004D189B" w:rsidRDefault="004D189B" w:rsidP="00631304">
      <w:r>
        <w:t xml:space="preserve">While an increased population will </w:t>
      </w:r>
      <w:r w:rsidR="00F776DC">
        <w:t xml:space="preserve">generally </w:t>
      </w:r>
      <w:r>
        <w:t>demand additional government services, h</w:t>
      </w:r>
      <w:r w:rsidRPr="00DC385A">
        <w:t>igher levels of migration are likely to be associated with lower per person spending on social services (for</w:t>
      </w:r>
      <w:r w:rsidR="005D0DBA">
        <w:t> </w:t>
      </w:r>
      <w:r w:rsidRPr="00DC385A">
        <w:t>example, health, aged care, transfers, and education).</w:t>
      </w:r>
      <w:r>
        <w:t xml:space="preserve"> This is because migrants are predominantly of working age. This makes them more likely to </w:t>
      </w:r>
      <w:r w:rsidRPr="00DC385A">
        <w:t xml:space="preserve">contribute to tax revenue and less likely to claim social services. </w:t>
      </w:r>
      <w:r w:rsidR="00CD7883">
        <w:t xml:space="preserve">A more detailed discussion of the fiscal impact of migrants is in </w:t>
      </w:r>
      <w:r w:rsidR="00401B0E">
        <w:t>S</w:t>
      </w:r>
      <w:r w:rsidR="00CD7883">
        <w:t xml:space="preserve">ection </w:t>
      </w:r>
      <w:r w:rsidR="00247214">
        <w:t>7</w:t>
      </w:r>
      <w:r w:rsidR="00CD7883">
        <w:t>.</w:t>
      </w:r>
    </w:p>
    <w:p w14:paraId="222936A6" w14:textId="77777777" w:rsidR="004D189B" w:rsidRPr="00DC385A" w:rsidRDefault="004D189B" w:rsidP="002427F4">
      <w:pPr>
        <w:pStyle w:val="Heading4"/>
      </w:pPr>
      <w:r>
        <w:t xml:space="preserve">Temporary migrants have been a large contributor to </w:t>
      </w:r>
      <w:r w:rsidRPr="00385501">
        <w:t>exports</w:t>
      </w:r>
    </w:p>
    <w:p w14:paraId="22223A53" w14:textId="77777777" w:rsidR="004D189B" w:rsidRDefault="00465B28" w:rsidP="00631304">
      <w:r>
        <w:t xml:space="preserve">Expenditure by foreign residents who are in Australia </w:t>
      </w:r>
      <w:r w:rsidR="00410B2D">
        <w:t xml:space="preserve">for </w:t>
      </w:r>
      <w:r>
        <w:t xml:space="preserve">less than 12 months is counted as exports. In addition, </w:t>
      </w:r>
      <w:r w:rsidR="00D63390">
        <w:t>expenditure by non</w:t>
      </w:r>
      <w:r w:rsidR="00D63390">
        <w:noBreakHyphen/>
        <w:t>resident students</w:t>
      </w:r>
      <w:r w:rsidR="00D33698">
        <w:t xml:space="preserve"> </w:t>
      </w:r>
      <w:r w:rsidR="00D63390">
        <w:t xml:space="preserve">on </w:t>
      </w:r>
      <w:r>
        <w:t>education tuition fees</w:t>
      </w:r>
      <w:r w:rsidR="00D63390">
        <w:t>, course material and other goods and services</w:t>
      </w:r>
      <w:r>
        <w:t xml:space="preserve"> are</w:t>
      </w:r>
      <w:r w:rsidR="00D63390">
        <w:t xml:space="preserve"> also</w:t>
      </w:r>
      <w:r>
        <w:t xml:space="preserve"> counted as exports</w:t>
      </w:r>
      <w:r w:rsidR="00A2700E">
        <w:t xml:space="preserve"> (with certain exemptions)</w:t>
      </w:r>
      <w:r>
        <w:t xml:space="preserve">. </w:t>
      </w:r>
      <w:r w:rsidR="004D189B" w:rsidRPr="009E0370">
        <w:t xml:space="preserve">Education export volumes in Australia have </w:t>
      </w:r>
      <w:r w:rsidR="00D87332">
        <w:t xml:space="preserve">more than doubled </w:t>
      </w:r>
      <w:r w:rsidR="004D189B" w:rsidRPr="009E0370">
        <w:t xml:space="preserve">in real terms over the past </w:t>
      </w:r>
      <w:r w:rsidR="00D87332">
        <w:t>15</w:t>
      </w:r>
      <w:r w:rsidR="000C7EEA">
        <w:t> </w:t>
      </w:r>
      <w:r w:rsidR="004D189B" w:rsidRPr="009E0370">
        <w:t>years</w:t>
      </w:r>
      <w:r w:rsidR="00D87332">
        <w:t xml:space="preserve">. </w:t>
      </w:r>
      <w:r w:rsidR="00E45081">
        <w:t>In 2016, e</w:t>
      </w:r>
      <w:r w:rsidR="004D189B" w:rsidRPr="009E0370">
        <w:t xml:space="preserve">ducation </w:t>
      </w:r>
      <w:r w:rsidR="00E45081">
        <w:t>wa</w:t>
      </w:r>
      <w:r w:rsidR="004D189B" w:rsidRPr="009E0370">
        <w:t>s Australia</w:t>
      </w:r>
      <w:r w:rsidR="00021968">
        <w:t>’</w:t>
      </w:r>
      <w:r w:rsidR="004D189B" w:rsidRPr="009E0370">
        <w:t xml:space="preserve">s third largest export industry. In </w:t>
      </w:r>
      <w:r w:rsidR="00E45081">
        <w:t>2016</w:t>
      </w:r>
      <w:r w:rsidR="00E45081">
        <w:noBreakHyphen/>
        <w:t>17</w:t>
      </w:r>
      <w:r w:rsidR="004D189B" w:rsidRPr="009E0370">
        <w:t>, education export values were at their highest level at $2</w:t>
      </w:r>
      <w:r w:rsidR="00D94129">
        <w:t>8</w:t>
      </w:r>
      <w:r w:rsidR="00D87332">
        <w:t>.</w:t>
      </w:r>
      <w:r w:rsidR="00D94129">
        <w:t>0 </w:t>
      </w:r>
      <w:r w:rsidR="004D189B" w:rsidRPr="009E0370">
        <w:t xml:space="preserve">billion, accounting for </w:t>
      </w:r>
      <w:r w:rsidR="00D94129">
        <w:t>7.5</w:t>
      </w:r>
      <w:r w:rsidR="000A07A2">
        <w:t xml:space="preserve"> per cent of total exports.</w:t>
      </w:r>
    </w:p>
    <w:p w14:paraId="16244896" w14:textId="77777777" w:rsidR="004D189B" w:rsidRDefault="004D189B" w:rsidP="002427F4">
      <w:pPr>
        <w:pStyle w:val="Heading3Numbered"/>
      </w:pPr>
      <w:r>
        <w:t>Migrants have supply</w:t>
      </w:r>
      <w:r w:rsidR="00021968">
        <w:noBreakHyphen/>
      </w:r>
      <w:r>
        <w:t>side impacts on GDP</w:t>
      </w:r>
    </w:p>
    <w:p w14:paraId="09017272" w14:textId="77777777" w:rsidR="005D0DBA" w:rsidRPr="00A36CBF" w:rsidRDefault="0016786A" w:rsidP="00A36CBF">
      <w:r>
        <w:t>As mentioned, m</w:t>
      </w:r>
      <w:r w:rsidR="004D189B">
        <w:t xml:space="preserve">igrants can affect the supply side of the economy through the </w:t>
      </w:r>
      <w:r w:rsidR="004D189B" w:rsidRPr="00DC385A">
        <w:t>3Ps</w:t>
      </w:r>
      <w:r w:rsidR="00021968">
        <w:t xml:space="preserve"> — </w:t>
      </w:r>
      <w:r w:rsidR="004D189B">
        <w:t xml:space="preserve">population, participation, and productivity. </w:t>
      </w:r>
      <w:r w:rsidR="00D87332">
        <w:t>In the 3Ps framework, an increase to the population will increase GDP. If this additional population is composed of people primarily of working age, it will also lead to higher GDP per person through an increased participation rate. GDP per person will also increase if the increased population is relatively more productive.</w:t>
      </w:r>
    </w:p>
    <w:p w14:paraId="17902BA0" w14:textId="77777777" w:rsidR="004D189B" w:rsidRPr="00DC385A" w:rsidRDefault="004D189B" w:rsidP="00A36CBF">
      <w:pPr>
        <w:pStyle w:val="Heading4"/>
        <w:keepLines/>
      </w:pPr>
      <w:r>
        <w:lastRenderedPageBreak/>
        <w:t xml:space="preserve">Migrants increase the </w:t>
      </w:r>
      <w:r w:rsidR="000A07A2">
        <w:t>population</w:t>
      </w:r>
    </w:p>
    <w:p w14:paraId="10E6530C" w14:textId="7B97305C" w:rsidR="004D189B" w:rsidRDefault="004D189B" w:rsidP="00A36CBF">
      <w:pPr>
        <w:keepNext/>
        <w:keepLines/>
      </w:pPr>
      <w:r>
        <w:t xml:space="preserve">As discussed in previous sections, migrants </w:t>
      </w:r>
      <w:r w:rsidR="0016786A">
        <w:t>currently</w:t>
      </w:r>
      <w:r w:rsidR="00401B0E">
        <w:t xml:space="preserve"> </w:t>
      </w:r>
      <w:r>
        <w:t>account for just over half of Australia</w:t>
      </w:r>
      <w:r w:rsidR="00021968">
        <w:t>’</w:t>
      </w:r>
      <w:r>
        <w:t>s population growth. Populatio</w:t>
      </w:r>
      <w:r w:rsidR="00302A39">
        <w:t xml:space="preserve">n growth has a large impact on </w:t>
      </w:r>
      <w:r w:rsidR="0015687E">
        <w:t>virgin</w:t>
      </w:r>
      <w:r w:rsidR="00302A39">
        <w:t xml:space="preserve"> G</w:t>
      </w:r>
      <w:r>
        <w:t xml:space="preserve">DP but will not necessarily increase GDP or gross national income </w:t>
      </w:r>
      <w:r w:rsidR="0016786A">
        <w:t xml:space="preserve">(GNI) </w:t>
      </w:r>
      <w:r>
        <w:t xml:space="preserve">per person. </w:t>
      </w:r>
      <w:r w:rsidRPr="00DC385A">
        <w:t xml:space="preserve">This is because the increased output or income </w:t>
      </w:r>
      <w:r w:rsidR="00CF5E73">
        <w:t>is</w:t>
      </w:r>
      <w:r w:rsidRPr="00DC385A">
        <w:t xml:space="preserve"> shared across a larger population. </w:t>
      </w:r>
      <w:r>
        <w:t>Migrants can have positive impacts on GDP or GNI per person when their characteristics differ significantly from th</w:t>
      </w:r>
      <w:r w:rsidR="001B7E15">
        <w:t>ose of the</w:t>
      </w:r>
      <w:r>
        <w:t xml:space="preserve"> existing population.</w:t>
      </w:r>
    </w:p>
    <w:p w14:paraId="6F0CB67E" w14:textId="77777777" w:rsidR="004D189B" w:rsidRPr="00DC385A" w:rsidRDefault="004D189B" w:rsidP="002427F4">
      <w:pPr>
        <w:pStyle w:val="Heading4"/>
      </w:pPr>
      <w:r>
        <w:t xml:space="preserve">Migrants </w:t>
      </w:r>
      <w:r w:rsidR="008E55FC">
        <w:t>have helped improve Australia’s labour force</w:t>
      </w:r>
      <w:r>
        <w:t xml:space="preserve"> </w:t>
      </w:r>
      <w:r w:rsidRPr="00385501">
        <w:t>participation</w:t>
      </w:r>
      <w:r w:rsidR="008E55FC" w:rsidRPr="00501C6E">
        <w:t xml:space="preserve"> rate</w:t>
      </w:r>
    </w:p>
    <w:p w14:paraId="55C1F662" w14:textId="77777777" w:rsidR="004B01A0" w:rsidRDefault="004B01A0" w:rsidP="004B01A0">
      <w:r w:rsidRPr="00DC385A">
        <w:t>After trending up</w:t>
      </w:r>
      <w:r w:rsidR="0016786A">
        <w:t>ward</w:t>
      </w:r>
      <w:r w:rsidRPr="00DC385A">
        <w:t xml:space="preserve"> for almost three decades,</w:t>
      </w:r>
      <w:r w:rsidRPr="00DC385A" w:rsidDel="001D3013">
        <w:t xml:space="preserve"> </w:t>
      </w:r>
      <w:r w:rsidRPr="00DC385A">
        <w:t>Australia</w:t>
      </w:r>
      <w:r>
        <w:t>’</w:t>
      </w:r>
      <w:r w:rsidRPr="00DC385A">
        <w:t xml:space="preserve">s labour force participation rate </w:t>
      </w:r>
      <w:r w:rsidR="00D63390">
        <w:t>declined</w:t>
      </w:r>
      <w:r w:rsidRPr="00DC385A">
        <w:t xml:space="preserve"> from the early 2010s</w:t>
      </w:r>
      <w:r w:rsidR="00D63390">
        <w:t xml:space="preserve"> through to 2016</w:t>
      </w:r>
      <w:r>
        <w:t xml:space="preserve"> (Figure </w:t>
      </w:r>
      <w:r w:rsidR="008C1147">
        <w:t>22</w:t>
      </w:r>
      <w:r>
        <w:t>)</w:t>
      </w:r>
      <w:r w:rsidRPr="00DC385A">
        <w:t xml:space="preserve">. This decline coincided with </w:t>
      </w:r>
      <w:r w:rsidR="00A32308">
        <w:t>a</w:t>
      </w:r>
      <w:r w:rsidRPr="00DC385A">
        <w:t xml:space="preserve"> large cohort of baby boomers reaching retirement, which weighed on Australia</w:t>
      </w:r>
      <w:r>
        <w:t>’</w:t>
      </w:r>
      <w:r w:rsidRPr="00DC385A">
        <w:t xml:space="preserve">s participation rate. Yet evidence shows that </w:t>
      </w:r>
      <w:r w:rsidRPr="00DC385A" w:rsidDel="00A7313F">
        <w:t>migrants</w:t>
      </w:r>
      <w:r w:rsidRPr="00DC385A">
        <w:t>, particular</w:t>
      </w:r>
      <w:r w:rsidR="00410B2D">
        <w:t>ly</w:t>
      </w:r>
      <w:r w:rsidRPr="00DC385A">
        <w:t xml:space="preserve"> skilled migrants, have helped curb the ageing of the population </w:t>
      </w:r>
      <w:r w:rsidR="00DA3E92">
        <w:t>by boosting the</w:t>
      </w:r>
      <w:r w:rsidRPr="00DC385A">
        <w:t xml:space="preserve"> labour force. Without the contribution from migrants, </w:t>
      </w:r>
      <w:r w:rsidR="00D63390">
        <w:t xml:space="preserve">all else being equal, </w:t>
      </w:r>
      <w:r w:rsidRPr="00DC385A">
        <w:t>Australia</w:t>
      </w:r>
      <w:r>
        <w:t>’</w:t>
      </w:r>
      <w:r w:rsidRPr="00DC385A">
        <w:t xml:space="preserve">s participation rate would </w:t>
      </w:r>
      <w:r w:rsidR="00D63390">
        <w:t xml:space="preserve">be lower than </w:t>
      </w:r>
      <w:r w:rsidR="00C81496">
        <w:t>at present</w:t>
      </w:r>
      <w:r w:rsidRPr="00DC385A">
        <w:t>.</w:t>
      </w:r>
    </w:p>
    <w:p w14:paraId="0D15FC20" w14:textId="77777777" w:rsidR="004B01A0" w:rsidRDefault="004B01A0" w:rsidP="000B438C">
      <w:pPr>
        <w:pStyle w:val="ChartMainHeading"/>
      </w:pPr>
      <w:r w:rsidRPr="00713B74">
        <w:t xml:space="preserve">Figure </w:t>
      </w:r>
      <w:r w:rsidR="008C1147" w:rsidRPr="00713B74">
        <w:t>22</w:t>
      </w:r>
      <w:r w:rsidRPr="00713B74">
        <w:t>: Australia</w:t>
      </w:r>
      <w:r w:rsidR="00850386" w:rsidRPr="00713B74">
        <w:t>’s</w:t>
      </w:r>
      <w:r w:rsidRPr="00713B74">
        <w:t xml:space="preserve"> labour force participation rate</w:t>
      </w:r>
    </w:p>
    <w:p w14:paraId="1F760808" w14:textId="7F92F76F" w:rsidR="00D41F4A" w:rsidRPr="00D41F4A" w:rsidRDefault="00302A39" w:rsidP="005F3E79">
      <w:pPr>
        <w:pStyle w:val="ChartGraphic"/>
      </w:pPr>
      <w:r>
        <w:rPr>
          <w:noProof/>
        </w:rPr>
        <w:pict w14:anchorId="6933B426">
          <v:shape id="_x0000_i1050" type="#_x0000_t75" style="width:6in;height:221.25pt">
            <v:imagedata r:id="rId78" o:title="" cropbottom="1640f" cropleft="974f"/>
          </v:shape>
        </w:pict>
      </w:r>
    </w:p>
    <w:p w14:paraId="0E1EDB6C" w14:textId="77777777" w:rsidR="004B01A0" w:rsidRPr="00F148E0" w:rsidRDefault="00E33009" w:rsidP="00F148E0">
      <w:pPr>
        <w:pStyle w:val="ChartorTableNote"/>
      </w:pPr>
      <w:r w:rsidRPr="00F148E0">
        <w:t xml:space="preserve">Note: </w:t>
      </w:r>
      <w:r w:rsidR="004B01A0" w:rsidRPr="00F148E0">
        <w:t>12 month centred moving average</w:t>
      </w:r>
      <w:r w:rsidR="0016786A" w:rsidRPr="00F148E0">
        <w:t>.</w:t>
      </w:r>
    </w:p>
    <w:p w14:paraId="50D480C5" w14:textId="77777777" w:rsidR="00F148E0" w:rsidRDefault="004B01A0" w:rsidP="00A36CBF">
      <w:pPr>
        <w:pStyle w:val="ChartorTableNote"/>
      </w:pPr>
      <w:r w:rsidRPr="00F148E0">
        <w:t xml:space="preserve">Source: ABS </w:t>
      </w:r>
      <w:r w:rsidR="0016786A" w:rsidRPr="00F148E0">
        <w:t>2017</w:t>
      </w:r>
      <w:r w:rsidR="00D013CF" w:rsidRPr="00F148E0">
        <w:t>i</w:t>
      </w:r>
      <w:r w:rsidR="0016786A" w:rsidRPr="00F148E0">
        <w:t>.</w:t>
      </w:r>
    </w:p>
    <w:p w14:paraId="035CEACC" w14:textId="77777777" w:rsidR="007B6C76" w:rsidRDefault="00A32308" w:rsidP="00F148E0">
      <w:pPr>
        <w:rPr>
          <w:lang w:val="en-US"/>
        </w:rPr>
      </w:pPr>
      <w:r>
        <w:t>Australia’s population</w:t>
      </w:r>
      <w:r w:rsidR="007B46C4">
        <w:t xml:space="preserve"> is steadily ageing. </w:t>
      </w:r>
      <w:r w:rsidRPr="00A17215">
        <w:t>The share of working age (15</w:t>
      </w:r>
      <w:r w:rsidR="00410B2D">
        <w:t xml:space="preserve"> to </w:t>
      </w:r>
      <w:r w:rsidRPr="00A17215">
        <w:t>64 year</w:t>
      </w:r>
      <w:r w:rsidR="00410B2D">
        <w:t xml:space="preserve"> old</w:t>
      </w:r>
      <w:r w:rsidRPr="00A17215">
        <w:t>) people in the population peaked in 200</w:t>
      </w:r>
      <w:r w:rsidR="0096489E">
        <w:t>9</w:t>
      </w:r>
      <w:r w:rsidRPr="00A17215">
        <w:t xml:space="preserve"> at 6</w:t>
      </w:r>
      <w:r w:rsidR="00DB7FEE">
        <w:t>7.5</w:t>
      </w:r>
      <w:r w:rsidRPr="00A17215">
        <w:t> per cent, falling to 6</w:t>
      </w:r>
      <w:r w:rsidR="00DB7FEE">
        <w:t>5.9</w:t>
      </w:r>
      <w:r w:rsidRPr="00A17215">
        <w:t xml:space="preserve"> per cent </w:t>
      </w:r>
      <w:r w:rsidR="00C85113">
        <w:t>in</w:t>
      </w:r>
      <w:r w:rsidRPr="00A17215">
        <w:t xml:space="preserve"> 2016.</w:t>
      </w:r>
      <w:r w:rsidRPr="00A32308">
        <w:t xml:space="preserve"> </w:t>
      </w:r>
      <w:r w:rsidR="007B6C76">
        <w:rPr>
          <w:lang w:val="en-US"/>
        </w:rPr>
        <w:t>After the working</w:t>
      </w:r>
      <w:r w:rsidR="0016786A">
        <w:rPr>
          <w:lang w:val="en-US"/>
        </w:rPr>
        <w:t xml:space="preserve"> </w:t>
      </w:r>
      <w:r w:rsidR="007B6C76">
        <w:rPr>
          <w:lang w:val="en-US"/>
        </w:rPr>
        <w:t xml:space="preserve">age population share in a country peaks, per capita economic growth slows as income is spread over a rising share of those not in the </w:t>
      </w:r>
      <w:proofErr w:type="spellStart"/>
      <w:r w:rsidR="0016786A">
        <w:rPr>
          <w:lang w:val="en-US"/>
        </w:rPr>
        <w:t>labour</w:t>
      </w:r>
      <w:proofErr w:type="spellEnd"/>
      <w:r w:rsidR="0016786A">
        <w:rPr>
          <w:lang w:val="en-US"/>
        </w:rPr>
        <w:t xml:space="preserve"> </w:t>
      </w:r>
      <w:r w:rsidR="007B6C76">
        <w:rPr>
          <w:lang w:val="en-US"/>
        </w:rPr>
        <w:t>force.</w:t>
      </w:r>
    </w:p>
    <w:p w14:paraId="1EA856CC" w14:textId="77777777" w:rsidR="00792CEB" w:rsidRDefault="00A32308" w:rsidP="00F148E0">
      <w:r>
        <w:t xml:space="preserve">The share of working age </w:t>
      </w:r>
      <w:r w:rsidR="00C85113">
        <w:t xml:space="preserve">people is expected to continue to fall since young people (those aged less than 15) who will make up the future </w:t>
      </w:r>
      <w:r w:rsidR="0016786A">
        <w:t xml:space="preserve">labour </w:t>
      </w:r>
      <w:r w:rsidR="00C85113">
        <w:t xml:space="preserve">force accounted for </w:t>
      </w:r>
      <w:r w:rsidR="00DB7FEE">
        <w:t>18.9</w:t>
      </w:r>
      <w:r w:rsidR="00C85113">
        <w:t xml:space="preserve"> per cent of the population in 2016, compared to </w:t>
      </w:r>
      <w:r w:rsidR="00DB7FEE">
        <w:t>28.7</w:t>
      </w:r>
      <w:r w:rsidR="00C85113">
        <w:t xml:space="preserve"> per cent in 1971.</w:t>
      </w:r>
      <w:r w:rsidR="007B6C76">
        <w:t xml:space="preserve"> </w:t>
      </w:r>
      <w:r w:rsidR="00792CEB">
        <w:t xml:space="preserve">While population ageing is therefore </w:t>
      </w:r>
      <w:r w:rsidR="002D66FC">
        <w:t xml:space="preserve">already </w:t>
      </w:r>
      <w:r w:rsidR="00792CEB">
        <w:t xml:space="preserve">apparent today, the full effects will not be felt </w:t>
      </w:r>
      <w:r w:rsidR="00D60043">
        <w:t>for some</w:t>
      </w:r>
      <w:r w:rsidR="00792CEB">
        <w:t xml:space="preserve"> generations</w:t>
      </w:r>
      <w:r w:rsidR="007B6C76">
        <w:t xml:space="preserve"> (Figure </w:t>
      </w:r>
      <w:r w:rsidR="008C1147">
        <w:t>23</w:t>
      </w:r>
      <w:r w:rsidR="007B6C76">
        <w:t>)</w:t>
      </w:r>
      <w:r w:rsidR="00792CEB">
        <w:t>.</w:t>
      </w:r>
    </w:p>
    <w:p w14:paraId="3B169CE9" w14:textId="77777777" w:rsidR="00A32308" w:rsidRDefault="00A32308" w:rsidP="000B438C">
      <w:pPr>
        <w:pStyle w:val="ChartMainHeading"/>
      </w:pPr>
      <w:r w:rsidRPr="00F233CB">
        <w:lastRenderedPageBreak/>
        <w:t>Figure</w:t>
      </w:r>
      <w:r w:rsidR="00D60043" w:rsidRPr="00F233CB">
        <w:t xml:space="preserve"> </w:t>
      </w:r>
      <w:r w:rsidR="008C1147" w:rsidRPr="00F233CB">
        <w:t>23</w:t>
      </w:r>
      <w:r w:rsidRPr="00F233CB">
        <w:t xml:space="preserve">: Population </w:t>
      </w:r>
      <w:r w:rsidR="00E00B57">
        <w:t xml:space="preserve">share </w:t>
      </w:r>
      <w:r w:rsidRPr="00F233CB">
        <w:t>by age group</w:t>
      </w:r>
    </w:p>
    <w:p w14:paraId="6D8E7773" w14:textId="59C4C7EF" w:rsidR="00792CEB" w:rsidRDefault="00302A39" w:rsidP="005F3E79">
      <w:pPr>
        <w:pStyle w:val="ChartGraphic"/>
      </w:pPr>
      <w:r>
        <w:pict w14:anchorId="34AFDD2D">
          <v:shape id="_x0000_i1051" type="#_x0000_t75" style="width:430.5pt;height:218.25pt">
            <v:imagedata r:id="rId79" o:title="" cropbottom="2461f" cropleft="847f" cropright="423f"/>
          </v:shape>
        </w:pict>
      </w:r>
    </w:p>
    <w:p w14:paraId="0D896AB2" w14:textId="77777777" w:rsidR="00F148E0" w:rsidRDefault="00A32308" w:rsidP="00A36CBF">
      <w:pPr>
        <w:pStyle w:val="ChartorTableNote"/>
      </w:pPr>
      <w:r w:rsidRPr="00A17215">
        <w:t>Source: ABS</w:t>
      </w:r>
      <w:r w:rsidR="00D60043">
        <w:t xml:space="preserve"> </w:t>
      </w:r>
      <w:r w:rsidR="006566E3">
        <w:t>201</w:t>
      </w:r>
      <w:r w:rsidR="00D013CF">
        <w:t>7</w:t>
      </w:r>
      <w:r w:rsidR="006566E3">
        <w:t>a</w:t>
      </w:r>
      <w:r w:rsidR="006D3D96">
        <w:t>, a</w:t>
      </w:r>
      <w:r w:rsidR="00713B74">
        <w:t>uthors’ calculations</w:t>
      </w:r>
      <w:r w:rsidRPr="00A17215">
        <w:t>.</w:t>
      </w:r>
    </w:p>
    <w:p w14:paraId="6BCEE223" w14:textId="77777777" w:rsidR="00653900" w:rsidRDefault="004D189B" w:rsidP="00A17215">
      <w:r>
        <w:t>Migrants to Australia are younger on average than the resident population</w:t>
      </w:r>
      <w:r w:rsidR="00021968">
        <w:t xml:space="preserve"> — </w:t>
      </w:r>
      <w:r>
        <w:t>around 8</w:t>
      </w:r>
      <w:r w:rsidR="00A03219">
        <w:t>4</w:t>
      </w:r>
      <w:r>
        <w:t> </w:t>
      </w:r>
      <w:r w:rsidRPr="00DC385A">
        <w:t>per cent of migrants</w:t>
      </w:r>
      <w:r w:rsidR="00A03219">
        <w:t xml:space="preserve"> arriving</w:t>
      </w:r>
      <w:r w:rsidRPr="00DC385A">
        <w:t xml:space="preserve"> </w:t>
      </w:r>
      <w:r>
        <w:t>in 201</w:t>
      </w:r>
      <w:r w:rsidR="00A03219">
        <w:t>5</w:t>
      </w:r>
      <w:r w:rsidR="00021968">
        <w:noBreakHyphen/>
      </w:r>
      <w:r>
        <w:t>1</w:t>
      </w:r>
      <w:r w:rsidR="00A03219">
        <w:t>6</w:t>
      </w:r>
      <w:r>
        <w:t xml:space="preserve"> were </w:t>
      </w:r>
      <w:r w:rsidRPr="00DC385A">
        <w:t xml:space="preserve">aged </w:t>
      </w:r>
      <w:proofErr w:type="gramStart"/>
      <w:r w:rsidRPr="00DC385A">
        <w:t>under</w:t>
      </w:r>
      <w:proofErr w:type="gramEnd"/>
      <w:r w:rsidRPr="00DC385A">
        <w:t xml:space="preserve"> 40 </w:t>
      </w:r>
      <w:r>
        <w:t>years</w:t>
      </w:r>
      <w:r w:rsidR="00D60043">
        <w:t>,</w:t>
      </w:r>
      <w:r>
        <w:t xml:space="preserve"> compared to </w:t>
      </w:r>
      <w:r w:rsidRPr="00DC385A">
        <w:t xml:space="preserve">only 54 per cent of the resident </w:t>
      </w:r>
      <w:r>
        <w:t>population</w:t>
      </w:r>
      <w:r w:rsidRPr="00DC385A">
        <w:t>. Younger age groups tend to have higher participation rates than older age groups, and, in this way, migration can improve Australia</w:t>
      </w:r>
      <w:r w:rsidR="00021968">
        <w:t>’</w:t>
      </w:r>
      <w:r w:rsidRPr="00DC385A">
        <w:t xml:space="preserve">s labour force participation rate. </w:t>
      </w:r>
      <w:r w:rsidR="004F017F">
        <w:t xml:space="preserve">The impact of migration on participation can be seen by decomposing changes </w:t>
      </w:r>
      <w:r>
        <w:t xml:space="preserve">in participation over the period 2000 to 2016 </w:t>
      </w:r>
      <w:r w:rsidR="007B6C76">
        <w:t>(Kru</w:t>
      </w:r>
      <w:r w:rsidR="00D60043">
        <w:t>e</w:t>
      </w:r>
      <w:r w:rsidR="007B6C76">
        <w:t>ger 2016</w:t>
      </w:r>
      <w:r w:rsidR="00410B2D">
        <w:t xml:space="preserve">; </w:t>
      </w:r>
      <w:r w:rsidR="007B6C76">
        <w:t>Hotchkiss 2009</w:t>
      </w:r>
      <w:r w:rsidR="00410B2D">
        <w:t xml:space="preserve">; </w:t>
      </w:r>
      <w:r w:rsidR="007B6C76">
        <w:t>Cully 2011</w:t>
      </w:r>
      <w:r w:rsidR="00F41670">
        <w:t>b</w:t>
      </w:r>
      <w:r w:rsidR="007B6C76">
        <w:t>)</w:t>
      </w:r>
      <w:r w:rsidR="004F017F">
        <w:t>.</w:t>
      </w:r>
    </w:p>
    <w:p w14:paraId="7AC650BF" w14:textId="77777777" w:rsidR="00F148E0" w:rsidRPr="00F148E0" w:rsidRDefault="004D189B" w:rsidP="00F148E0">
      <w:r>
        <w:t>Between 2000 and 2016, the labour force participation rate increased 1.4 percentage points in total (see bottom right figure in</w:t>
      </w:r>
      <w:r w:rsidR="002D66FC">
        <w:t xml:space="preserve"> Table </w:t>
      </w:r>
      <w:r w:rsidR="0053397A">
        <w:t>5</w:t>
      </w:r>
      <w:r>
        <w:t>). This increase was the combined effect of changes in Australia</w:t>
      </w:r>
      <w:r w:rsidR="00021968">
        <w:t>’</w:t>
      </w:r>
      <w:r>
        <w:t xml:space="preserve">s </w:t>
      </w:r>
      <w:r w:rsidR="00575752">
        <w:rPr>
          <w:b/>
        </w:rPr>
        <w:t>demographic</w:t>
      </w:r>
      <w:r w:rsidR="00575752" w:rsidRPr="00115B85">
        <w:rPr>
          <w:b/>
        </w:rPr>
        <w:t xml:space="preserve"> </w:t>
      </w:r>
      <w:r w:rsidRPr="00115B85">
        <w:rPr>
          <w:b/>
        </w:rPr>
        <w:t>composition</w:t>
      </w:r>
      <w:r>
        <w:t xml:space="preserve"> </w:t>
      </w:r>
      <w:r w:rsidR="00410B2D">
        <w:t>and</w:t>
      </w:r>
      <w:r>
        <w:t xml:space="preserve"> the </w:t>
      </w:r>
      <w:r w:rsidRPr="00115B85">
        <w:rPr>
          <w:b/>
        </w:rPr>
        <w:t>population</w:t>
      </w:r>
      <w:r w:rsidR="00021968">
        <w:rPr>
          <w:b/>
        </w:rPr>
        <w:t>’</w:t>
      </w:r>
      <w:r w:rsidRPr="00115B85">
        <w:rPr>
          <w:b/>
        </w:rPr>
        <w:t>s propensity to participate</w:t>
      </w:r>
      <w:r w:rsidR="000A07A2">
        <w:t>.</w:t>
      </w:r>
      <w:bookmarkStart w:id="94" w:name="_Ref491428277"/>
      <w:r w:rsidR="00F148E0" w:rsidRPr="00F148E0">
        <w:br w:type="page"/>
      </w:r>
    </w:p>
    <w:p w14:paraId="2514AF24" w14:textId="77777777" w:rsidR="004D189B" w:rsidRPr="00F148E0" w:rsidRDefault="004D189B" w:rsidP="00F148E0">
      <w:pPr>
        <w:pStyle w:val="TableMainHeading"/>
      </w:pPr>
      <w:r w:rsidRPr="00F148E0">
        <w:lastRenderedPageBreak/>
        <w:t xml:space="preserve">Table </w:t>
      </w:r>
      <w:bookmarkEnd w:id="94"/>
      <w:r w:rsidR="0053397A" w:rsidRPr="00F148E0">
        <w:t>5</w:t>
      </w:r>
      <w:r w:rsidR="00D60043" w:rsidRPr="00F148E0">
        <w:t xml:space="preserve">: </w:t>
      </w:r>
      <w:r w:rsidRPr="00F148E0">
        <w:t>Decomposition of changes to the participation rate, 2000–2016</w:t>
      </w:r>
    </w:p>
    <w:tbl>
      <w:tblPr>
        <w:tblW w:w="5000" w:type="pct"/>
        <w:tblBorders>
          <w:top w:val="single" w:sz="4" w:space="0" w:color="auto"/>
          <w:bottom w:val="single" w:sz="4" w:space="0" w:color="auto"/>
        </w:tblBorders>
        <w:tblLook w:val="04A0" w:firstRow="1" w:lastRow="0" w:firstColumn="1" w:lastColumn="0" w:noHBand="0" w:noVBand="1"/>
      </w:tblPr>
      <w:tblGrid>
        <w:gridCol w:w="1481"/>
        <w:gridCol w:w="940"/>
        <w:gridCol w:w="1260"/>
        <w:gridCol w:w="1101"/>
        <w:gridCol w:w="942"/>
        <w:gridCol w:w="1260"/>
        <w:gridCol w:w="1100"/>
        <w:gridCol w:w="1100"/>
      </w:tblGrid>
      <w:tr w:rsidR="00F148E0" w14:paraId="7A0BC047" w14:textId="77777777" w:rsidTr="00EB7B9E">
        <w:trPr>
          <w:cantSplit/>
          <w:trHeight w:val="128"/>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258FC661" w14:textId="77777777" w:rsidR="00F148E0" w:rsidRDefault="00F148E0" w:rsidP="007B5E24">
            <w:pPr>
              <w:pStyle w:val="TableSecondHeading"/>
              <w:rPr>
                <w:lang w:val="en-GB"/>
              </w:rPr>
            </w:pPr>
          </w:p>
        </w:tc>
        <w:tc>
          <w:tcPr>
            <w:tcW w:w="220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17BA49F6" w14:textId="77777777" w:rsidR="00F148E0" w:rsidRDefault="00F148E0" w:rsidP="007B5E24">
            <w:pPr>
              <w:pStyle w:val="TableSecondHeading"/>
            </w:pPr>
            <w:r>
              <w:t>Australian</w:t>
            </w:r>
            <w:r>
              <w:noBreakHyphen/>
              <w:t>born</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noWrap/>
            <w:tcMar>
              <w:top w:w="0" w:type="dxa"/>
              <w:left w:w="57" w:type="dxa"/>
              <w:bottom w:w="0" w:type="dxa"/>
              <w:right w:w="57" w:type="dxa"/>
            </w:tcMar>
            <w:vAlign w:val="bottom"/>
            <w:hideMark/>
          </w:tcPr>
          <w:p w14:paraId="60B42A39" w14:textId="77777777" w:rsidR="00F148E0" w:rsidRDefault="00F148E0" w:rsidP="007B5E24">
            <w:pPr>
              <w:pStyle w:val="TableSecondHeading"/>
              <w:rPr>
                <w:lang w:val="en-GB"/>
              </w:rPr>
            </w:pPr>
          </w:p>
        </w:tc>
        <w:tc>
          <w:tcPr>
            <w:tcW w:w="2202" w:type="dxa"/>
            <w:gridSpan w:val="2"/>
            <w:tcBorders>
              <w:top w:val="single" w:sz="4" w:space="0" w:color="808080" w:themeColor="background1" w:themeShade="80"/>
              <w:left w:val="double" w:sz="4" w:space="0" w:color="auto"/>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7AC4ADF6" w14:textId="77777777" w:rsidR="00F148E0" w:rsidRDefault="00F148E0" w:rsidP="007B5E24">
            <w:pPr>
              <w:pStyle w:val="TableSecondHeading"/>
            </w:pPr>
            <w:r>
              <w:t>Overseas</w:t>
            </w:r>
            <w:r>
              <w:noBreakHyphen/>
              <w:t>born</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bottom"/>
            <w:hideMark/>
          </w:tcPr>
          <w:p w14:paraId="6652ADBA" w14:textId="77777777" w:rsidR="00F148E0" w:rsidRDefault="00F148E0" w:rsidP="007B5E24">
            <w:pPr>
              <w:pStyle w:val="TableSecondHeading"/>
              <w:rPr>
                <w:lang w:val="en-GB"/>
              </w:rPr>
            </w:pPr>
          </w:p>
        </w:tc>
        <w:tc>
          <w:tcPr>
            <w:tcW w:w="1100"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bottom"/>
            <w:hideMark/>
          </w:tcPr>
          <w:p w14:paraId="0CDFA00D" w14:textId="77777777" w:rsidR="00F148E0" w:rsidRDefault="00F148E0" w:rsidP="007B5E24">
            <w:pPr>
              <w:pStyle w:val="TableSecondHeading"/>
              <w:rPr>
                <w:lang w:val="en-GB"/>
              </w:rPr>
            </w:pPr>
          </w:p>
        </w:tc>
      </w:tr>
      <w:tr w:rsidR="00F148E0" w14:paraId="0338F6F3" w14:textId="77777777" w:rsidTr="00EB7B9E">
        <w:trPr>
          <w:cantSplit/>
          <w:trHeight w:val="157"/>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2FDC4E6B" w14:textId="77777777" w:rsidR="00F148E0" w:rsidRDefault="00F148E0" w:rsidP="007B5E24">
            <w:pPr>
              <w:pStyle w:val="TableColumnHeadingCentred"/>
              <w:spacing w:before="60" w:after="60"/>
              <w:rPr>
                <w:lang w:val="en-GB"/>
              </w:rPr>
            </w:pP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31B924A1" w14:textId="77777777" w:rsidR="00F148E0" w:rsidRDefault="00F148E0" w:rsidP="007B5E24">
            <w:pPr>
              <w:pStyle w:val="TableColumnHeadingCentred"/>
              <w:spacing w:before="60" w:after="60"/>
            </w:pPr>
            <w:r>
              <w:t>Males</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26BF1273" w14:textId="77777777" w:rsidR="00F148E0" w:rsidRDefault="00F148E0" w:rsidP="007B5E24">
            <w:pPr>
              <w:pStyle w:val="TableColumnHeadingCentred"/>
              <w:spacing w:before="60" w:after="60"/>
            </w:pPr>
            <w:r>
              <w:t>Females</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bottom"/>
            <w:hideMark/>
          </w:tcPr>
          <w:p w14:paraId="0B339714" w14:textId="77777777" w:rsidR="00F148E0" w:rsidRDefault="00F148E0" w:rsidP="007B5E24">
            <w:pPr>
              <w:pStyle w:val="TableColumnHeadingCentred"/>
              <w:spacing w:before="60" w:after="60"/>
            </w:pPr>
            <w:r>
              <w:t>Total</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553790D0" w14:textId="77777777" w:rsidR="00F148E0" w:rsidRDefault="00F148E0" w:rsidP="007B5E24">
            <w:pPr>
              <w:pStyle w:val="TableColumnHeadingCentred"/>
              <w:spacing w:before="60" w:after="60"/>
            </w:pPr>
            <w:r>
              <w:t>Males</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4FBB5E64" w14:textId="77777777" w:rsidR="00F148E0" w:rsidRDefault="00F148E0" w:rsidP="007B5E24">
            <w:pPr>
              <w:pStyle w:val="TableColumnHeadingCentred"/>
              <w:spacing w:before="60" w:after="60"/>
            </w:pPr>
            <w:r>
              <w:t>Females</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62211292" w14:textId="77777777" w:rsidR="00F148E0" w:rsidRDefault="00F148E0" w:rsidP="007B5E24">
            <w:pPr>
              <w:pStyle w:val="TableColumnHeadingCentred"/>
              <w:spacing w:before="60" w:after="60"/>
            </w:pPr>
            <w:r>
              <w:t>Total</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29D248A0" w14:textId="77777777" w:rsidR="00F148E0" w:rsidRDefault="00F148E0" w:rsidP="007B5E24">
            <w:pPr>
              <w:pStyle w:val="TableColumnHeadingCentred"/>
              <w:spacing w:before="60" w:after="60"/>
            </w:pPr>
            <w:r>
              <w:t>Total All</w:t>
            </w:r>
          </w:p>
        </w:tc>
      </w:tr>
      <w:tr w:rsidR="00F148E0" w:rsidRPr="00D3283A" w14:paraId="4EBF38D7" w14:textId="77777777" w:rsidTr="00EB7B9E">
        <w:trPr>
          <w:cantSplit/>
          <w:trHeight w:val="143"/>
        </w:trPr>
        <w:tc>
          <w:tcPr>
            <w:tcW w:w="4783" w:type="dxa"/>
            <w:gridSpan w:val="4"/>
            <w:tcBorders>
              <w:top w:val="single" w:sz="4" w:space="0" w:color="808080" w:themeColor="background1" w:themeShade="80"/>
              <w:left w:val="nil"/>
              <w:bottom w:val="single" w:sz="4" w:space="0" w:color="808080" w:themeColor="background1" w:themeShade="80"/>
              <w:right w:val="double" w:sz="4" w:space="0" w:color="auto"/>
            </w:tcBorders>
            <w:shd w:val="clear" w:color="auto" w:fill="E2EFD9" w:themeFill="accent6" w:themeFillTint="33"/>
            <w:noWrap/>
            <w:tcMar>
              <w:top w:w="0" w:type="dxa"/>
              <w:left w:w="57" w:type="dxa"/>
              <w:bottom w:w="0" w:type="dxa"/>
              <w:right w:w="57" w:type="dxa"/>
            </w:tcMar>
            <w:vAlign w:val="bottom"/>
            <w:hideMark/>
          </w:tcPr>
          <w:p w14:paraId="3B666D11" w14:textId="77777777" w:rsidR="00F148E0" w:rsidRPr="003F0925" w:rsidRDefault="00F148E0" w:rsidP="007B5E24">
            <w:pPr>
              <w:pStyle w:val="TableSecondHeading"/>
              <w:jc w:val="left"/>
            </w:pPr>
            <w:r w:rsidRPr="003F0925">
              <w:t>Change in demographic composition</w:t>
            </w:r>
          </w:p>
        </w:tc>
        <w:tc>
          <w:tcPr>
            <w:tcW w:w="4401" w:type="dxa"/>
            <w:gridSpan w:val="4"/>
            <w:tcBorders>
              <w:top w:val="single" w:sz="4" w:space="0" w:color="808080" w:themeColor="background1" w:themeShade="80"/>
              <w:left w:val="double" w:sz="4" w:space="0" w:color="auto"/>
              <w:bottom w:val="single" w:sz="4" w:space="0" w:color="808080" w:themeColor="background1" w:themeShade="80"/>
              <w:right w:val="nil"/>
            </w:tcBorders>
            <w:shd w:val="clear" w:color="auto" w:fill="E2EFD9" w:themeFill="accent6" w:themeFillTint="33"/>
            <w:vAlign w:val="bottom"/>
          </w:tcPr>
          <w:p w14:paraId="63730622" w14:textId="77777777" w:rsidR="00F148E0" w:rsidRPr="00D3283A" w:rsidRDefault="00F148E0" w:rsidP="007B5E24">
            <w:pPr>
              <w:pStyle w:val="TableSecondHeading"/>
              <w:rPr>
                <w:lang w:val="en-GB"/>
              </w:rPr>
            </w:pPr>
          </w:p>
        </w:tc>
      </w:tr>
      <w:tr w:rsidR="00F148E0" w:rsidRPr="00BD12CB" w14:paraId="588F99CF" w14:textId="77777777" w:rsidTr="00EB7B9E">
        <w:trPr>
          <w:cantSplit/>
          <w:trHeight w:val="20"/>
        </w:trPr>
        <w:tc>
          <w:tcPr>
            <w:tcW w:w="1482"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18F47EED" w14:textId="77777777" w:rsidR="00F148E0" w:rsidRPr="00BD12CB" w:rsidRDefault="00F148E0" w:rsidP="00AF0916">
            <w:pPr>
              <w:pStyle w:val="TableColumnHeadingLeft"/>
            </w:pPr>
            <w:r w:rsidRPr="00BD12CB">
              <w:t>15</w:t>
            </w:r>
            <w:r w:rsidRPr="00BD12CB">
              <w:noBreakHyphen/>
              <w:t>19 years</w:t>
            </w:r>
          </w:p>
        </w:tc>
        <w:tc>
          <w:tcPr>
            <w:tcW w:w="94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76B6165F" w14:textId="77777777" w:rsidR="00F148E0" w:rsidRPr="00BD12CB" w:rsidRDefault="00F148E0" w:rsidP="007B5E24">
            <w:pPr>
              <w:pStyle w:val="TableTextCentered"/>
              <w:spacing w:before="80" w:after="80"/>
            </w:pPr>
            <w:r w:rsidRPr="00BD12CB">
              <w:noBreakHyphen/>
              <w:t>0.3</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42853744" w14:textId="77777777" w:rsidR="00F148E0" w:rsidRPr="00BD12CB" w:rsidRDefault="00F148E0" w:rsidP="007B5E24">
            <w:pPr>
              <w:pStyle w:val="TableTextCentered"/>
              <w:spacing w:before="80" w:after="80"/>
            </w:pPr>
            <w:r w:rsidRPr="00BD12CB">
              <w:noBreakHyphen/>
              <w:t>0.4</w:t>
            </w:r>
          </w:p>
        </w:tc>
        <w:tc>
          <w:tcPr>
            <w:tcW w:w="1100" w:type="dxa"/>
            <w:tcBorders>
              <w:top w:val="single" w:sz="4" w:space="0" w:color="808080" w:themeColor="background1" w:themeShade="80"/>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0BA6162E" w14:textId="77777777" w:rsidR="00F148E0" w:rsidRPr="00BD12CB" w:rsidRDefault="00F148E0" w:rsidP="007B5E24">
            <w:pPr>
              <w:pStyle w:val="TableTextCentered"/>
              <w:spacing w:before="80" w:after="80"/>
            </w:pPr>
            <w:r w:rsidRPr="00BD12CB">
              <w:noBreakHyphen/>
              <w:t>0.7</w:t>
            </w:r>
          </w:p>
        </w:tc>
        <w:tc>
          <w:tcPr>
            <w:tcW w:w="942" w:type="dxa"/>
            <w:tcBorders>
              <w:top w:val="single" w:sz="4" w:space="0" w:color="808080" w:themeColor="background1" w:themeShade="80"/>
              <w:left w:val="double" w:sz="4" w:space="0" w:color="auto"/>
              <w:bottom w:val="nil"/>
              <w:right w:val="nil"/>
            </w:tcBorders>
            <w:noWrap/>
            <w:tcMar>
              <w:top w:w="0" w:type="dxa"/>
              <w:left w:w="57" w:type="dxa"/>
              <w:bottom w:w="0" w:type="dxa"/>
              <w:right w:w="57" w:type="dxa"/>
            </w:tcMar>
            <w:vAlign w:val="center"/>
            <w:hideMark/>
          </w:tcPr>
          <w:p w14:paraId="7DAD9A74" w14:textId="77777777" w:rsidR="00F148E0" w:rsidRPr="00BD12CB" w:rsidRDefault="00F148E0" w:rsidP="007B5E24">
            <w:pPr>
              <w:pStyle w:val="TableTextCentered"/>
              <w:spacing w:before="80" w:after="80"/>
            </w:pPr>
            <w:r w:rsidRPr="00BD12CB">
              <w:t>0.0</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080B59BE"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367E7C68"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2D7765F8" w14:textId="77777777" w:rsidR="00F148E0" w:rsidRPr="00BD12CB" w:rsidRDefault="00F148E0" w:rsidP="007B5E24">
            <w:pPr>
              <w:pStyle w:val="TableTextCentered"/>
              <w:spacing w:before="80" w:after="80"/>
            </w:pPr>
            <w:r w:rsidRPr="00BD12CB">
              <w:noBreakHyphen/>
              <w:t>0.7</w:t>
            </w:r>
          </w:p>
        </w:tc>
      </w:tr>
      <w:tr w:rsidR="00F148E0" w:rsidRPr="00BD12CB" w14:paraId="340C402C"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80C7551" w14:textId="77777777" w:rsidR="00F148E0" w:rsidRPr="00BD12CB" w:rsidRDefault="00F148E0" w:rsidP="00AF0916">
            <w:pPr>
              <w:pStyle w:val="TableColumnHeadingLeft"/>
            </w:pPr>
            <w:r w:rsidRPr="00BD12CB">
              <w:t>20</w:t>
            </w:r>
            <w:r w:rsidRPr="00BD12CB">
              <w:noBreakHyphen/>
              <w:t>24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30FD531B" w14:textId="77777777" w:rsidR="00F148E0" w:rsidRPr="00BD12CB" w:rsidRDefault="00F148E0" w:rsidP="007B5E24">
            <w:pPr>
              <w:pStyle w:val="TableTextCentered"/>
              <w:spacing w:before="80" w:after="80"/>
            </w:pPr>
            <w:r w:rsidRPr="00BD12CB">
              <w:noBreakHyphen/>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16A12DF" w14:textId="77777777" w:rsidR="00F148E0" w:rsidRPr="00BD12CB" w:rsidRDefault="00F148E0" w:rsidP="007B5E24">
            <w:pPr>
              <w:pStyle w:val="TableTextCentered"/>
              <w:spacing w:before="80" w:after="80"/>
            </w:pPr>
            <w:r w:rsidRPr="00BD12CB">
              <w:noBreakHyphen/>
              <w:t>0.2</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5D62A33E" w14:textId="77777777" w:rsidR="00F148E0" w:rsidRPr="00BD12CB" w:rsidRDefault="00F148E0" w:rsidP="007B5E24">
            <w:pPr>
              <w:pStyle w:val="TableTextCentered"/>
              <w:spacing w:before="80" w:after="80"/>
            </w:pPr>
            <w:r w:rsidRPr="00BD12CB">
              <w:noBreakHyphen/>
              <w:t>0.3</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2C1D5E23"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7DB13722"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29D0C10"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DE48D44" w14:textId="77777777" w:rsidR="00F148E0" w:rsidRPr="00BD12CB" w:rsidRDefault="00F148E0" w:rsidP="007B5E24">
            <w:pPr>
              <w:pStyle w:val="TableTextCentered"/>
              <w:spacing w:before="80" w:after="80"/>
            </w:pPr>
            <w:r w:rsidRPr="00BD12CB">
              <w:t>0.0</w:t>
            </w:r>
          </w:p>
        </w:tc>
      </w:tr>
      <w:tr w:rsidR="00F148E0" w:rsidRPr="00BD12CB" w14:paraId="5D32290F"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506A2FD" w14:textId="77777777" w:rsidR="00F148E0" w:rsidRPr="00BD12CB" w:rsidRDefault="00F148E0" w:rsidP="00AF0916">
            <w:pPr>
              <w:pStyle w:val="TableColumnHeadingLeft"/>
            </w:pPr>
            <w:r w:rsidRPr="00BD12CB">
              <w:t>25</w:t>
            </w:r>
            <w:r w:rsidRPr="00BD12CB">
              <w:noBreakHyphen/>
              <w:t>34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AA796ED" w14:textId="77777777" w:rsidR="00F148E0" w:rsidRPr="00BD12CB" w:rsidRDefault="00F148E0" w:rsidP="007B5E24">
            <w:pPr>
              <w:pStyle w:val="TableTextCentered"/>
              <w:spacing w:before="80" w:after="80"/>
            </w:pPr>
            <w:r w:rsidRPr="00BD12CB">
              <w:noBreakHyphen/>
              <w:t>1.3</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A560C32" w14:textId="77777777" w:rsidR="00F148E0" w:rsidRPr="00BD12CB" w:rsidRDefault="00F148E0" w:rsidP="007B5E24">
            <w:pPr>
              <w:pStyle w:val="TableTextCentered"/>
              <w:spacing w:before="80" w:after="80"/>
            </w:pPr>
            <w:r w:rsidRPr="00BD12CB">
              <w:noBreakHyphen/>
              <w:t>1.0</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221E84A7" w14:textId="77777777" w:rsidR="00F148E0" w:rsidRPr="00BD12CB" w:rsidRDefault="00F148E0" w:rsidP="007B5E24">
            <w:pPr>
              <w:pStyle w:val="TableTextCentered"/>
              <w:spacing w:before="80" w:after="80"/>
            </w:pPr>
            <w:r w:rsidRPr="00BD12CB">
              <w:noBreakHyphen/>
              <w:t>2.4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07D3ADC6" w14:textId="77777777" w:rsidR="00F148E0" w:rsidRPr="00BD12CB" w:rsidRDefault="00F148E0" w:rsidP="007B5E24">
            <w:pPr>
              <w:pStyle w:val="TableTextCentered"/>
              <w:spacing w:before="80" w:after="80"/>
            </w:pPr>
            <w:r w:rsidRPr="00BD12CB">
              <w:t>0.9</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EBE33C2" w14:textId="77777777" w:rsidR="00F148E0" w:rsidRPr="00BD12CB" w:rsidRDefault="00F148E0" w:rsidP="007B5E24">
            <w:pPr>
              <w:pStyle w:val="TableTextCentered"/>
              <w:spacing w:before="80" w:after="80"/>
            </w:pPr>
            <w:r w:rsidRPr="00BD12CB">
              <w:t>0.6</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41D48779" w14:textId="77777777" w:rsidR="00F148E0" w:rsidRPr="00BD12CB" w:rsidRDefault="00F148E0" w:rsidP="007B5E24">
            <w:pPr>
              <w:pStyle w:val="TableTextCentered"/>
              <w:spacing w:before="80" w:after="80"/>
            </w:pPr>
            <w:r w:rsidRPr="00BD12CB">
              <w:t>1.6</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115DF950" w14:textId="77777777" w:rsidR="00F148E0" w:rsidRPr="00BD12CB" w:rsidRDefault="00F148E0" w:rsidP="007B5E24">
            <w:pPr>
              <w:pStyle w:val="TableTextCentered"/>
              <w:spacing w:before="80" w:after="80"/>
            </w:pPr>
            <w:r w:rsidRPr="00BD12CB">
              <w:noBreakHyphen/>
              <w:t>0.8</w:t>
            </w:r>
          </w:p>
        </w:tc>
      </w:tr>
      <w:tr w:rsidR="00F148E0" w:rsidRPr="00BD12CB" w14:paraId="3A28AF95"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685E0AB9" w14:textId="77777777" w:rsidR="00F148E0" w:rsidRPr="00BD12CB" w:rsidRDefault="00F148E0" w:rsidP="00AF0916">
            <w:pPr>
              <w:pStyle w:val="TableColumnHeadingLeft"/>
            </w:pPr>
            <w:r w:rsidRPr="00BD12CB">
              <w:t>35</w:t>
            </w:r>
            <w:r w:rsidRPr="00BD12CB">
              <w:noBreakHyphen/>
              <w:t>44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ACE5915" w14:textId="77777777" w:rsidR="00F148E0" w:rsidRPr="00BD12CB" w:rsidRDefault="00F148E0" w:rsidP="007B5E24">
            <w:pPr>
              <w:pStyle w:val="TableTextCentered"/>
              <w:spacing w:before="80" w:after="80"/>
            </w:pPr>
            <w:r w:rsidRPr="00BD12CB">
              <w:noBreakHyphen/>
              <w:t>1.4</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93C80D3" w14:textId="77777777" w:rsidR="00F148E0" w:rsidRPr="00BD12CB" w:rsidRDefault="00F148E0" w:rsidP="007B5E24">
            <w:pPr>
              <w:pStyle w:val="TableTextCentered"/>
              <w:spacing w:before="80" w:after="80"/>
            </w:pPr>
            <w:r w:rsidRPr="00BD12CB">
              <w:noBreakHyphen/>
              <w:t>1.1</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012704C9" w14:textId="77777777" w:rsidR="00F148E0" w:rsidRPr="00BD12CB" w:rsidRDefault="00F148E0" w:rsidP="007B5E24">
            <w:pPr>
              <w:pStyle w:val="TableTextCentered"/>
              <w:spacing w:before="80" w:after="80"/>
            </w:pPr>
            <w:r w:rsidRPr="00BD12CB">
              <w:noBreakHyphen/>
              <w:t>2.4</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50EF363C" w14:textId="77777777" w:rsidR="00F148E0" w:rsidRPr="00BD12CB" w:rsidRDefault="00F148E0" w:rsidP="007B5E24">
            <w:pPr>
              <w:pStyle w:val="TableTextCentered"/>
              <w:spacing w:before="80" w:after="80"/>
            </w:pPr>
            <w:r w:rsidRPr="00BD12CB">
              <w:noBreakHyphen/>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40083E1"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2CFF2C8"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1EA1A44C" w14:textId="77777777" w:rsidR="00F148E0" w:rsidRPr="00BD12CB" w:rsidRDefault="00F148E0" w:rsidP="007B5E24">
            <w:pPr>
              <w:pStyle w:val="TableTextCentered"/>
              <w:spacing w:before="80" w:after="80"/>
            </w:pPr>
            <w:r w:rsidRPr="00BD12CB">
              <w:noBreakHyphen/>
              <w:t>2.5</w:t>
            </w:r>
          </w:p>
        </w:tc>
      </w:tr>
      <w:tr w:rsidR="00F148E0" w:rsidRPr="00BD12CB" w14:paraId="3184DAF2"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45E4B4E8" w14:textId="77777777" w:rsidR="00F148E0" w:rsidRPr="00BD12CB" w:rsidRDefault="00F148E0" w:rsidP="00AF0916">
            <w:pPr>
              <w:pStyle w:val="TableColumnHeadingLeft"/>
            </w:pPr>
            <w:r w:rsidRPr="00BD12CB">
              <w:t>45</w:t>
            </w:r>
            <w:r w:rsidRPr="00BD12CB">
              <w:noBreakHyphen/>
              <w:t>54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1FCF096" w14:textId="77777777" w:rsidR="00F148E0" w:rsidRPr="00BD12CB" w:rsidRDefault="00F148E0" w:rsidP="007B5E24">
            <w:pPr>
              <w:pStyle w:val="TableTextCentered"/>
              <w:spacing w:before="80" w:after="80"/>
            </w:pPr>
            <w:r w:rsidRPr="00BD12CB">
              <w:noBreakHyphen/>
              <w:t>0.4</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FA68F33" w14:textId="77777777" w:rsidR="00F148E0" w:rsidRPr="00BD12CB" w:rsidRDefault="00F148E0" w:rsidP="007B5E24">
            <w:pPr>
              <w:pStyle w:val="TableTextCentered"/>
              <w:spacing w:before="80" w:after="80"/>
            </w:pPr>
            <w:r w:rsidRPr="00BD12CB">
              <w:noBreakHyphen/>
              <w:t>0.2</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03D04FCD" w14:textId="77777777" w:rsidR="00F148E0" w:rsidRPr="00BD12CB" w:rsidRDefault="00F148E0" w:rsidP="007B5E24">
            <w:pPr>
              <w:pStyle w:val="TableTextCentered"/>
              <w:spacing w:before="80" w:after="80"/>
            </w:pPr>
            <w:r w:rsidRPr="00BD12CB">
              <w:noBreakHyphen/>
              <w:t>0.5</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69922EC2" w14:textId="77777777" w:rsidR="00F148E0" w:rsidRPr="00BD12CB" w:rsidRDefault="00F148E0" w:rsidP="007B5E24">
            <w:pPr>
              <w:pStyle w:val="TableTextCentered"/>
              <w:spacing w:before="80" w:after="80"/>
            </w:pPr>
            <w:r w:rsidRPr="00BD12CB">
              <w:noBreakHyphen/>
              <w:t>0.3</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2818A6AA"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54BE8799" w14:textId="77777777" w:rsidR="00F148E0" w:rsidRPr="00BD12CB" w:rsidRDefault="00F148E0" w:rsidP="007B5E24">
            <w:pPr>
              <w:pStyle w:val="TableTextCentered"/>
              <w:spacing w:before="80" w:after="80"/>
            </w:pPr>
            <w:r w:rsidRPr="00BD12CB">
              <w:noBreakHyphen/>
              <w:t>0.4</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2C64C922" w14:textId="77777777" w:rsidR="00F148E0" w:rsidRPr="00BD12CB" w:rsidRDefault="00F148E0" w:rsidP="007B5E24">
            <w:pPr>
              <w:pStyle w:val="TableTextCentered"/>
              <w:spacing w:before="80" w:after="80"/>
            </w:pPr>
            <w:r w:rsidRPr="00BD12CB">
              <w:noBreakHyphen/>
              <w:t>0.9</w:t>
            </w:r>
          </w:p>
        </w:tc>
      </w:tr>
      <w:tr w:rsidR="00F148E0" w:rsidRPr="00BD12CB" w14:paraId="6CFB005F"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0D0353A" w14:textId="77777777" w:rsidR="00F148E0" w:rsidRPr="00BD12CB" w:rsidRDefault="00F148E0" w:rsidP="00AF0916">
            <w:pPr>
              <w:pStyle w:val="TableColumnHeadingLeft"/>
            </w:pPr>
            <w:r w:rsidRPr="00BD12CB">
              <w:t>55</w:t>
            </w:r>
            <w:r w:rsidRPr="00BD12CB">
              <w:noBreakHyphen/>
              <w:t>64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5E96DE91" w14:textId="77777777" w:rsidR="00F148E0" w:rsidRPr="00BD12CB" w:rsidRDefault="00F148E0" w:rsidP="007B5E24">
            <w:pPr>
              <w:pStyle w:val="TableTextCentered"/>
              <w:spacing w:before="80" w:after="80"/>
            </w:pPr>
            <w:r w:rsidRPr="00BD12CB">
              <w:t>0.7</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CE53B1D"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6119AA97" w14:textId="77777777" w:rsidR="00F148E0" w:rsidRPr="00BD12CB" w:rsidRDefault="00F148E0" w:rsidP="007B5E24">
            <w:pPr>
              <w:pStyle w:val="TableTextCentered"/>
              <w:spacing w:before="80" w:after="80"/>
            </w:pPr>
            <w:r w:rsidRPr="00BD12CB">
              <w:t>1.1</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30B241A4"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418D01CD"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98AEB6A"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41762876" w14:textId="77777777" w:rsidR="00F148E0" w:rsidRPr="00BD12CB" w:rsidRDefault="00F148E0" w:rsidP="007B5E24">
            <w:pPr>
              <w:pStyle w:val="TableTextCentered"/>
              <w:spacing w:before="80" w:after="80"/>
            </w:pPr>
            <w:r w:rsidRPr="00BD12CB">
              <w:t>1.3</w:t>
            </w:r>
          </w:p>
        </w:tc>
      </w:tr>
      <w:tr w:rsidR="00F148E0" w:rsidRPr="00BD12CB" w14:paraId="75137570" w14:textId="77777777" w:rsidTr="00EB7B9E">
        <w:trPr>
          <w:cantSplit/>
          <w:trHeight w:val="20"/>
        </w:trPr>
        <w:tc>
          <w:tcPr>
            <w:tcW w:w="1482"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44A1D9E" w14:textId="77777777" w:rsidR="00F148E0" w:rsidRPr="00BD12CB" w:rsidRDefault="00F148E0" w:rsidP="00AF0916">
            <w:pPr>
              <w:pStyle w:val="TableColumnHeadingLeft"/>
            </w:pPr>
            <w:r w:rsidRPr="00BD12CB">
              <w:t xml:space="preserve">65 + years </w:t>
            </w:r>
          </w:p>
        </w:tc>
        <w:tc>
          <w:tcPr>
            <w:tcW w:w="94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5A5F1FD2" w14:textId="77777777" w:rsidR="00F148E0" w:rsidRPr="00BD12CB" w:rsidRDefault="00F148E0" w:rsidP="007B5E24">
            <w:pPr>
              <w:pStyle w:val="TableTextCentered"/>
              <w:spacing w:before="80" w:after="80"/>
            </w:pPr>
            <w:r w:rsidRPr="00BD12CB">
              <w:t>0.1</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0E54AB03"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single" w:sz="4" w:space="0" w:color="808080" w:themeColor="background1" w:themeShade="80"/>
              <w:right w:val="double" w:sz="4" w:space="0" w:color="auto"/>
            </w:tcBorders>
            <w:noWrap/>
            <w:tcMar>
              <w:top w:w="0" w:type="dxa"/>
              <w:left w:w="57" w:type="dxa"/>
              <w:bottom w:w="0" w:type="dxa"/>
              <w:right w:w="57" w:type="dxa"/>
            </w:tcMar>
            <w:vAlign w:val="center"/>
            <w:hideMark/>
          </w:tcPr>
          <w:p w14:paraId="61313EE5" w14:textId="77777777" w:rsidR="00F148E0" w:rsidRPr="00BD12CB" w:rsidRDefault="00F148E0" w:rsidP="007B5E24">
            <w:pPr>
              <w:pStyle w:val="TableTextCentered"/>
              <w:spacing w:before="80" w:after="80"/>
            </w:pPr>
            <w:r w:rsidRPr="00BD12CB">
              <w:t>0.1</w:t>
            </w:r>
          </w:p>
        </w:tc>
        <w:tc>
          <w:tcPr>
            <w:tcW w:w="942" w:type="dxa"/>
            <w:tcBorders>
              <w:top w:val="nil"/>
              <w:left w:val="double" w:sz="4" w:space="0" w:color="auto"/>
              <w:bottom w:val="single" w:sz="4" w:space="0" w:color="808080" w:themeColor="background1" w:themeShade="80"/>
              <w:right w:val="nil"/>
            </w:tcBorders>
            <w:noWrap/>
            <w:tcMar>
              <w:top w:w="0" w:type="dxa"/>
              <w:left w:w="57" w:type="dxa"/>
              <w:bottom w:w="0" w:type="dxa"/>
              <w:right w:w="57" w:type="dxa"/>
            </w:tcMar>
            <w:vAlign w:val="center"/>
            <w:hideMark/>
          </w:tcPr>
          <w:p w14:paraId="3946C8DC" w14:textId="77777777" w:rsidR="00F148E0" w:rsidRPr="00BD12CB" w:rsidRDefault="00F148E0" w:rsidP="007B5E24">
            <w:pPr>
              <w:pStyle w:val="TableTextCentered"/>
              <w:spacing w:before="80" w:after="80"/>
            </w:pPr>
            <w:r w:rsidRPr="00BD12CB">
              <w:t>0.1</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6B946873"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3777FD63"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11409150" w14:textId="77777777" w:rsidR="00F148E0" w:rsidRPr="00BD12CB" w:rsidRDefault="00F148E0" w:rsidP="007B5E24">
            <w:pPr>
              <w:pStyle w:val="TableTextCentered"/>
              <w:spacing w:before="80" w:after="80"/>
            </w:pPr>
            <w:r w:rsidRPr="00BD12CB">
              <w:t>0.2</w:t>
            </w:r>
          </w:p>
        </w:tc>
      </w:tr>
      <w:tr w:rsidR="00F148E0" w:rsidRPr="00BD12CB" w14:paraId="3F1F4102"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68D3F8E" w14:textId="77777777" w:rsidR="00F148E0" w:rsidRPr="00BD12CB" w:rsidRDefault="00F148E0" w:rsidP="00AF0916">
            <w:pPr>
              <w:pStyle w:val="TableColumnHeadingLeft"/>
            </w:pPr>
            <w:r w:rsidRPr="00BD12CB">
              <w:t>Total</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3CBD36B" w14:textId="77777777" w:rsidR="00F148E0" w:rsidRPr="00BD12CB" w:rsidRDefault="00F148E0" w:rsidP="007B5E24">
            <w:pPr>
              <w:pStyle w:val="TableTextCentered"/>
              <w:spacing w:before="80" w:after="80"/>
            </w:pPr>
            <w:r w:rsidRPr="00BD12CB">
              <w:noBreakHyphen/>
              <w:t>2.6</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6D7AAFD9" w14:textId="77777777" w:rsidR="00F148E0" w:rsidRPr="00BD12CB" w:rsidRDefault="00F148E0" w:rsidP="007B5E24">
            <w:pPr>
              <w:pStyle w:val="TableTextCentered"/>
              <w:spacing w:before="80" w:after="80"/>
            </w:pPr>
            <w:r w:rsidRPr="00BD12CB">
              <w:noBreakHyphen/>
              <w:t>2.4</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center"/>
            <w:hideMark/>
          </w:tcPr>
          <w:p w14:paraId="16B8FAF7" w14:textId="77777777" w:rsidR="00F148E0" w:rsidRPr="00BD12CB" w:rsidRDefault="00F148E0" w:rsidP="007B5E24">
            <w:pPr>
              <w:pStyle w:val="TableTextCentered"/>
              <w:spacing w:before="80" w:after="80"/>
            </w:pPr>
            <w:r w:rsidRPr="00BD12CB">
              <w:noBreakHyphen/>
              <w:t>5.0</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51809532" w14:textId="77777777" w:rsidR="00F148E0" w:rsidRPr="00BD12CB" w:rsidRDefault="00F148E0" w:rsidP="007B5E24">
            <w:pPr>
              <w:pStyle w:val="TableTextCentered"/>
              <w:spacing w:before="80" w:after="80"/>
            </w:pPr>
            <w:r w:rsidRPr="00BD12CB">
              <w:t>0.8</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4CE8733C" w14:textId="77777777" w:rsidR="00F148E0" w:rsidRPr="00BD12CB" w:rsidRDefault="00F148E0" w:rsidP="007B5E24">
            <w:pPr>
              <w:pStyle w:val="TableTextCentered"/>
              <w:spacing w:before="80" w:after="80"/>
            </w:pPr>
            <w:r w:rsidRPr="00BD12CB">
              <w:t>0.8</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C9996FF" w14:textId="77777777" w:rsidR="00F148E0" w:rsidRPr="00BD12CB" w:rsidRDefault="00F148E0" w:rsidP="007B5E24">
            <w:pPr>
              <w:pStyle w:val="TableTextCentered"/>
              <w:spacing w:before="80" w:after="80"/>
            </w:pPr>
            <w:r w:rsidRPr="00BD12CB">
              <w:t>1.6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B427213" w14:textId="77777777" w:rsidR="00F148E0" w:rsidRPr="00BD12CB" w:rsidRDefault="00F148E0" w:rsidP="007B5E24">
            <w:pPr>
              <w:pStyle w:val="TableTextCentered"/>
              <w:spacing w:before="80" w:after="80"/>
            </w:pPr>
            <w:r w:rsidRPr="00BD12CB">
              <w:noBreakHyphen/>
              <w:t>3.4</w:t>
            </w:r>
          </w:p>
        </w:tc>
      </w:tr>
      <w:tr w:rsidR="00F148E0" w:rsidRPr="003F0925" w14:paraId="68D7EFA0"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2D0DB82E" w14:textId="77777777" w:rsidR="00F148E0" w:rsidRPr="003F0925" w:rsidRDefault="00F148E0" w:rsidP="00EB7B9E">
            <w:pPr>
              <w:pStyle w:val="TableTextZero"/>
            </w:pPr>
          </w:p>
        </w:tc>
        <w:tc>
          <w:tcPr>
            <w:tcW w:w="94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025F7702" w14:textId="77777777" w:rsidR="00F148E0" w:rsidRPr="003F0925" w:rsidRDefault="00F148E0" w:rsidP="00EB7B9E">
            <w:pPr>
              <w:pStyle w:val="TableTextZero"/>
            </w:pPr>
          </w:p>
        </w:tc>
        <w:tc>
          <w:tcPr>
            <w:tcW w:w="126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23654758"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double" w:sz="4" w:space="0" w:color="auto"/>
            </w:tcBorders>
            <w:noWrap/>
            <w:tcMar>
              <w:top w:w="0" w:type="dxa"/>
              <w:left w:w="57" w:type="dxa"/>
              <w:bottom w:w="0" w:type="dxa"/>
              <w:right w:w="57" w:type="dxa"/>
            </w:tcMar>
            <w:vAlign w:val="bottom"/>
            <w:hideMark/>
          </w:tcPr>
          <w:p w14:paraId="7F6EB69C" w14:textId="77777777" w:rsidR="00F148E0" w:rsidRPr="003F0925" w:rsidRDefault="00F148E0" w:rsidP="00EB7B9E">
            <w:pPr>
              <w:pStyle w:val="TableTextZero"/>
            </w:pPr>
          </w:p>
        </w:tc>
        <w:tc>
          <w:tcPr>
            <w:tcW w:w="942" w:type="dxa"/>
            <w:tcBorders>
              <w:top w:val="single" w:sz="4" w:space="0" w:color="808080" w:themeColor="background1" w:themeShade="80"/>
              <w:left w:val="double" w:sz="4" w:space="0" w:color="auto"/>
              <w:bottom w:val="single" w:sz="4" w:space="0" w:color="808080" w:themeColor="background1" w:themeShade="80"/>
              <w:right w:val="nil"/>
            </w:tcBorders>
            <w:noWrap/>
            <w:tcMar>
              <w:top w:w="0" w:type="dxa"/>
              <w:left w:w="57" w:type="dxa"/>
              <w:bottom w:w="0" w:type="dxa"/>
              <w:right w:w="57" w:type="dxa"/>
            </w:tcMar>
            <w:vAlign w:val="bottom"/>
            <w:hideMark/>
          </w:tcPr>
          <w:p w14:paraId="556085FE" w14:textId="77777777" w:rsidR="00F148E0" w:rsidRPr="003F0925" w:rsidRDefault="00F148E0" w:rsidP="00EB7B9E">
            <w:pPr>
              <w:pStyle w:val="TableTextZero"/>
            </w:pPr>
          </w:p>
        </w:tc>
        <w:tc>
          <w:tcPr>
            <w:tcW w:w="126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73013CC2"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1184D65D"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3020793D" w14:textId="77777777" w:rsidR="00F148E0" w:rsidRPr="003F0925" w:rsidRDefault="00F148E0" w:rsidP="00EB7B9E">
            <w:pPr>
              <w:pStyle w:val="TableTextZero"/>
            </w:pPr>
          </w:p>
        </w:tc>
      </w:tr>
      <w:tr w:rsidR="00F148E0" w:rsidRPr="00D3283A" w14:paraId="4CD2E17A" w14:textId="77777777" w:rsidTr="00EB7B9E">
        <w:trPr>
          <w:cantSplit/>
          <w:trHeight w:val="20"/>
        </w:trPr>
        <w:tc>
          <w:tcPr>
            <w:tcW w:w="4783" w:type="dxa"/>
            <w:gridSpan w:val="4"/>
            <w:tcBorders>
              <w:top w:val="single" w:sz="4" w:space="0" w:color="808080" w:themeColor="background1" w:themeShade="80"/>
              <w:left w:val="nil"/>
              <w:bottom w:val="single" w:sz="4" w:space="0" w:color="808080" w:themeColor="background1" w:themeShade="80"/>
              <w:right w:val="double" w:sz="4" w:space="0" w:color="auto"/>
            </w:tcBorders>
            <w:shd w:val="clear" w:color="auto" w:fill="E2EFD9" w:themeFill="accent6" w:themeFillTint="33"/>
            <w:noWrap/>
            <w:tcMar>
              <w:top w:w="0" w:type="dxa"/>
              <w:left w:w="57" w:type="dxa"/>
              <w:bottom w:w="0" w:type="dxa"/>
              <w:right w:w="57" w:type="dxa"/>
            </w:tcMar>
            <w:vAlign w:val="bottom"/>
            <w:hideMark/>
          </w:tcPr>
          <w:p w14:paraId="3F10BE7E" w14:textId="77777777" w:rsidR="00F148E0" w:rsidRPr="003F0925" w:rsidRDefault="00F148E0" w:rsidP="00F148E0">
            <w:pPr>
              <w:pStyle w:val="TableSecondHeading"/>
              <w:jc w:val="left"/>
            </w:pPr>
            <w:r w:rsidRPr="003F0925">
              <w:t>Change in propensity to participate</w:t>
            </w:r>
          </w:p>
        </w:tc>
        <w:tc>
          <w:tcPr>
            <w:tcW w:w="4401" w:type="dxa"/>
            <w:gridSpan w:val="4"/>
            <w:tcBorders>
              <w:top w:val="single" w:sz="4" w:space="0" w:color="808080" w:themeColor="background1" w:themeShade="80"/>
              <w:left w:val="double" w:sz="4" w:space="0" w:color="auto"/>
              <w:bottom w:val="single" w:sz="4" w:space="0" w:color="808080" w:themeColor="background1" w:themeShade="80"/>
              <w:right w:val="nil"/>
            </w:tcBorders>
            <w:shd w:val="clear" w:color="auto" w:fill="E2EFD9" w:themeFill="accent6" w:themeFillTint="33"/>
            <w:vAlign w:val="bottom"/>
          </w:tcPr>
          <w:p w14:paraId="0068BACC" w14:textId="77777777" w:rsidR="00F148E0" w:rsidRPr="00D3283A" w:rsidRDefault="00F148E0" w:rsidP="00EB7B9E">
            <w:pPr>
              <w:pStyle w:val="TableSecondHeading"/>
              <w:rPr>
                <w:lang w:val="en-GB"/>
              </w:rPr>
            </w:pPr>
          </w:p>
        </w:tc>
      </w:tr>
      <w:tr w:rsidR="00F148E0" w:rsidRPr="00BD12CB" w14:paraId="0ABF803A" w14:textId="77777777" w:rsidTr="00EB7B9E">
        <w:trPr>
          <w:cantSplit/>
          <w:trHeight w:val="217"/>
        </w:trPr>
        <w:tc>
          <w:tcPr>
            <w:tcW w:w="1482"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5120D618" w14:textId="77777777" w:rsidR="00F148E0" w:rsidRPr="00BD12CB" w:rsidRDefault="00F148E0" w:rsidP="00AF0916">
            <w:pPr>
              <w:pStyle w:val="TableColumnHeadingLeft"/>
            </w:pPr>
            <w:r w:rsidRPr="00BD12CB">
              <w:t>15</w:t>
            </w:r>
            <w:r w:rsidRPr="00BD12CB">
              <w:noBreakHyphen/>
              <w:t>19 years</w:t>
            </w:r>
          </w:p>
        </w:tc>
        <w:tc>
          <w:tcPr>
            <w:tcW w:w="94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73C23799" w14:textId="77777777" w:rsidR="00F148E0" w:rsidRPr="00BD12CB" w:rsidRDefault="00F148E0" w:rsidP="007B5E24">
            <w:pPr>
              <w:pStyle w:val="TableTextCentered"/>
              <w:spacing w:before="80" w:after="80"/>
            </w:pPr>
            <w:r w:rsidRPr="00BD12CB">
              <w:noBreakHyphen/>
              <w:t>0.3</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7CDBE376" w14:textId="77777777" w:rsidR="00F148E0" w:rsidRPr="00BD12CB" w:rsidRDefault="00F148E0" w:rsidP="007B5E24">
            <w:pPr>
              <w:pStyle w:val="TableTextCentered"/>
              <w:spacing w:before="80" w:after="80"/>
            </w:pPr>
            <w:r w:rsidRPr="00BD12CB">
              <w:noBreakHyphen/>
              <w:t>0.1</w:t>
            </w:r>
          </w:p>
        </w:tc>
        <w:tc>
          <w:tcPr>
            <w:tcW w:w="1100" w:type="dxa"/>
            <w:tcBorders>
              <w:top w:val="single" w:sz="4" w:space="0" w:color="808080" w:themeColor="background1" w:themeShade="80"/>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1AB221E0" w14:textId="77777777" w:rsidR="00F148E0" w:rsidRPr="00BD12CB" w:rsidRDefault="00F148E0" w:rsidP="007B5E24">
            <w:pPr>
              <w:pStyle w:val="TableTextCentered"/>
              <w:spacing w:before="80" w:after="80"/>
            </w:pPr>
            <w:r w:rsidRPr="00BD12CB">
              <w:noBreakHyphen/>
              <w:t>0.4</w:t>
            </w:r>
          </w:p>
        </w:tc>
        <w:tc>
          <w:tcPr>
            <w:tcW w:w="942" w:type="dxa"/>
            <w:tcBorders>
              <w:top w:val="single" w:sz="4" w:space="0" w:color="808080" w:themeColor="background1" w:themeShade="80"/>
              <w:left w:val="double" w:sz="4" w:space="0" w:color="auto"/>
              <w:bottom w:val="nil"/>
              <w:right w:val="nil"/>
            </w:tcBorders>
            <w:noWrap/>
            <w:tcMar>
              <w:top w:w="0" w:type="dxa"/>
              <w:left w:w="57" w:type="dxa"/>
              <w:bottom w:w="0" w:type="dxa"/>
              <w:right w:w="57" w:type="dxa"/>
            </w:tcMar>
            <w:vAlign w:val="center"/>
            <w:hideMark/>
          </w:tcPr>
          <w:p w14:paraId="3ECA5987" w14:textId="77777777" w:rsidR="00F148E0" w:rsidRPr="00BD12CB" w:rsidRDefault="00F148E0" w:rsidP="007B5E24">
            <w:pPr>
              <w:pStyle w:val="TableTextCentered"/>
              <w:spacing w:before="80" w:after="80"/>
            </w:pPr>
            <w:r w:rsidRPr="00BD12CB">
              <w:t>0.0</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73D970FF"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77D0E87C"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2473D502" w14:textId="77777777" w:rsidR="00F148E0" w:rsidRPr="00BD12CB" w:rsidRDefault="00F148E0" w:rsidP="007B5E24">
            <w:pPr>
              <w:pStyle w:val="TableTextCentered"/>
              <w:spacing w:before="80" w:after="80"/>
            </w:pPr>
            <w:r w:rsidRPr="00BD12CB">
              <w:noBreakHyphen/>
              <w:t>0.4</w:t>
            </w:r>
          </w:p>
        </w:tc>
      </w:tr>
      <w:tr w:rsidR="00F148E0" w:rsidRPr="00BD12CB" w14:paraId="7F143250"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6FA6E405" w14:textId="77777777" w:rsidR="00F148E0" w:rsidRPr="00BD12CB" w:rsidRDefault="00F148E0" w:rsidP="00AF0916">
            <w:pPr>
              <w:pStyle w:val="TableColumnHeadingLeft"/>
            </w:pPr>
            <w:r w:rsidRPr="00BD12CB">
              <w:t>20</w:t>
            </w:r>
            <w:r w:rsidRPr="00BD12CB">
              <w:noBreakHyphen/>
              <w:t>24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086816F" w14:textId="77777777" w:rsidR="00F148E0" w:rsidRPr="00BD12CB" w:rsidRDefault="00F148E0" w:rsidP="007B5E24">
            <w:pPr>
              <w:pStyle w:val="TableTextCentered"/>
              <w:spacing w:before="80" w:after="80"/>
            </w:pPr>
            <w:r w:rsidRPr="00BD12CB">
              <w:noBreakHyphen/>
              <w:t>0.2</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732075A2"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3F4DC0DC" w14:textId="77777777" w:rsidR="00F148E0" w:rsidRPr="00BD12CB" w:rsidRDefault="00F148E0" w:rsidP="007B5E24">
            <w:pPr>
              <w:pStyle w:val="TableTextCentered"/>
              <w:spacing w:before="80" w:after="80"/>
            </w:pPr>
            <w:r w:rsidRPr="00BD12CB">
              <w:noBreakHyphen/>
              <w:t>0.1</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24EC9F40"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4A6203C"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42F6A4D"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A0DD0E7" w14:textId="77777777" w:rsidR="00F148E0" w:rsidRPr="00BD12CB" w:rsidRDefault="00F148E0" w:rsidP="007B5E24">
            <w:pPr>
              <w:pStyle w:val="TableTextCentered"/>
              <w:spacing w:before="80" w:after="80"/>
            </w:pPr>
            <w:r w:rsidRPr="00BD12CB">
              <w:noBreakHyphen/>
              <w:t>0.2</w:t>
            </w:r>
          </w:p>
        </w:tc>
      </w:tr>
      <w:tr w:rsidR="00F148E0" w:rsidRPr="00BD12CB" w14:paraId="59B7F90C"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44DB25C4" w14:textId="77777777" w:rsidR="00F148E0" w:rsidRPr="00BD12CB" w:rsidRDefault="00F148E0" w:rsidP="00AF0916">
            <w:pPr>
              <w:pStyle w:val="TableColumnHeadingLeft"/>
            </w:pPr>
            <w:r w:rsidRPr="00BD12CB">
              <w:t>25</w:t>
            </w:r>
            <w:r w:rsidRPr="00BD12CB">
              <w:noBreakHyphen/>
              <w:t>34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2644B00A"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34222F53"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1E7E45C4" w14:textId="77777777" w:rsidR="00F148E0" w:rsidRPr="00BD12CB" w:rsidRDefault="00F148E0" w:rsidP="007B5E24">
            <w:pPr>
              <w:pStyle w:val="TableTextCentered"/>
              <w:spacing w:before="80" w:after="80"/>
            </w:pPr>
            <w:r w:rsidRPr="00BD12CB">
              <w:t>0.4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6D473609"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FF0DC32"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363C5DC8"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44E67F8C" w14:textId="77777777" w:rsidR="00F148E0" w:rsidRPr="00BD12CB" w:rsidRDefault="00F148E0" w:rsidP="007B5E24">
            <w:pPr>
              <w:pStyle w:val="TableTextCentered"/>
              <w:spacing w:before="80" w:after="80"/>
            </w:pPr>
            <w:r w:rsidRPr="00BD12CB">
              <w:t>0.6</w:t>
            </w:r>
          </w:p>
        </w:tc>
      </w:tr>
      <w:tr w:rsidR="00F148E0" w:rsidRPr="00BD12CB" w14:paraId="479EE602"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1DA1D60" w14:textId="77777777" w:rsidR="00F148E0" w:rsidRPr="00BD12CB" w:rsidRDefault="00F148E0" w:rsidP="00AF0916">
            <w:pPr>
              <w:pStyle w:val="TableColumnHeadingLeft"/>
            </w:pPr>
            <w:r w:rsidRPr="00BD12CB">
              <w:t>35</w:t>
            </w:r>
            <w:r w:rsidRPr="00BD12CB">
              <w:noBreakHyphen/>
              <w:t>44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7A5A173"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82F8DC0"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735DC87A" w14:textId="77777777" w:rsidR="00F148E0" w:rsidRPr="00BD12CB" w:rsidRDefault="00F148E0" w:rsidP="007B5E24">
            <w:pPr>
              <w:pStyle w:val="TableTextCentered"/>
              <w:spacing w:before="80" w:after="80"/>
            </w:pPr>
            <w:r w:rsidRPr="00BD12CB">
              <w:t>0.3</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6FE0E654"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1F12804"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3B98F2E7"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5AB4C66" w14:textId="77777777" w:rsidR="00F148E0" w:rsidRPr="00BD12CB" w:rsidRDefault="00F148E0" w:rsidP="007B5E24">
            <w:pPr>
              <w:pStyle w:val="TableTextCentered"/>
              <w:spacing w:before="80" w:after="80"/>
            </w:pPr>
            <w:r w:rsidRPr="00BD12CB">
              <w:t>0.5</w:t>
            </w:r>
          </w:p>
        </w:tc>
      </w:tr>
      <w:tr w:rsidR="00F148E0" w:rsidRPr="00BD12CB" w14:paraId="7B1C5873" w14:textId="77777777" w:rsidTr="00EB7B9E">
        <w:trPr>
          <w:cantSplit/>
          <w:trHeight w:val="265"/>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35EAA56E" w14:textId="77777777" w:rsidR="00F148E0" w:rsidRPr="00BD12CB" w:rsidRDefault="00F148E0" w:rsidP="00AF0916">
            <w:pPr>
              <w:pStyle w:val="TableColumnHeadingLeft"/>
            </w:pPr>
            <w:r w:rsidRPr="00BD12CB">
              <w:t>45</w:t>
            </w:r>
            <w:r w:rsidRPr="00BD12CB">
              <w:noBreakHyphen/>
              <w:t>54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05D94A7A"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7C0AD1CE"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461FC179" w14:textId="77777777" w:rsidR="00F148E0" w:rsidRPr="00BD12CB" w:rsidRDefault="00F148E0" w:rsidP="007B5E24">
            <w:pPr>
              <w:pStyle w:val="TableTextCentered"/>
              <w:spacing w:before="80" w:after="80"/>
            </w:pPr>
            <w:r w:rsidRPr="00BD12CB">
              <w:t>0.4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4B4E1F8A"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F1CD025"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5F69DB34"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B0B49D5" w14:textId="77777777" w:rsidR="00F148E0" w:rsidRPr="00BD12CB" w:rsidRDefault="00F148E0" w:rsidP="007B5E24">
            <w:pPr>
              <w:pStyle w:val="TableTextCentered"/>
              <w:spacing w:before="80" w:after="80"/>
            </w:pPr>
            <w:r w:rsidRPr="00BD12CB">
              <w:t>0.7</w:t>
            </w:r>
          </w:p>
        </w:tc>
      </w:tr>
      <w:tr w:rsidR="00F148E0" w:rsidRPr="00BD12CB" w14:paraId="69F62711"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97A3F86" w14:textId="77777777" w:rsidR="00F148E0" w:rsidRPr="00BD12CB" w:rsidRDefault="00F148E0" w:rsidP="00AF0916">
            <w:pPr>
              <w:pStyle w:val="TableColumnHeadingLeft"/>
            </w:pPr>
            <w:r w:rsidRPr="00BD12CB">
              <w:t>55</w:t>
            </w:r>
            <w:r w:rsidRPr="00BD12CB">
              <w:noBreakHyphen/>
              <w:t>64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31E3A204" w14:textId="77777777" w:rsidR="00F148E0" w:rsidRPr="00BD12CB" w:rsidRDefault="00F148E0" w:rsidP="007B5E24">
            <w:pPr>
              <w:pStyle w:val="TableTextCentered"/>
              <w:spacing w:before="80" w:after="80"/>
            </w:pPr>
            <w:r w:rsidRPr="00BD12CB">
              <w:t>0.4</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4CB3EFC" w14:textId="77777777" w:rsidR="00F148E0" w:rsidRPr="00BD12CB" w:rsidRDefault="00F148E0" w:rsidP="007B5E24">
            <w:pPr>
              <w:pStyle w:val="TableTextCentered"/>
              <w:spacing w:before="80" w:after="80"/>
            </w:pPr>
            <w:r w:rsidRPr="00BD12CB">
              <w:t>1.1</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043C00A0" w14:textId="77777777" w:rsidR="00F148E0" w:rsidRPr="00BD12CB" w:rsidRDefault="00F148E0" w:rsidP="007B5E24">
            <w:pPr>
              <w:pStyle w:val="TableTextCentered"/>
              <w:spacing w:before="80" w:after="80"/>
            </w:pPr>
            <w:r w:rsidRPr="00BD12CB">
              <w:t>1.6</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0CF09AA6" w14:textId="77777777" w:rsidR="00F148E0" w:rsidRPr="00BD12CB" w:rsidRDefault="00F148E0" w:rsidP="007B5E24">
            <w:pPr>
              <w:pStyle w:val="TableTextCentered"/>
              <w:spacing w:before="80" w:after="80"/>
            </w:pPr>
            <w:r w:rsidRPr="00BD12CB">
              <w:t>0.3</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5697F57" w14:textId="77777777" w:rsidR="00F148E0" w:rsidRPr="00BD12CB" w:rsidRDefault="00F148E0" w:rsidP="007B5E24">
            <w:pPr>
              <w:pStyle w:val="TableTextCentered"/>
              <w:spacing w:before="80" w:after="80"/>
            </w:pPr>
            <w:r w:rsidRPr="00BD12CB">
              <w:t>0.6</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3B46E673" w14:textId="77777777" w:rsidR="00F148E0" w:rsidRPr="00BD12CB" w:rsidRDefault="00F148E0" w:rsidP="007B5E24">
            <w:pPr>
              <w:pStyle w:val="TableTextCentered"/>
              <w:spacing w:before="80" w:after="80"/>
            </w:pPr>
            <w:r w:rsidRPr="00BD12CB">
              <w:t>0.9</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A03AC4F" w14:textId="77777777" w:rsidR="00F148E0" w:rsidRPr="00BD12CB" w:rsidRDefault="00F148E0" w:rsidP="007B5E24">
            <w:pPr>
              <w:pStyle w:val="TableTextCentered"/>
              <w:spacing w:before="80" w:after="80"/>
            </w:pPr>
            <w:r w:rsidRPr="00BD12CB">
              <w:t>2.5</w:t>
            </w:r>
          </w:p>
        </w:tc>
      </w:tr>
      <w:tr w:rsidR="00F148E0" w:rsidRPr="00BD12CB" w14:paraId="6784B55A" w14:textId="77777777" w:rsidTr="00EB7B9E">
        <w:trPr>
          <w:cantSplit/>
          <w:trHeight w:val="20"/>
        </w:trPr>
        <w:tc>
          <w:tcPr>
            <w:tcW w:w="1482"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2345A53F" w14:textId="77777777" w:rsidR="00F148E0" w:rsidRPr="00BD12CB" w:rsidRDefault="00F148E0" w:rsidP="00AF0916">
            <w:pPr>
              <w:pStyle w:val="TableColumnHeadingLeft"/>
            </w:pPr>
            <w:r w:rsidRPr="00BD12CB">
              <w:t>65 + years</w:t>
            </w:r>
          </w:p>
        </w:tc>
        <w:tc>
          <w:tcPr>
            <w:tcW w:w="94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41E13535" w14:textId="77777777" w:rsidR="00F148E0" w:rsidRPr="00BD12CB" w:rsidRDefault="00F148E0" w:rsidP="007B5E24">
            <w:pPr>
              <w:pStyle w:val="TableTextCentered"/>
              <w:spacing w:before="80" w:after="80"/>
            </w:pPr>
            <w:r w:rsidRPr="00BD12CB">
              <w:t>0.3</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7C30B7E"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single" w:sz="4" w:space="0" w:color="808080" w:themeColor="background1" w:themeShade="80"/>
              <w:right w:val="double" w:sz="4" w:space="0" w:color="auto"/>
            </w:tcBorders>
            <w:noWrap/>
            <w:tcMar>
              <w:top w:w="0" w:type="dxa"/>
              <w:left w:w="57" w:type="dxa"/>
              <w:bottom w:w="0" w:type="dxa"/>
              <w:right w:w="57" w:type="dxa"/>
            </w:tcMar>
            <w:vAlign w:val="center"/>
            <w:hideMark/>
          </w:tcPr>
          <w:p w14:paraId="109CC76E" w14:textId="77777777" w:rsidR="00F148E0" w:rsidRPr="00BD12CB" w:rsidRDefault="00F148E0" w:rsidP="007B5E24">
            <w:pPr>
              <w:pStyle w:val="TableTextCentered"/>
              <w:spacing w:before="80" w:after="80"/>
            </w:pPr>
            <w:r w:rsidRPr="00BD12CB">
              <w:t>0.7</w:t>
            </w:r>
          </w:p>
        </w:tc>
        <w:tc>
          <w:tcPr>
            <w:tcW w:w="942" w:type="dxa"/>
            <w:tcBorders>
              <w:top w:val="nil"/>
              <w:left w:val="double" w:sz="4" w:space="0" w:color="auto"/>
              <w:bottom w:val="single" w:sz="4" w:space="0" w:color="808080" w:themeColor="background1" w:themeShade="80"/>
              <w:right w:val="nil"/>
            </w:tcBorders>
            <w:noWrap/>
            <w:tcMar>
              <w:top w:w="0" w:type="dxa"/>
              <w:left w:w="57" w:type="dxa"/>
              <w:bottom w:w="0" w:type="dxa"/>
              <w:right w:w="57" w:type="dxa"/>
            </w:tcMar>
            <w:vAlign w:val="center"/>
            <w:hideMark/>
          </w:tcPr>
          <w:p w14:paraId="699B7497" w14:textId="77777777" w:rsidR="00F148E0" w:rsidRPr="00BD12CB" w:rsidRDefault="00F148E0" w:rsidP="007B5E24">
            <w:pPr>
              <w:pStyle w:val="TableTextCentered"/>
              <w:spacing w:before="80" w:after="80"/>
            </w:pPr>
            <w:r w:rsidRPr="00BD12CB">
              <w:t>0.3</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0BD4B673"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A681B56" w14:textId="77777777" w:rsidR="00F148E0" w:rsidRPr="00BD12CB" w:rsidRDefault="00F148E0" w:rsidP="007B5E24">
            <w:pPr>
              <w:pStyle w:val="TableTextCentered"/>
              <w:spacing w:before="80" w:after="80"/>
            </w:pPr>
            <w:r w:rsidRPr="00BD12CB">
              <w:t>0.5</w:t>
            </w:r>
          </w:p>
        </w:tc>
        <w:tc>
          <w:tcPr>
            <w:tcW w:w="110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06EDAFFA" w14:textId="77777777" w:rsidR="00F148E0" w:rsidRPr="00BD12CB" w:rsidRDefault="00F148E0" w:rsidP="007B5E24">
            <w:pPr>
              <w:pStyle w:val="TableTextCentered"/>
              <w:spacing w:before="80" w:after="80"/>
            </w:pPr>
            <w:r w:rsidRPr="00BD12CB">
              <w:t>1.2</w:t>
            </w:r>
          </w:p>
        </w:tc>
      </w:tr>
      <w:tr w:rsidR="00F148E0" w:rsidRPr="00BD12CB" w14:paraId="38953864"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692E2BFD" w14:textId="77777777" w:rsidR="00F148E0" w:rsidRPr="00BD12CB" w:rsidRDefault="00F148E0" w:rsidP="00AF0916">
            <w:pPr>
              <w:pStyle w:val="TableColumnHeadingLeft"/>
            </w:pPr>
            <w:r w:rsidRPr="00BD12CB">
              <w:t>Total</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2B5A7123" w14:textId="77777777" w:rsidR="00F148E0" w:rsidRPr="00BD12CB" w:rsidRDefault="00F148E0" w:rsidP="007B5E24">
            <w:pPr>
              <w:pStyle w:val="TableTextCentered"/>
              <w:spacing w:before="80" w:after="80"/>
            </w:pPr>
            <w:r w:rsidRPr="00BD12CB">
              <w:t>0.3</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47B31897" w14:textId="77777777" w:rsidR="00F148E0" w:rsidRPr="00BD12CB" w:rsidRDefault="00F148E0" w:rsidP="007B5E24">
            <w:pPr>
              <w:pStyle w:val="TableTextCentered"/>
              <w:spacing w:before="80" w:after="80"/>
            </w:pPr>
            <w:r w:rsidRPr="00BD12CB">
              <w:t>2.6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center"/>
            <w:hideMark/>
          </w:tcPr>
          <w:p w14:paraId="3CC340A2" w14:textId="77777777" w:rsidR="00F148E0" w:rsidRPr="00BD12CB" w:rsidRDefault="00F148E0" w:rsidP="007B5E24">
            <w:pPr>
              <w:pStyle w:val="TableTextCentered"/>
              <w:spacing w:before="80" w:after="80"/>
            </w:pPr>
            <w:r w:rsidRPr="00BD12CB">
              <w:t>2.9</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29935048" w14:textId="77777777" w:rsidR="00F148E0" w:rsidRPr="00BD12CB" w:rsidRDefault="00F148E0" w:rsidP="007B5E24">
            <w:pPr>
              <w:pStyle w:val="TableTextCentered"/>
              <w:spacing w:before="80" w:after="80"/>
            </w:pPr>
            <w:r w:rsidRPr="00BD12CB">
              <w:t>0.7</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137BB44C" w14:textId="77777777" w:rsidR="00F148E0" w:rsidRPr="00BD12CB" w:rsidRDefault="00F148E0" w:rsidP="007B5E24">
            <w:pPr>
              <w:pStyle w:val="TableTextCentered"/>
              <w:spacing w:before="80" w:after="80"/>
            </w:pPr>
            <w:r w:rsidRPr="00BD12CB">
              <w:t>1.3</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BC08ECB" w14:textId="77777777" w:rsidR="00F148E0" w:rsidRPr="00BD12CB" w:rsidRDefault="00F148E0" w:rsidP="007B5E24">
            <w:pPr>
              <w:pStyle w:val="TableTextCentered"/>
              <w:spacing w:before="80" w:after="80"/>
            </w:pPr>
            <w:r w:rsidRPr="00BD12CB">
              <w:t>2.0</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532CAA6" w14:textId="77777777" w:rsidR="00F148E0" w:rsidRPr="00BD12CB" w:rsidRDefault="00F148E0" w:rsidP="007B5E24">
            <w:pPr>
              <w:pStyle w:val="TableTextCentered"/>
              <w:spacing w:before="80" w:after="80"/>
            </w:pPr>
            <w:r w:rsidRPr="00BD12CB">
              <w:t>4.9</w:t>
            </w:r>
          </w:p>
        </w:tc>
      </w:tr>
      <w:tr w:rsidR="00F148E0" w:rsidRPr="00BD12CB" w14:paraId="7D106CE0"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4FA1385B" w14:textId="77777777" w:rsidR="00F148E0" w:rsidRPr="00BD12CB" w:rsidRDefault="00F148E0" w:rsidP="00AF0916">
            <w:pPr>
              <w:pStyle w:val="TableColumnHeadingLeft"/>
            </w:pPr>
            <w:r w:rsidRPr="00BD12CB">
              <w:t>Total change</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76FBE7B4" w14:textId="77777777" w:rsidR="00F148E0" w:rsidRPr="00BD12CB" w:rsidRDefault="00F148E0" w:rsidP="007B5E24">
            <w:pPr>
              <w:pStyle w:val="TableTextCentered"/>
              <w:spacing w:before="80" w:after="80"/>
            </w:pPr>
            <w:r w:rsidRPr="00BD12CB">
              <w:noBreakHyphen/>
              <w:t>2.3</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38F4CCC4" w14:textId="77777777" w:rsidR="00F148E0" w:rsidRPr="00BD12CB" w:rsidRDefault="00F148E0" w:rsidP="007B5E24">
            <w:pPr>
              <w:pStyle w:val="TableTextCentered"/>
              <w:spacing w:before="80" w:after="80"/>
            </w:pPr>
            <w:r w:rsidRPr="00BD12CB">
              <w:t>0.2</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noWrap/>
            <w:tcMar>
              <w:top w:w="0" w:type="dxa"/>
              <w:left w:w="57" w:type="dxa"/>
              <w:bottom w:w="0" w:type="dxa"/>
              <w:right w:w="57" w:type="dxa"/>
            </w:tcMar>
            <w:vAlign w:val="center"/>
            <w:hideMark/>
          </w:tcPr>
          <w:p w14:paraId="22605618" w14:textId="77777777" w:rsidR="00F148E0" w:rsidRPr="00BD12CB" w:rsidRDefault="00F148E0" w:rsidP="007B5E24">
            <w:pPr>
              <w:pStyle w:val="TableTextCentered"/>
              <w:spacing w:before="80" w:after="80"/>
            </w:pPr>
            <w:r w:rsidRPr="00BD12CB">
              <w:noBreakHyphen/>
              <w:t>2.1</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64D396DB" w14:textId="77777777" w:rsidR="00F148E0" w:rsidRPr="00BD12CB" w:rsidRDefault="00F148E0" w:rsidP="007B5E24">
            <w:pPr>
              <w:pStyle w:val="TableTextCentered"/>
              <w:spacing w:before="80" w:after="80"/>
            </w:pPr>
            <w:r w:rsidRPr="00BD12CB">
              <w:t>1.5</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244F3BFB" w14:textId="77777777" w:rsidR="00F148E0" w:rsidRPr="00BD12CB" w:rsidRDefault="00F148E0" w:rsidP="007B5E24">
            <w:pPr>
              <w:pStyle w:val="TableTextCentered"/>
              <w:spacing w:before="80" w:after="80"/>
            </w:pPr>
            <w:r w:rsidRPr="00BD12CB">
              <w:t>2.1</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0EBCDFA8" w14:textId="77777777" w:rsidR="00F148E0" w:rsidRPr="00BD12CB" w:rsidRDefault="00F148E0" w:rsidP="007B5E24">
            <w:pPr>
              <w:pStyle w:val="TableTextCentered"/>
              <w:spacing w:before="80" w:after="80"/>
            </w:pPr>
            <w:r w:rsidRPr="00BD12CB">
              <w:t>3.6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7EDCF0D7" w14:textId="77777777" w:rsidR="00F148E0" w:rsidRPr="00BD12CB" w:rsidRDefault="00F148E0" w:rsidP="007B5E24">
            <w:pPr>
              <w:pStyle w:val="TableTextCentered"/>
              <w:spacing w:before="80" w:after="80"/>
            </w:pPr>
            <w:r w:rsidRPr="00BD12CB">
              <w:t>1.4</w:t>
            </w:r>
          </w:p>
        </w:tc>
      </w:tr>
    </w:tbl>
    <w:p w14:paraId="7A2DC87B" w14:textId="77777777" w:rsidR="00D60043" w:rsidRPr="00B20EA1" w:rsidRDefault="00410B2D" w:rsidP="00F148E0">
      <w:pPr>
        <w:pStyle w:val="ChartorTableNote"/>
      </w:pPr>
      <w:r>
        <w:t xml:space="preserve">Note: </w:t>
      </w:r>
      <w:r w:rsidR="004D189B" w:rsidRPr="00B20EA1">
        <w:t>The bottom right hand figure is the overall change to the participation rate from 2000 to 2016. All other figures are the percentage point contribution to that 1.4 percentage point change, separated into changes in population composition and the propensity to participate in the labour force (by age cohort, gender and country of birth).</w:t>
      </w:r>
      <w:r w:rsidR="002D66FC">
        <w:t xml:space="preserve"> Note figures may not add due to rounding.</w:t>
      </w:r>
    </w:p>
    <w:p w14:paraId="4971014E" w14:textId="77777777" w:rsidR="00F148E0" w:rsidRPr="00F148E0" w:rsidRDefault="00410B2D" w:rsidP="00A36CBF">
      <w:pPr>
        <w:pStyle w:val="ChartorTableNote"/>
      </w:pPr>
      <w:r w:rsidRPr="006B6676">
        <w:t xml:space="preserve">Source: </w:t>
      </w:r>
      <w:r w:rsidR="00665A80">
        <w:t>ABS</w:t>
      </w:r>
      <w:r w:rsidR="00F84FA4">
        <w:t xml:space="preserve"> 2017</w:t>
      </w:r>
      <w:r w:rsidR="00D013CF">
        <w:t>j</w:t>
      </w:r>
      <w:r w:rsidR="00665A80">
        <w:t>, authors’ modelling</w:t>
      </w:r>
      <w:r w:rsidRPr="006B6676">
        <w:t>.</w:t>
      </w:r>
    </w:p>
    <w:p w14:paraId="0F4BF976" w14:textId="77777777" w:rsidR="00F148E0" w:rsidRDefault="004D189B" w:rsidP="00A36CBF">
      <w:pPr>
        <w:rPr>
          <w:lang w:val="en-US"/>
        </w:rPr>
      </w:pPr>
      <w:r>
        <w:t>The change in Australia</w:t>
      </w:r>
      <w:r w:rsidR="00021968">
        <w:t>’</w:t>
      </w:r>
      <w:r>
        <w:t xml:space="preserve">s </w:t>
      </w:r>
      <w:r w:rsidR="00575752">
        <w:rPr>
          <w:b/>
        </w:rPr>
        <w:t>demographic</w:t>
      </w:r>
      <w:r w:rsidR="00575752" w:rsidRPr="00115B85">
        <w:rPr>
          <w:b/>
        </w:rPr>
        <w:t xml:space="preserve"> </w:t>
      </w:r>
      <w:r w:rsidRPr="00115B85">
        <w:rPr>
          <w:b/>
        </w:rPr>
        <w:t>composition</w:t>
      </w:r>
      <w:r>
        <w:t xml:space="preserve"> largely reflects the ageing of the population. Since the Australian</w:t>
      </w:r>
      <w:r w:rsidR="00021968">
        <w:noBreakHyphen/>
      </w:r>
      <w:r>
        <w:t>born population is ageing rapidly, the Australian</w:t>
      </w:r>
      <w:r w:rsidR="00021968">
        <w:noBreakHyphen/>
      </w:r>
      <w:r>
        <w:t xml:space="preserve">born population represented a drag on the participation rate </w:t>
      </w:r>
      <w:r w:rsidR="00D63390">
        <w:t xml:space="preserve">to 2016 </w:t>
      </w:r>
      <w:r>
        <w:t xml:space="preserve">(deducting 5 percentage points from the 2000 participation rate and representing the largest single factor impacting on participation). The impact of younger, working age migrants entering the country added 1.6 percentage points. </w:t>
      </w:r>
      <w:r w:rsidR="002F4683">
        <w:t>While this was insufficient to entirely offset the ageing Australian</w:t>
      </w:r>
      <w:r w:rsidR="002F4683">
        <w:noBreakHyphen/>
        <w:t>born population, it</w:t>
      </w:r>
      <w:r>
        <w:t> helped ameliorate the negative demographic impact of the Australian</w:t>
      </w:r>
      <w:r w:rsidR="00021968">
        <w:noBreakHyphen/>
      </w:r>
      <w:r>
        <w:t>born</w:t>
      </w:r>
      <w:r w:rsidR="002F4683">
        <w:t>. This resulted in the overall impact from demographic changes</w:t>
      </w:r>
      <w:r>
        <w:t xml:space="preserve"> being a 3.4 percentage point drag on </w:t>
      </w:r>
      <w:r w:rsidR="002F4683">
        <w:t xml:space="preserve">labour force </w:t>
      </w:r>
      <w:r>
        <w:t xml:space="preserve">participation. </w:t>
      </w:r>
      <w:r>
        <w:rPr>
          <w:lang w:val="en-US"/>
        </w:rPr>
        <w:t xml:space="preserve">By slowing the ageing of the population, migration allows the economy and society time to adjust. The additional time allows Australia to provision for a society where fewer people are working and delivering </w:t>
      </w:r>
      <w:r w:rsidR="002D66FC">
        <w:rPr>
          <w:lang w:val="en-US"/>
        </w:rPr>
        <w:t xml:space="preserve">income </w:t>
      </w:r>
      <w:r>
        <w:rPr>
          <w:lang w:val="en-US"/>
        </w:rPr>
        <w:t>tax revenue</w:t>
      </w:r>
      <w:r w:rsidR="00A236F4">
        <w:rPr>
          <w:lang w:val="en-US"/>
        </w:rPr>
        <w:t>,</w:t>
      </w:r>
      <w:r>
        <w:rPr>
          <w:lang w:val="en-US"/>
        </w:rPr>
        <w:t xml:space="preserve"> but increasingly </w:t>
      </w:r>
      <w:r w:rsidR="000A07A2">
        <w:rPr>
          <w:lang w:val="en-US"/>
        </w:rPr>
        <w:t>drawing on government services.</w:t>
      </w:r>
    </w:p>
    <w:p w14:paraId="70ADDB76" w14:textId="77777777" w:rsidR="004D189B" w:rsidRDefault="004D189B" w:rsidP="00C57890">
      <w:pPr>
        <w:keepNext/>
        <w:keepLines/>
        <w:rPr>
          <w:lang w:val="en-US"/>
        </w:rPr>
      </w:pPr>
      <w:r>
        <w:rPr>
          <w:lang w:val="en-US"/>
        </w:rPr>
        <w:lastRenderedPageBreak/>
        <w:t>Along with changes in the composition of the population, the other factor impacting on Australia</w:t>
      </w:r>
      <w:r w:rsidR="00021968">
        <w:rPr>
          <w:lang w:val="en-US"/>
        </w:rPr>
        <w:t>’</w:t>
      </w:r>
      <w:r>
        <w:rPr>
          <w:lang w:val="en-US"/>
        </w:rPr>
        <w:t xml:space="preserve">s participation rate is the </w:t>
      </w:r>
      <w:r>
        <w:rPr>
          <w:b/>
          <w:lang w:val="en-US"/>
        </w:rPr>
        <w:t>population</w:t>
      </w:r>
      <w:r w:rsidR="00021968">
        <w:rPr>
          <w:b/>
          <w:lang w:val="en-US"/>
        </w:rPr>
        <w:t>’</w:t>
      </w:r>
      <w:r>
        <w:rPr>
          <w:b/>
          <w:lang w:val="en-US"/>
        </w:rPr>
        <w:t>s propensity to participate</w:t>
      </w:r>
      <w:r>
        <w:rPr>
          <w:lang w:val="en-US"/>
        </w:rPr>
        <w:t>. Overall, the propensity to participate increased</w:t>
      </w:r>
      <w:r w:rsidR="00A236F4">
        <w:rPr>
          <w:lang w:val="en-US"/>
        </w:rPr>
        <w:t xml:space="preserve"> between 2000 and 2016</w:t>
      </w:r>
      <w:r>
        <w:rPr>
          <w:lang w:val="en-US"/>
        </w:rPr>
        <w:t>, driven by both Australian</w:t>
      </w:r>
      <w:r w:rsidR="00021968">
        <w:rPr>
          <w:lang w:val="en-US"/>
        </w:rPr>
        <w:noBreakHyphen/>
      </w:r>
      <w:r>
        <w:rPr>
          <w:lang w:val="en-US"/>
        </w:rPr>
        <w:t>born and overseas</w:t>
      </w:r>
      <w:r w:rsidR="00021968">
        <w:rPr>
          <w:lang w:val="en-US"/>
        </w:rPr>
        <w:noBreakHyphen/>
      </w:r>
      <w:r>
        <w:rPr>
          <w:lang w:val="en-US"/>
        </w:rPr>
        <w:t>born females. Male participation increased slightly due to small increases in participation for older males. Australian</w:t>
      </w:r>
      <w:r w:rsidR="00021968">
        <w:rPr>
          <w:lang w:val="en-US"/>
        </w:rPr>
        <w:noBreakHyphen/>
      </w:r>
      <w:r>
        <w:rPr>
          <w:lang w:val="en-US"/>
        </w:rPr>
        <w:t>born women increased their participation more than overseas</w:t>
      </w:r>
      <w:r w:rsidR="00021968">
        <w:rPr>
          <w:lang w:val="en-US"/>
        </w:rPr>
        <w:noBreakHyphen/>
      </w:r>
      <w:r>
        <w:rPr>
          <w:lang w:val="en-US"/>
        </w:rPr>
        <w:t>born women (2.6 and 1.3 percentage points respectively). Nevertheless, overseas</w:t>
      </w:r>
      <w:r w:rsidR="00021968">
        <w:rPr>
          <w:lang w:val="en-US"/>
        </w:rPr>
        <w:noBreakHyphen/>
      </w:r>
      <w:r>
        <w:rPr>
          <w:lang w:val="en-US"/>
        </w:rPr>
        <w:t>born women</w:t>
      </w:r>
      <w:r w:rsidR="00ED300D">
        <w:rPr>
          <w:lang w:val="en-US"/>
        </w:rPr>
        <w:t>,</w:t>
      </w:r>
      <w:r>
        <w:rPr>
          <w:lang w:val="en-US"/>
        </w:rPr>
        <w:t xml:space="preserve"> when combined with overseas</w:t>
      </w:r>
      <w:r w:rsidR="00021968">
        <w:rPr>
          <w:lang w:val="en-US"/>
        </w:rPr>
        <w:noBreakHyphen/>
      </w:r>
      <w:r>
        <w:rPr>
          <w:lang w:val="en-US"/>
        </w:rPr>
        <w:t>born men, still added 2</w:t>
      </w:r>
      <w:r w:rsidR="00577873">
        <w:rPr>
          <w:lang w:val="en-US"/>
        </w:rPr>
        <w:t> </w:t>
      </w:r>
      <w:r>
        <w:rPr>
          <w:lang w:val="en-US"/>
        </w:rPr>
        <w:t xml:space="preserve">percentage points </w:t>
      </w:r>
      <w:r w:rsidR="00ED300D">
        <w:rPr>
          <w:lang w:val="en-US"/>
        </w:rPr>
        <w:t xml:space="preserve">to the participation rate </w:t>
      </w:r>
      <w:r>
        <w:rPr>
          <w:lang w:val="en-US"/>
        </w:rPr>
        <w:t>due to an increased propensity to participate.</w:t>
      </w:r>
    </w:p>
    <w:p w14:paraId="58C93587" w14:textId="77777777" w:rsidR="002F4683" w:rsidRDefault="004D189B" w:rsidP="00631304">
      <w:r>
        <w:rPr>
          <w:lang w:val="en-US"/>
        </w:rPr>
        <w:t xml:space="preserve">The </w:t>
      </w:r>
      <w:r w:rsidRPr="008A08E4">
        <w:rPr>
          <w:lang w:val="en-US"/>
        </w:rPr>
        <w:t>overall</w:t>
      </w:r>
      <w:r>
        <w:rPr>
          <w:lang w:val="en-US"/>
        </w:rPr>
        <w:t xml:space="preserve"> change arising from the combined effect of changes in population composition and propensity to participate </w:t>
      </w:r>
      <w:r w:rsidR="00ED300D">
        <w:rPr>
          <w:lang w:val="en-US"/>
        </w:rPr>
        <w:t>is</w:t>
      </w:r>
      <w:r>
        <w:rPr>
          <w:lang w:val="en-US"/>
        </w:rPr>
        <w:t xml:space="preserve"> highly illustrative of the benefits of migrants on</w:t>
      </w:r>
      <w:r w:rsidR="00ED300D">
        <w:rPr>
          <w:lang w:val="en-US"/>
        </w:rPr>
        <w:t xml:space="preserve"> </w:t>
      </w:r>
      <w:r>
        <w:rPr>
          <w:lang w:val="en-US"/>
        </w:rPr>
        <w:t xml:space="preserve">participation. While </w:t>
      </w:r>
      <w:r>
        <w:t>the Australian</w:t>
      </w:r>
      <w:r w:rsidR="00021968">
        <w:noBreakHyphen/>
      </w:r>
      <w:r>
        <w:t>born population lowered the participation rate by 2.1 percentage points, the overseas</w:t>
      </w:r>
      <w:r w:rsidR="00021968">
        <w:noBreakHyphen/>
      </w:r>
      <w:r>
        <w:t>born more than made up for this negative effect</w:t>
      </w:r>
      <w:r w:rsidR="00ED300D">
        <w:t>,</w:t>
      </w:r>
      <w:r>
        <w:t xml:space="preserve"> adding 3.6 percentage points to the labour force participation rate</w:t>
      </w:r>
      <w:r w:rsidR="00577873">
        <w:t xml:space="preserve"> (Figure 2</w:t>
      </w:r>
      <w:r w:rsidR="00A86B82">
        <w:t>4</w:t>
      </w:r>
      <w:r w:rsidR="00577873">
        <w:t>)</w:t>
      </w:r>
      <w:r>
        <w:t>.</w:t>
      </w:r>
    </w:p>
    <w:p w14:paraId="3A175908" w14:textId="77777777" w:rsidR="002F4683" w:rsidRDefault="002F4683" w:rsidP="00631304">
      <w:r>
        <w:t xml:space="preserve">In the absence of migrants, </w:t>
      </w:r>
      <w:r w:rsidR="00512F30">
        <w:t xml:space="preserve">all else being equal, </w:t>
      </w:r>
      <w:r>
        <w:t>the participation rate</w:t>
      </w:r>
      <w:r w:rsidRPr="002F4683">
        <w:t>, instead of increasing 1.4</w:t>
      </w:r>
      <w:r w:rsidR="00512F30">
        <w:t> </w:t>
      </w:r>
      <w:r w:rsidRPr="002F4683">
        <w:t>percentage points over the period</w:t>
      </w:r>
      <w:r w:rsidR="00D63390">
        <w:t xml:space="preserve"> to 2016</w:t>
      </w:r>
      <w:r w:rsidRPr="002F4683">
        <w:t xml:space="preserve">, would </w:t>
      </w:r>
      <w:r>
        <w:t>have fallen</w:t>
      </w:r>
      <w:r w:rsidRPr="002F4683">
        <w:t xml:space="preserve"> 2.1 percentage points relative to 2000. In</w:t>
      </w:r>
      <w:r w:rsidR="00512F30">
        <w:t> </w:t>
      </w:r>
      <w:r w:rsidRPr="002F4683">
        <w:t>fact, in the absence of migration, Australia’s workforce would begin shrinking in absolute terms by 2020 (</w:t>
      </w:r>
      <w:r w:rsidR="00512F30">
        <w:t>United Nations</w:t>
      </w:r>
      <w:r w:rsidRPr="002F4683">
        <w:t xml:space="preserve"> 2017). This would have far reaching effects including significantly lower GDP and GDP per person</w:t>
      </w:r>
      <w:r w:rsidR="002D66FC">
        <w:t xml:space="preserve"> than would otherwise </w:t>
      </w:r>
      <w:r w:rsidR="00B72E88">
        <w:t>be</w:t>
      </w:r>
      <w:r w:rsidR="002D66FC">
        <w:t xml:space="preserve"> the case</w:t>
      </w:r>
      <w:r w:rsidRPr="002F4683">
        <w:t>.</w:t>
      </w:r>
    </w:p>
    <w:p w14:paraId="2CBF4B58" w14:textId="77777777" w:rsidR="004D189B" w:rsidRPr="00C20F6F" w:rsidRDefault="004D189B" w:rsidP="000B438C">
      <w:pPr>
        <w:pStyle w:val="ChartMainHeading"/>
        <w:rPr>
          <w:lang w:val="en-GB"/>
        </w:rPr>
      </w:pPr>
      <w:r w:rsidRPr="00C20F6F">
        <w:t>Figure</w:t>
      </w:r>
      <w:r w:rsidR="00554687">
        <w:t xml:space="preserve"> 2</w:t>
      </w:r>
      <w:r w:rsidR="00A86B82">
        <w:t>4</w:t>
      </w:r>
      <w:r w:rsidRPr="00C20F6F">
        <w:t xml:space="preserve">: Contributions </w:t>
      </w:r>
      <w:r w:rsidR="00575752">
        <w:t>to changes in the labour force participation rate</w:t>
      </w:r>
      <w:proofErr w:type="gramStart"/>
      <w:r w:rsidR="0087141F">
        <w:t>,</w:t>
      </w:r>
      <w:proofErr w:type="gramEnd"/>
      <w:r w:rsidR="00F148E0">
        <w:br/>
      </w:r>
      <w:r w:rsidR="0087141F">
        <w:t>2000 to 2016</w:t>
      </w:r>
    </w:p>
    <w:p w14:paraId="41BA34BA" w14:textId="66FFA1B5" w:rsidR="004D189B" w:rsidRDefault="00302A39" w:rsidP="005F3E79">
      <w:pPr>
        <w:pStyle w:val="ChartGraphic"/>
      </w:pPr>
      <w:r>
        <w:pict w14:anchorId="4099CAA3">
          <v:shape id="_x0000_i1052" type="#_x0000_t75" style="width:426.75pt;height:225pt">
            <v:imagedata r:id="rId80" o:title="" cropleft="1270f"/>
          </v:shape>
        </w:pict>
      </w:r>
    </w:p>
    <w:p w14:paraId="1F85A188" w14:textId="77777777" w:rsidR="00F148E0" w:rsidRPr="00F148E0" w:rsidRDefault="004D189B" w:rsidP="00A36CBF">
      <w:pPr>
        <w:pStyle w:val="ChartorTableNote"/>
      </w:pPr>
      <w:r w:rsidRPr="00F148E0">
        <w:t>Source: ABS</w:t>
      </w:r>
      <w:r w:rsidR="00ED300D" w:rsidRPr="00F148E0">
        <w:t xml:space="preserve"> </w:t>
      </w:r>
      <w:r w:rsidR="00F84FA4" w:rsidRPr="00F148E0">
        <w:t>2017</w:t>
      </w:r>
      <w:r w:rsidR="00D013CF" w:rsidRPr="00F148E0">
        <w:t>j</w:t>
      </w:r>
      <w:r w:rsidRPr="00F148E0">
        <w:t xml:space="preserve">, </w:t>
      </w:r>
      <w:r w:rsidR="00ED300D" w:rsidRPr="00F148E0">
        <w:t>a</w:t>
      </w:r>
      <w:r w:rsidRPr="00F148E0">
        <w:t>uthors</w:t>
      </w:r>
      <w:r w:rsidR="00ED300D" w:rsidRPr="00F148E0">
        <w:t>’</w:t>
      </w:r>
      <w:r w:rsidRPr="00F148E0">
        <w:t xml:space="preserve"> modelling.</w:t>
      </w:r>
    </w:p>
    <w:p w14:paraId="6492AFB4" w14:textId="77777777" w:rsidR="004D189B" w:rsidRDefault="00CA29EC" w:rsidP="00CA29EC">
      <w:r>
        <w:t>Australian</w:t>
      </w:r>
      <w:r>
        <w:noBreakHyphen/>
        <w:t xml:space="preserve">born labour </w:t>
      </w:r>
      <w:r w:rsidR="0078278F">
        <w:t>force participation rates are currently higher than overseas</w:t>
      </w:r>
      <w:r w:rsidR="0078278F">
        <w:noBreakHyphen/>
        <w:t xml:space="preserve">born participation rates, although this gap </w:t>
      </w:r>
      <w:r w:rsidR="00F8626C">
        <w:t>has narrowed</w:t>
      </w:r>
      <w:r w:rsidR="0078278F">
        <w:t xml:space="preserve">. </w:t>
      </w:r>
      <w:r w:rsidR="00953271">
        <w:t xml:space="preserve">Migrants </w:t>
      </w:r>
      <w:r w:rsidR="00410B2D">
        <w:t xml:space="preserve">who </w:t>
      </w:r>
      <w:r w:rsidR="00953271">
        <w:t>arrived from 19</w:t>
      </w:r>
      <w:r w:rsidR="00C262D5">
        <w:t>8</w:t>
      </w:r>
      <w:r w:rsidR="00953271">
        <w:t>7</w:t>
      </w:r>
      <w:r w:rsidR="00410B2D">
        <w:t xml:space="preserve"> </w:t>
      </w:r>
      <w:r w:rsidR="0078278F">
        <w:t>have</w:t>
      </w:r>
      <w:r w:rsidR="00410B2D">
        <w:t>, on average,</w:t>
      </w:r>
      <w:r w:rsidR="0078278F">
        <w:t xml:space="preserve"> higher participation rates than both the Australian</w:t>
      </w:r>
      <w:r w:rsidR="0078278F">
        <w:noBreakHyphen/>
        <w:t>born population and migrant cohorts who have been in Australia for some time (Figure 2</w:t>
      </w:r>
      <w:r w:rsidR="00A86B82">
        <w:t>5</w:t>
      </w:r>
      <w:r w:rsidR="0078278F">
        <w:t>)</w:t>
      </w:r>
      <w:r w:rsidR="0078278F" w:rsidRPr="00C20F6F">
        <w:t xml:space="preserve">. </w:t>
      </w:r>
      <w:r w:rsidR="0078278F">
        <w:t xml:space="preserve">This reflects the focus of Australia’s immigration program on skilled migration – primary applicants entering </w:t>
      </w:r>
      <w:r w:rsidR="00ED300D">
        <w:t xml:space="preserve">through </w:t>
      </w:r>
      <w:r w:rsidR="0078278F">
        <w:t xml:space="preserve">the </w:t>
      </w:r>
      <w:r w:rsidR="00ED300D">
        <w:t>s</w:t>
      </w:r>
      <w:r w:rsidR="0078278F">
        <w:t xml:space="preserve">kill stream have participation rates </w:t>
      </w:r>
      <w:r w:rsidR="00A863BE">
        <w:t>exceeding 9</w:t>
      </w:r>
      <w:r w:rsidR="0078278F">
        <w:t xml:space="preserve">5 per cent and their partners have participation rates </w:t>
      </w:r>
      <w:r w:rsidR="00A863BE">
        <w:t>exceeding</w:t>
      </w:r>
      <w:r w:rsidR="0078278F">
        <w:t xml:space="preserve"> </w:t>
      </w:r>
      <w:r w:rsidR="0078278F" w:rsidRPr="00152124">
        <w:t>7</w:t>
      </w:r>
      <w:r w:rsidR="00A863BE">
        <w:t>4</w:t>
      </w:r>
      <w:r w:rsidR="00AF0916">
        <w:t> </w:t>
      </w:r>
      <w:r w:rsidR="0078278F">
        <w:t>per</w:t>
      </w:r>
      <w:r w:rsidR="00AF0916">
        <w:t> </w:t>
      </w:r>
      <w:r w:rsidR="0078278F">
        <w:t xml:space="preserve">cent </w:t>
      </w:r>
      <w:r w:rsidR="0078278F" w:rsidRPr="00152124">
        <w:t>(</w:t>
      </w:r>
      <w:r w:rsidR="00CE789F">
        <w:t>DIBP</w:t>
      </w:r>
      <w:r w:rsidR="00620C54">
        <w:t> </w:t>
      </w:r>
      <w:r w:rsidR="0078278F" w:rsidRPr="00152124">
        <w:t>201</w:t>
      </w:r>
      <w:r w:rsidR="00A863BE">
        <w:t>6</w:t>
      </w:r>
      <w:r w:rsidR="00620C54">
        <w:t>c</w:t>
      </w:r>
      <w:r w:rsidR="0078278F" w:rsidRPr="00152124">
        <w:t>)</w:t>
      </w:r>
      <w:r w:rsidR="0078278F">
        <w:t>, compared to the Australian</w:t>
      </w:r>
      <w:r w:rsidR="0078278F">
        <w:noBreakHyphen/>
        <w:t>born participation rate of just under 68</w:t>
      </w:r>
      <w:r w:rsidR="009D6E6C">
        <w:t> </w:t>
      </w:r>
      <w:r w:rsidR="0078278F">
        <w:t>per</w:t>
      </w:r>
      <w:r w:rsidR="00AF0916">
        <w:t> </w:t>
      </w:r>
      <w:r w:rsidR="0078278F">
        <w:t>cent (ABS</w:t>
      </w:r>
      <w:r w:rsidR="00F84FA4">
        <w:t> </w:t>
      </w:r>
      <w:r w:rsidR="00F84FA4" w:rsidRPr="00B51BD5">
        <w:t>2017</w:t>
      </w:r>
      <w:r w:rsidR="00D013CF">
        <w:t>j</w:t>
      </w:r>
      <w:r w:rsidR="000A07A2">
        <w:t>).</w:t>
      </w:r>
    </w:p>
    <w:p w14:paraId="6A6B694D" w14:textId="77777777" w:rsidR="004D189B" w:rsidRPr="00152124" w:rsidRDefault="004D189B" w:rsidP="000B438C">
      <w:pPr>
        <w:pStyle w:val="ChartMainHeading"/>
      </w:pPr>
      <w:bookmarkStart w:id="95" w:name="_Ref491428651"/>
      <w:r w:rsidRPr="00152124">
        <w:lastRenderedPageBreak/>
        <w:t>Figure</w:t>
      </w:r>
      <w:bookmarkEnd w:id="95"/>
      <w:r w:rsidR="00554687">
        <w:t xml:space="preserve"> 2</w:t>
      </w:r>
      <w:r w:rsidR="00A86B82">
        <w:t>5</w:t>
      </w:r>
      <w:r>
        <w:t>:</w:t>
      </w:r>
      <w:r w:rsidRPr="00152124">
        <w:t xml:space="preserve"> </w:t>
      </w:r>
      <w:r w:rsidR="00850386">
        <w:t>Labour force p</w:t>
      </w:r>
      <w:r w:rsidR="0076517C">
        <w:t xml:space="preserve">articipation rates </w:t>
      </w:r>
      <w:r w:rsidRPr="00152124">
        <w:t>by year of arrival</w:t>
      </w:r>
    </w:p>
    <w:p w14:paraId="35B391CE" w14:textId="7E8B6942" w:rsidR="004D189B" w:rsidRDefault="009E1A5E" w:rsidP="00E67395">
      <w:pPr>
        <w:pStyle w:val="ChartGraphic"/>
      </w:pPr>
      <w:r>
        <w:pict w14:anchorId="56867034">
          <v:shape id="_x0000_i1053" type="#_x0000_t75" style="width:438.75pt;height:226.5pt">
            <v:imagedata r:id="rId81" o:title=""/>
          </v:shape>
        </w:pict>
      </w:r>
    </w:p>
    <w:p w14:paraId="44ED55B7" w14:textId="77777777" w:rsidR="005038C5" w:rsidRPr="0076517C" w:rsidRDefault="005038C5" w:rsidP="00F148E0">
      <w:pPr>
        <w:pStyle w:val="ChartorTableNote"/>
      </w:pPr>
      <w:r>
        <w:t xml:space="preserve">Note: 2016 arrivals </w:t>
      </w:r>
      <w:r w:rsidRPr="0076517C">
        <w:t>are arrivals to July 2016</w:t>
      </w:r>
      <w:r>
        <w:t>.</w:t>
      </w:r>
    </w:p>
    <w:p w14:paraId="5FFE2B10" w14:textId="77777777" w:rsidR="00F17B86" w:rsidRDefault="004D189B" w:rsidP="00A36CBF">
      <w:pPr>
        <w:pStyle w:val="ChartorTableNote"/>
      </w:pPr>
      <w:r w:rsidRPr="00C87CD7">
        <w:t xml:space="preserve">Source: </w:t>
      </w:r>
      <w:r w:rsidR="000502F3">
        <w:t xml:space="preserve">Unpublished </w:t>
      </w:r>
      <w:r w:rsidRPr="00C87CD7">
        <w:t>ABS</w:t>
      </w:r>
      <w:r w:rsidR="00ED300D">
        <w:t xml:space="preserve"> </w:t>
      </w:r>
      <w:r w:rsidR="0026283D">
        <w:t xml:space="preserve">2016 </w:t>
      </w:r>
      <w:r w:rsidR="00AC2A90">
        <w:t xml:space="preserve">labour force </w:t>
      </w:r>
      <w:r w:rsidR="00ED300D">
        <w:t>data.</w:t>
      </w:r>
    </w:p>
    <w:p w14:paraId="34C6FFFF" w14:textId="77777777" w:rsidR="004D189B" w:rsidRPr="00F17B86" w:rsidRDefault="004D189B" w:rsidP="00F17B86">
      <w:pPr>
        <w:rPr>
          <w:spacing w:val="-1"/>
        </w:rPr>
      </w:pPr>
      <w:r w:rsidRPr="00F17B86">
        <w:rPr>
          <w:spacing w:val="-1"/>
        </w:rPr>
        <w:t xml:space="preserve">Both temporary and permanent migrants </w:t>
      </w:r>
      <w:r w:rsidR="00663183" w:rsidRPr="00F17B86">
        <w:rPr>
          <w:spacing w:val="-1"/>
        </w:rPr>
        <w:t>s</w:t>
      </w:r>
      <w:r w:rsidR="00564E94" w:rsidRPr="00F17B86">
        <w:rPr>
          <w:spacing w:val="-1"/>
        </w:rPr>
        <w:t xml:space="preserve">upplement </w:t>
      </w:r>
      <w:r w:rsidR="00E51EA5" w:rsidRPr="00F17B86">
        <w:rPr>
          <w:spacing w:val="-1"/>
        </w:rPr>
        <w:t>Australia’s</w:t>
      </w:r>
      <w:r w:rsidR="00564E94" w:rsidRPr="00F17B86">
        <w:rPr>
          <w:spacing w:val="-1"/>
        </w:rPr>
        <w:t xml:space="preserve"> workforce, increase </w:t>
      </w:r>
      <w:r w:rsidR="00663183" w:rsidRPr="00F17B86">
        <w:rPr>
          <w:spacing w:val="-1"/>
        </w:rPr>
        <w:t xml:space="preserve">the labour force </w:t>
      </w:r>
      <w:r w:rsidRPr="00F17B86">
        <w:rPr>
          <w:spacing w:val="-1"/>
        </w:rPr>
        <w:t>participation</w:t>
      </w:r>
      <w:r w:rsidR="00663183" w:rsidRPr="00F17B86">
        <w:rPr>
          <w:spacing w:val="-1"/>
        </w:rPr>
        <w:t xml:space="preserve"> rate</w:t>
      </w:r>
      <w:r w:rsidRPr="00F17B86">
        <w:rPr>
          <w:spacing w:val="-1"/>
        </w:rPr>
        <w:t>, and reduc</w:t>
      </w:r>
      <w:r w:rsidR="00564E94" w:rsidRPr="00F17B86">
        <w:rPr>
          <w:spacing w:val="-1"/>
        </w:rPr>
        <w:t>e</w:t>
      </w:r>
      <w:r w:rsidRPr="00F17B86">
        <w:rPr>
          <w:spacing w:val="-1"/>
        </w:rPr>
        <w:t xml:space="preserve"> the impact of ageing. Temporary migrants </w:t>
      </w:r>
      <w:r w:rsidR="008C4170" w:rsidRPr="00F17B86">
        <w:rPr>
          <w:spacing w:val="-1"/>
        </w:rPr>
        <w:t>deliver a bigger fiscal benefit</w:t>
      </w:r>
      <w:r w:rsidRPr="00F17B86">
        <w:rPr>
          <w:spacing w:val="-1"/>
        </w:rPr>
        <w:t xml:space="preserve"> since they come to Australia in their prime working years and are</w:t>
      </w:r>
      <w:r w:rsidR="008C4170" w:rsidRPr="00F17B86">
        <w:rPr>
          <w:spacing w:val="-1"/>
        </w:rPr>
        <w:t xml:space="preserve"> </w:t>
      </w:r>
      <w:r w:rsidRPr="00F17B86">
        <w:rPr>
          <w:spacing w:val="-1"/>
        </w:rPr>
        <w:t>n</w:t>
      </w:r>
      <w:r w:rsidR="008C4170" w:rsidRPr="00F17B86">
        <w:rPr>
          <w:spacing w:val="-1"/>
        </w:rPr>
        <w:t>o</w:t>
      </w:r>
      <w:r w:rsidRPr="00F17B86">
        <w:rPr>
          <w:spacing w:val="-1"/>
        </w:rPr>
        <w:t xml:space="preserve">t eligible for the majority of </w:t>
      </w:r>
      <w:r w:rsidR="002D66FC">
        <w:rPr>
          <w:spacing w:val="-1"/>
        </w:rPr>
        <w:t xml:space="preserve">government </w:t>
      </w:r>
      <w:r w:rsidRPr="00F17B86">
        <w:rPr>
          <w:spacing w:val="-1"/>
        </w:rPr>
        <w:t xml:space="preserve">services. However, </w:t>
      </w:r>
      <w:r w:rsidR="00564E94" w:rsidRPr="00F17B86">
        <w:rPr>
          <w:spacing w:val="-1"/>
        </w:rPr>
        <w:t>Australia</w:t>
      </w:r>
      <w:r w:rsidRPr="00F17B86">
        <w:rPr>
          <w:spacing w:val="-1"/>
        </w:rPr>
        <w:t xml:space="preserve"> could not rely on temporary migrants alone. The supply of temporary migrants is currently demand</w:t>
      </w:r>
      <w:r w:rsidR="00021968" w:rsidRPr="00F17B86">
        <w:rPr>
          <w:spacing w:val="-1"/>
        </w:rPr>
        <w:noBreakHyphen/>
      </w:r>
      <w:r w:rsidRPr="00F17B86">
        <w:rPr>
          <w:spacing w:val="-1"/>
        </w:rPr>
        <w:t xml:space="preserve">driven and much of that demand is fuelled by the prospect </w:t>
      </w:r>
      <w:r w:rsidR="00AC2A90" w:rsidRPr="00F17B86">
        <w:rPr>
          <w:spacing w:val="-1"/>
        </w:rPr>
        <w:t xml:space="preserve">of </w:t>
      </w:r>
      <w:r w:rsidRPr="00F17B86">
        <w:rPr>
          <w:spacing w:val="-1"/>
        </w:rPr>
        <w:t>long</w:t>
      </w:r>
      <w:r w:rsidR="00021968" w:rsidRPr="00F17B86">
        <w:rPr>
          <w:spacing w:val="-1"/>
        </w:rPr>
        <w:noBreakHyphen/>
      </w:r>
      <w:r w:rsidRPr="00F17B86">
        <w:rPr>
          <w:spacing w:val="-1"/>
        </w:rPr>
        <w:t xml:space="preserve">term permanent residency. Permanent migration therefore </w:t>
      </w:r>
      <w:r w:rsidR="00564E94" w:rsidRPr="00F17B86">
        <w:rPr>
          <w:spacing w:val="-1"/>
        </w:rPr>
        <w:t>remains a key component of the migration mix in order to support Australia’s labour force and</w:t>
      </w:r>
      <w:r w:rsidRPr="00F17B86">
        <w:rPr>
          <w:spacing w:val="-1"/>
        </w:rPr>
        <w:t xml:space="preserve"> offset </w:t>
      </w:r>
      <w:r w:rsidR="00564E94" w:rsidRPr="00F17B86">
        <w:rPr>
          <w:spacing w:val="-1"/>
        </w:rPr>
        <w:t>the impact of the</w:t>
      </w:r>
      <w:r w:rsidR="000A07A2" w:rsidRPr="00F17B86">
        <w:rPr>
          <w:spacing w:val="-1"/>
        </w:rPr>
        <w:t xml:space="preserve"> ageing population.</w:t>
      </w:r>
    </w:p>
    <w:p w14:paraId="5157A4CA" w14:textId="77777777" w:rsidR="004D189B" w:rsidRPr="00DC385A" w:rsidRDefault="005C0FBB" w:rsidP="002427F4">
      <w:pPr>
        <w:pStyle w:val="Heading4"/>
      </w:pPr>
      <w:r w:rsidRPr="00381B16">
        <w:t>P</w:t>
      </w:r>
      <w:r w:rsidR="004D189B" w:rsidRPr="00381B16">
        <w:t>roductivity</w:t>
      </w:r>
      <w:r w:rsidR="004D189B">
        <w:t xml:space="preserve"> is the most important mechanism for </w:t>
      </w:r>
      <w:r w:rsidR="00663183">
        <w:t xml:space="preserve">sustainable </w:t>
      </w:r>
      <w:r w:rsidR="004D189B">
        <w:t>income growth</w:t>
      </w:r>
    </w:p>
    <w:p w14:paraId="2A59BA57" w14:textId="77777777" w:rsidR="005B0123" w:rsidRPr="00F17B86" w:rsidRDefault="004D189B" w:rsidP="00F17B86">
      <w:pPr>
        <w:rPr>
          <w:spacing w:val="-1"/>
        </w:rPr>
      </w:pPr>
      <w:r w:rsidRPr="00F17B86">
        <w:rPr>
          <w:spacing w:val="-1"/>
        </w:rPr>
        <w:t>Although participation in the labour force is an important contribut</w:t>
      </w:r>
      <w:r w:rsidR="00663183" w:rsidRPr="00F17B86">
        <w:rPr>
          <w:spacing w:val="-1"/>
        </w:rPr>
        <w:t>or to economic growth</w:t>
      </w:r>
      <w:r w:rsidRPr="00F17B86">
        <w:rPr>
          <w:spacing w:val="-1"/>
        </w:rPr>
        <w:t xml:space="preserve">, </w:t>
      </w:r>
      <w:r w:rsidR="00663183" w:rsidRPr="00F17B86">
        <w:rPr>
          <w:spacing w:val="-1"/>
        </w:rPr>
        <w:t xml:space="preserve">productivity </w:t>
      </w:r>
      <w:r w:rsidRPr="00F17B86">
        <w:rPr>
          <w:spacing w:val="-1"/>
        </w:rPr>
        <w:t xml:space="preserve">growth </w:t>
      </w:r>
      <w:r w:rsidR="00663183" w:rsidRPr="00F17B86">
        <w:rPr>
          <w:spacing w:val="-1"/>
        </w:rPr>
        <w:t>is the most important mechanism for sustainable economic growth and growth in incomes</w:t>
      </w:r>
      <w:r w:rsidR="000A07A2" w:rsidRPr="00F17B86">
        <w:rPr>
          <w:spacing w:val="-1"/>
        </w:rPr>
        <w:t>.</w:t>
      </w:r>
    </w:p>
    <w:p w14:paraId="4F4E7718" w14:textId="77777777" w:rsidR="005B0123" w:rsidRPr="00F17B86" w:rsidRDefault="000423AD" w:rsidP="00F17B86">
      <w:pPr>
        <w:rPr>
          <w:spacing w:val="-1"/>
        </w:rPr>
      </w:pPr>
      <w:r w:rsidRPr="00F17B86">
        <w:rPr>
          <w:spacing w:val="-1"/>
        </w:rPr>
        <w:t xml:space="preserve">There is a large </w:t>
      </w:r>
      <w:r w:rsidR="00800175" w:rsidRPr="00F17B86">
        <w:rPr>
          <w:spacing w:val="-1"/>
        </w:rPr>
        <w:t xml:space="preserve">body of </w:t>
      </w:r>
      <w:r w:rsidRPr="00F17B86">
        <w:rPr>
          <w:spacing w:val="-1"/>
        </w:rPr>
        <w:t>literature on the link between increased human capital and skill levels and increased productivity. As mentioned previously, Australia’s immigration arrangements prioritise skilled migrants</w:t>
      </w:r>
      <w:r w:rsidR="003F6835" w:rsidRPr="00F17B86">
        <w:rPr>
          <w:spacing w:val="-1"/>
        </w:rPr>
        <w:t>,</w:t>
      </w:r>
      <w:r w:rsidRPr="00F17B86">
        <w:rPr>
          <w:spacing w:val="-1"/>
        </w:rPr>
        <w:t xml:space="preserve"> with around 70 per cent of permanent migrants arriving through this stream. </w:t>
      </w:r>
      <w:r w:rsidR="000A1AC9" w:rsidRPr="00F17B86">
        <w:rPr>
          <w:spacing w:val="-1"/>
        </w:rPr>
        <w:t>Parham</w:t>
      </w:r>
      <w:r w:rsidR="00F17B86">
        <w:rPr>
          <w:spacing w:val="-1"/>
        </w:rPr>
        <w:t> </w:t>
      </w:r>
      <w:r w:rsidR="003F6835" w:rsidRPr="00F17B86">
        <w:rPr>
          <w:spacing w:val="-1"/>
        </w:rPr>
        <w:t>et al.</w:t>
      </w:r>
      <w:r w:rsidR="000A1AC9" w:rsidRPr="00F17B86">
        <w:rPr>
          <w:spacing w:val="-1"/>
        </w:rPr>
        <w:t> </w:t>
      </w:r>
      <w:r w:rsidRPr="00F17B86">
        <w:rPr>
          <w:spacing w:val="-1"/>
        </w:rPr>
        <w:t>(2015) found that skills in immigrant labour input had grown more rapidly than th</w:t>
      </w:r>
      <w:r w:rsidR="003F6835" w:rsidRPr="00F17B86">
        <w:rPr>
          <w:spacing w:val="-1"/>
        </w:rPr>
        <w:t>ose</w:t>
      </w:r>
      <w:r w:rsidRPr="00F17B86">
        <w:rPr>
          <w:spacing w:val="-1"/>
        </w:rPr>
        <w:t xml:space="preserve"> of Australian</w:t>
      </w:r>
      <w:r w:rsidRPr="00F17B86">
        <w:rPr>
          <w:spacing w:val="-1"/>
        </w:rPr>
        <w:noBreakHyphen/>
        <w:t>born labour</w:t>
      </w:r>
      <w:r w:rsidR="000A1AC9" w:rsidRPr="00F17B86">
        <w:rPr>
          <w:spacing w:val="-1"/>
        </w:rPr>
        <w:t xml:space="preserve">, with a resulting </w:t>
      </w:r>
      <w:r w:rsidR="002D66FC">
        <w:rPr>
          <w:spacing w:val="-1"/>
        </w:rPr>
        <w:t xml:space="preserve">positive </w:t>
      </w:r>
      <w:r w:rsidR="000A1AC9" w:rsidRPr="00F17B86">
        <w:rPr>
          <w:spacing w:val="-1"/>
        </w:rPr>
        <w:t xml:space="preserve">impact on productivity. Parham </w:t>
      </w:r>
      <w:r w:rsidR="003F6835" w:rsidRPr="00F17B86">
        <w:rPr>
          <w:spacing w:val="-1"/>
        </w:rPr>
        <w:t xml:space="preserve">et al. </w:t>
      </w:r>
      <w:r w:rsidR="000A1AC9" w:rsidRPr="00F17B86">
        <w:rPr>
          <w:spacing w:val="-1"/>
        </w:rPr>
        <w:t>estimated that migrants accounted for 0.1</w:t>
      </w:r>
      <w:r w:rsidR="00EF5A72" w:rsidRPr="00F17B86">
        <w:rPr>
          <w:spacing w:val="-1"/>
        </w:rPr>
        <w:t>7</w:t>
      </w:r>
      <w:r w:rsidR="000A1AC9" w:rsidRPr="00F17B86">
        <w:rPr>
          <w:spacing w:val="-1"/>
        </w:rPr>
        <w:t xml:space="preserve"> of a percentage point of annual </w:t>
      </w:r>
      <w:r w:rsidR="00E90AEF">
        <w:rPr>
          <w:spacing w:val="-1"/>
        </w:rPr>
        <w:t>labour</w:t>
      </w:r>
      <w:r w:rsidR="000A1AC9" w:rsidRPr="00F17B86">
        <w:rPr>
          <w:spacing w:val="-1"/>
        </w:rPr>
        <w:t xml:space="preserve"> productivity growth</w:t>
      </w:r>
      <w:r w:rsidR="00EF5A72" w:rsidRPr="00F17B86">
        <w:rPr>
          <w:spacing w:val="-1"/>
        </w:rPr>
        <w:t xml:space="preserve"> between</w:t>
      </w:r>
      <w:r w:rsidR="00F17B86">
        <w:rPr>
          <w:spacing w:val="-1"/>
        </w:rPr>
        <w:t xml:space="preserve"> </w:t>
      </w:r>
      <w:r w:rsidR="00EF5A72" w:rsidRPr="00F17B86">
        <w:rPr>
          <w:spacing w:val="-1"/>
        </w:rPr>
        <w:t>2006</w:t>
      </w:r>
      <w:r w:rsidR="00F17B86">
        <w:rPr>
          <w:spacing w:val="-1"/>
        </w:rPr>
        <w:t> </w:t>
      </w:r>
      <w:r w:rsidR="00EF5A72" w:rsidRPr="00F17B86">
        <w:rPr>
          <w:spacing w:val="-1"/>
        </w:rPr>
        <w:t>and 2011</w:t>
      </w:r>
      <w:r w:rsidR="000A1AC9" w:rsidRPr="00F17B86">
        <w:rPr>
          <w:spacing w:val="-1"/>
        </w:rPr>
        <w:t xml:space="preserve">. This represents about </w:t>
      </w:r>
      <w:r w:rsidR="00E90AEF">
        <w:rPr>
          <w:spacing w:val="-1"/>
        </w:rPr>
        <w:t>7</w:t>
      </w:r>
      <w:r w:rsidR="000A1AC9" w:rsidRPr="00F17B86">
        <w:rPr>
          <w:spacing w:val="-1"/>
        </w:rPr>
        <w:t xml:space="preserve"> per cent of the average rate of </w:t>
      </w:r>
      <w:r w:rsidR="00E90AEF">
        <w:rPr>
          <w:spacing w:val="-1"/>
        </w:rPr>
        <w:t>labour</w:t>
      </w:r>
      <w:r w:rsidR="000A1AC9" w:rsidRPr="00F17B86">
        <w:rPr>
          <w:spacing w:val="-1"/>
        </w:rPr>
        <w:t xml:space="preserve"> productivity growth of </w:t>
      </w:r>
      <w:r w:rsidR="00E90AEF">
        <w:rPr>
          <w:spacing w:val="-1"/>
        </w:rPr>
        <w:t>2.4</w:t>
      </w:r>
      <w:r w:rsidR="00F17B86" w:rsidRPr="00F17B86">
        <w:rPr>
          <w:spacing w:val="-1"/>
        </w:rPr>
        <w:t> </w:t>
      </w:r>
      <w:r w:rsidR="00E90AEF">
        <w:rPr>
          <w:spacing w:val="-1"/>
        </w:rPr>
        <w:t>per </w:t>
      </w:r>
      <w:r w:rsidR="000A1AC9" w:rsidRPr="00F17B86">
        <w:rPr>
          <w:spacing w:val="-1"/>
        </w:rPr>
        <w:t>cent a year over the period 1994-95 to 2007-08. Parham</w:t>
      </w:r>
      <w:r w:rsidR="003F6835" w:rsidRPr="00F17B86">
        <w:rPr>
          <w:spacing w:val="-1"/>
        </w:rPr>
        <w:t xml:space="preserve"> </w:t>
      </w:r>
      <w:r w:rsidR="00D013CF" w:rsidRPr="00F17B86">
        <w:rPr>
          <w:spacing w:val="-1"/>
        </w:rPr>
        <w:t>e</w:t>
      </w:r>
      <w:r w:rsidR="003F6835" w:rsidRPr="00F17B86">
        <w:rPr>
          <w:spacing w:val="-1"/>
        </w:rPr>
        <w:t>t al.</w:t>
      </w:r>
      <w:r w:rsidR="000A1AC9" w:rsidRPr="00F17B86">
        <w:rPr>
          <w:spacing w:val="-1"/>
        </w:rPr>
        <w:t>’s findings are consistent with international evidence, with the IMF finding that highly skilled migration increases productivity per</w:t>
      </w:r>
      <w:r w:rsidR="00F17B86" w:rsidRPr="00F17B86">
        <w:rPr>
          <w:spacing w:val="-1"/>
        </w:rPr>
        <w:t> </w:t>
      </w:r>
      <w:r w:rsidR="000A1AC9" w:rsidRPr="00F17B86">
        <w:rPr>
          <w:spacing w:val="-1"/>
        </w:rPr>
        <w:t>worker through innovation and diversity of skills, and low and medium</w:t>
      </w:r>
      <w:r w:rsidR="001B12DC" w:rsidRPr="00F17B86">
        <w:rPr>
          <w:spacing w:val="-1"/>
        </w:rPr>
        <w:t xml:space="preserve"> </w:t>
      </w:r>
      <w:r w:rsidR="000A1AC9" w:rsidRPr="00F17B86">
        <w:rPr>
          <w:spacing w:val="-1"/>
        </w:rPr>
        <w:t>skilled migration complements the skills of native-born workers (</w:t>
      </w:r>
      <w:proofErr w:type="spellStart"/>
      <w:r w:rsidR="000A1AC9" w:rsidRPr="00F17B86">
        <w:rPr>
          <w:spacing w:val="-1"/>
        </w:rPr>
        <w:t>Jaumotte</w:t>
      </w:r>
      <w:proofErr w:type="spellEnd"/>
      <w:r w:rsidR="000A1AC9" w:rsidRPr="00F17B86">
        <w:rPr>
          <w:spacing w:val="-1"/>
        </w:rPr>
        <w:t xml:space="preserve">, </w:t>
      </w:r>
      <w:proofErr w:type="spellStart"/>
      <w:r w:rsidR="000A1AC9" w:rsidRPr="00F17B86">
        <w:rPr>
          <w:spacing w:val="-1"/>
        </w:rPr>
        <w:t>Koloskova</w:t>
      </w:r>
      <w:proofErr w:type="spellEnd"/>
      <w:r w:rsidR="000A1AC9" w:rsidRPr="00F17B86">
        <w:rPr>
          <w:spacing w:val="-1"/>
        </w:rPr>
        <w:t xml:space="preserve"> &amp; </w:t>
      </w:r>
      <w:proofErr w:type="spellStart"/>
      <w:r w:rsidR="000A1AC9" w:rsidRPr="00F17B86">
        <w:rPr>
          <w:spacing w:val="-1"/>
        </w:rPr>
        <w:t>Saxena</w:t>
      </w:r>
      <w:proofErr w:type="spellEnd"/>
      <w:r w:rsidR="00C8472B" w:rsidRPr="00F17B86">
        <w:rPr>
          <w:spacing w:val="-1"/>
        </w:rPr>
        <w:t> </w:t>
      </w:r>
      <w:r w:rsidR="005B0123" w:rsidRPr="00F17B86">
        <w:rPr>
          <w:spacing w:val="-1"/>
        </w:rPr>
        <w:t>2016)</w:t>
      </w:r>
      <w:r w:rsidR="000A1AC9" w:rsidRPr="00F17B86">
        <w:rPr>
          <w:spacing w:val="-1"/>
        </w:rPr>
        <w:t>.</w:t>
      </w:r>
    </w:p>
    <w:p w14:paraId="103BA53E" w14:textId="77777777" w:rsidR="000A1AC9" w:rsidRPr="00F17B86" w:rsidRDefault="000A1AC9" w:rsidP="00F17B86">
      <w:pPr>
        <w:rPr>
          <w:spacing w:val="-1"/>
        </w:rPr>
      </w:pPr>
      <w:r w:rsidRPr="00F17B86">
        <w:rPr>
          <w:spacing w:val="-1"/>
        </w:rPr>
        <w:t>Wages are sometimes used as a proxy for the direct productivity benefits of migrants. Underlying this is the theory that workers would only be able to demand wage increases if they were adding value in the form of additional productivity to the firm.</w:t>
      </w:r>
      <w:r w:rsidR="005A77C5" w:rsidRPr="00F17B86">
        <w:rPr>
          <w:spacing w:val="-1"/>
        </w:rPr>
        <w:t xml:space="preserve"> Parham </w:t>
      </w:r>
      <w:r w:rsidR="00F456DA" w:rsidRPr="00F17B86">
        <w:rPr>
          <w:spacing w:val="-1"/>
        </w:rPr>
        <w:t xml:space="preserve">et al. </w:t>
      </w:r>
      <w:r w:rsidR="005A77C5" w:rsidRPr="00F17B86">
        <w:rPr>
          <w:spacing w:val="-1"/>
        </w:rPr>
        <w:t>(201</w:t>
      </w:r>
      <w:r w:rsidR="00F456DA" w:rsidRPr="00F17B86">
        <w:rPr>
          <w:spacing w:val="-1"/>
        </w:rPr>
        <w:t>5</w:t>
      </w:r>
      <w:r w:rsidR="005A77C5" w:rsidRPr="00F17B86">
        <w:rPr>
          <w:spacing w:val="-1"/>
        </w:rPr>
        <w:t xml:space="preserve">) find that migrants earned a </w:t>
      </w:r>
      <w:r w:rsidR="005A77C5" w:rsidRPr="00F17B86">
        <w:rPr>
          <w:spacing w:val="-1"/>
        </w:rPr>
        <w:lastRenderedPageBreak/>
        <w:t>6</w:t>
      </w:r>
      <w:r w:rsidR="00F17B86" w:rsidRPr="00F17B86">
        <w:rPr>
          <w:spacing w:val="-1"/>
        </w:rPr>
        <w:t> </w:t>
      </w:r>
      <w:r w:rsidR="005A77C5" w:rsidRPr="00F17B86">
        <w:rPr>
          <w:spacing w:val="-1"/>
        </w:rPr>
        <w:t>per</w:t>
      </w:r>
      <w:r w:rsidR="00F17B86" w:rsidRPr="00F17B86">
        <w:rPr>
          <w:spacing w:val="-1"/>
        </w:rPr>
        <w:t> </w:t>
      </w:r>
      <w:r w:rsidR="005A77C5" w:rsidRPr="00F17B86">
        <w:rPr>
          <w:spacing w:val="-1"/>
        </w:rPr>
        <w:t>cent wage premium over the Australian</w:t>
      </w:r>
      <w:r w:rsidR="005A77C5" w:rsidRPr="00F17B86">
        <w:rPr>
          <w:spacing w:val="-1"/>
        </w:rPr>
        <w:noBreakHyphen/>
        <w:t xml:space="preserve">born due to their propensity to work </w:t>
      </w:r>
      <w:r w:rsidR="001B12DC" w:rsidRPr="00F17B86">
        <w:rPr>
          <w:spacing w:val="-1"/>
        </w:rPr>
        <w:t xml:space="preserve">on average </w:t>
      </w:r>
      <w:r w:rsidR="005A77C5" w:rsidRPr="00F17B86">
        <w:rPr>
          <w:spacing w:val="-1"/>
        </w:rPr>
        <w:t>in more skilled jobs. Section 7 contains a more detailed discussion of migrant incomes.</w:t>
      </w:r>
    </w:p>
    <w:p w14:paraId="5B3F06FA" w14:textId="77777777" w:rsidR="00AC4526" w:rsidRPr="00A17215" w:rsidRDefault="005A77C5" w:rsidP="00EF66AB">
      <w:r w:rsidRPr="00A17215">
        <w:t xml:space="preserve">While these estimates take into account the direct human capital effect of skills and work experience, they do not account for the indirect </w:t>
      </w:r>
      <w:proofErr w:type="spellStart"/>
      <w:r w:rsidRPr="00A17215">
        <w:t>spillover</w:t>
      </w:r>
      <w:proofErr w:type="spellEnd"/>
      <w:r w:rsidRPr="00A17215">
        <w:t xml:space="preserve"> effects</w:t>
      </w:r>
      <w:r w:rsidR="00E02B65" w:rsidRPr="00A17215">
        <w:t xml:space="preserve"> associated with migrants’ </w:t>
      </w:r>
      <w:r w:rsidR="009863EC">
        <w:t>impacts</w:t>
      </w:r>
      <w:r w:rsidR="009863EC" w:rsidRPr="00A17215">
        <w:t xml:space="preserve"> </w:t>
      </w:r>
      <w:r w:rsidR="00E02B65" w:rsidRPr="00A17215">
        <w:t>on firms or the broader economy</w:t>
      </w:r>
      <w:r w:rsidRPr="00A17215">
        <w:t xml:space="preserve">. </w:t>
      </w:r>
      <w:r w:rsidR="002D66FC">
        <w:t xml:space="preserve">Positive </w:t>
      </w:r>
      <w:proofErr w:type="spellStart"/>
      <w:r w:rsidR="002D66FC">
        <w:t>s</w:t>
      </w:r>
      <w:r w:rsidRPr="00A17215">
        <w:t>pillover</w:t>
      </w:r>
      <w:proofErr w:type="spellEnd"/>
      <w:r w:rsidRPr="00A17215">
        <w:t xml:space="preserve"> effects </w:t>
      </w:r>
      <w:r w:rsidR="00EF66AB">
        <w:t xml:space="preserve">are thought to </w:t>
      </w:r>
      <w:r w:rsidR="004D189B">
        <w:t>occur because migrants are different from the resident population.</w:t>
      </w:r>
      <w:r w:rsidR="00EF66AB">
        <w:t xml:space="preserve"> R</w:t>
      </w:r>
      <w:r w:rsidR="00EF66AB" w:rsidRPr="00A17215">
        <w:t xml:space="preserve">esearch examining the benefits of cultural diversity on business operations has found a positive relationship between having diverse staff members and the performance of multinational corporations. </w:t>
      </w:r>
      <w:r w:rsidR="00AC4526" w:rsidRPr="00A17215">
        <w:t>A</w:t>
      </w:r>
      <w:r w:rsidR="00EF66AB" w:rsidRPr="00A17215">
        <w:t xml:space="preserve"> diversified workforce is likely to have different skills and mindsets, which in turn are positively correlated with business, technological and cultural innovation. </w:t>
      </w:r>
      <w:r w:rsidR="00E02B65" w:rsidRPr="00A17215">
        <w:t>This is particularly the case at the firm level</w:t>
      </w:r>
      <w:r w:rsidR="009863EC">
        <w:t>,</w:t>
      </w:r>
      <w:r w:rsidR="00E02B65" w:rsidRPr="00A17215">
        <w:t xml:space="preserve"> with firms with migrant owners or partners more likely to introduce new products or processes</w:t>
      </w:r>
      <w:r w:rsidR="00EF66AB" w:rsidRPr="00A17215">
        <w:t xml:space="preserve"> (Qian</w:t>
      </w:r>
      <w:r w:rsidR="00D0499C">
        <w:t xml:space="preserve">, </w:t>
      </w:r>
      <w:proofErr w:type="spellStart"/>
      <w:r w:rsidR="00D0499C">
        <w:t>Acs</w:t>
      </w:r>
      <w:proofErr w:type="spellEnd"/>
      <w:r w:rsidR="00D0499C">
        <w:t xml:space="preserve"> &amp; </w:t>
      </w:r>
      <w:proofErr w:type="spellStart"/>
      <w:r w:rsidR="00D0499C">
        <w:t>Stough</w:t>
      </w:r>
      <w:proofErr w:type="spellEnd"/>
      <w:r w:rsidR="00EF66AB" w:rsidRPr="00A17215">
        <w:t xml:space="preserve"> 2013</w:t>
      </w:r>
      <w:r w:rsidR="00D0499C">
        <w:t>;</w:t>
      </w:r>
      <w:r w:rsidR="00EF66AB" w:rsidRPr="00A17215">
        <w:t xml:space="preserve"> Niebuhr 2010</w:t>
      </w:r>
      <w:r w:rsidR="00D0499C">
        <w:t>;</w:t>
      </w:r>
      <w:r w:rsidR="00EF66AB" w:rsidRPr="00A17215">
        <w:t xml:space="preserve"> </w:t>
      </w:r>
      <w:proofErr w:type="spellStart"/>
      <w:r w:rsidR="00EF66AB" w:rsidRPr="00A17215">
        <w:t>Saxenian</w:t>
      </w:r>
      <w:proofErr w:type="spellEnd"/>
      <w:r w:rsidR="00EF66AB" w:rsidRPr="00A17215">
        <w:t xml:space="preserve"> 20</w:t>
      </w:r>
      <w:r w:rsidR="009133B4">
        <w:t>02</w:t>
      </w:r>
      <w:r w:rsidR="00EF66AB" w:rsidRPr="00A17215">
        <w:t>).</w:t>
      </w:r>
      <w:r w:rsidR="00AC4526" w:rsidRPr="00A17215">
        <w:t xml:space="preserve"> </w:t>
      </w:r>
      <w:r w:rsidR="00E02B65" w:rsidRPr="00A17215">
        <w:t xml:space="preserve">Culturally diverse staff members, particularly migrant workers, may also have international connections aiding the flow of labour, goods, </w:t>
      </w:r>
      <w:r w:rsidR="00AC4526" w:rsidRPr="00A17215">
        <w:t xml:space="preserve">and </w:t>
      </w:r>
      <w:r w:rsidR="00E02B65" w:rsidRPr="00A17215">
        <w:t>services between Australia and the</w:t>
      </w:r>
      <w:r w:rsidR="000A07A2">
        <w:t>ir nation of cultural heritage.</w:t>
      </w:r>
    </w:p>
    <w:p w14:paraId="1BFB7B4A" w14:textId="77777777" w:rsidR="00FB523B" w:rsidRPr="00A17215" w:rsidRDefault="0082109C" w:rsidP="00EF66AB">
      <w:r w:rsidRPr="00A17215">
        <w:t>In fact, m</w:t>
      </w:r>
      <w:r w:rsidR="00AC4526" w:rsidRPr="00A17215">
        <w:t>igration</w:t>
      </w:r>
      <w:r w:rsidRPr="00A17215">
        <w:t xml:space="preserve"> likely encourages a number of flows, </w:t>
      </w:r>
      <w:r w:rsidR="00351E78">
        <w:t>many of which have</w:t>
      </w:r>
      <w:r w:rsidRPr="00A17215">
        <w:t xml:space="preserve"> positive impacts on productivity. The geographic mobility of labour that occurs through migration is one of the major mechanisms for diffusion of knowledge and experience across countries (</w:t>
      </w:r>
      <w:proofErr w:type="spellStart"/>
      <w:r w:rsidRPr="00A17215">
        <w:t>Döring</w:t>
      </w:r>
      <w:proofErr w:type="spellEnd"/>
      <w:r w:rsidRPr="00A17215">
        <w:t xml:space="preserve"> </w:t>
      </w:r>
      <w:r w:rsidR="009863EC">
        <w:t>&amp;</w:t>
      </w:r>
      <w:r w:rsidR="009863EC" w:rsidRPr="00A17215">
        <w:t xml:space="preserve"> </w:t>
      </w:r>
      <w:proofErr w:type="spellStart"/>
      <w:r w:rsidRPr="00A17215">
        <w:t>Schnellenbach</w:t>
      </w:r>
      <w:proofErr w:type="spellEnd"/>
      <w:r w:rsidRPr="00A17215">
        <w:t xml:space="preserve"> </w:t>
      </w:r>
      <w:hyperlink r:id="rId82" w:anchor="CR13" w:tooltip="View reference" w:history="1">
        <w:r w:rsidRPr="00A17215">
          <w:t>2006</w:t>
        </w:r>
      </w:hyperlink>
      <w:r w:rsidRPr="00A17215">
        <w:t>). This may support organisations to take up new technologies and improve processes by bringing a fresh perspective, and applyi</w:t>
      </w:r>
      <w:r w:rsidR="000A07A2">
        <w:t>ng international best practice</w:t>
      </w:r>
      <w:r w:rsidR="00351E78">
        <w:t xml:space="preserve"> (PC 2016)</w:t>
      </w:r>
      <w:r w:rsidR="000A07A2">
        <w:t>.</w:t>
      </w:r>
    </w:p>
    <w:p w14:paraId="19B590E4" w14:textId="77777777" w:rsidR="0082109C" w:rsidRPr="00A17215" w:rsidRDefault="0082109C" w:rsidP="00EF66AB">
      <w:r w:rsidRPr="00A17215">
        <w:t xml:space="preserve">Migrants </w:t>
      </w:r>
      <w:r w:rsidR="00FB523B" w:rsidRPr="00A17215">
        <w:t>often</w:t>
      </w:r>
      <w:r w:rsidRPr="00A17215">
        <w:t xml:space="preserve"> bring with them a taste for the products of their homelands which can spark new</w:t>
      </w:r>
      <w:r w:rsidR="00F17B86">
        <w:t> </w:t>
      </w:r>
      <w:r w:rsidRPr="00A17215">
        <w:t>product markets and industries.</w:t>
      </w:r>
      <w:r w:rsidR="00FB523B" w:rsidRPr="00A17215">
        <w:t xml:space="preserve"> Personal links to their homelands can also be responsible for </w:t>
      </w:r>
      <w:r w:rsidRPr="00A17215">
        <w:t>increas</w:t>
      </w:r>
      <w:r w:rsidR="00FB523B" w:rsidRPr="00A17215">
        <w:t>ing</w:t>
      </w:r>
      <w:r w:rsidRPr="00A17215">
        <w:t xml:space="preserve"> business exposure to competitive pressures by facilitating trade and entrepreneurial activity and overcoming language barriers</w:t>
      </w:r>
      <w:r w:rsidR="00FB523B" w:rsidRPr="00A17215">
        <w:t xml:space="preserve"> (PC 2016)</w:t>
      </w:r>
      <w:r w:rsidR="000A07A2">
        <w:t>.</w:t>
      </w:r>
    </w:p>
    <w:p w14:paraId="6584277C" w14:textId="77777777" w:rsidR="007E7F04" w:rsidRPr="00A17215" w:rsidRDefault="00680B27" w:rsidP="00FB523B">
      <w:r w:rsidRPr="00A17215">
        <w:t xml:space="preserve">Lastly, migrants may </w:t>
      </w:r>
      <w:r w:rsidR="00782095" w:rsidRPr="00A17215">
        <w:t xml:space="preserve">positively impact on productivity through their </w:t>
      </w:r>
      <w:r w:rsidRPr="00A17215">
        <w:t>contribut</w:t>
      </w:r>
      <w:r w:rsidR="00782095" w:rsidRPr="00A17215">
        <w:t>ion</w:t>
      </w:r>
      <w:r w:rsidRPr="00A17215">
        <w:t xml:space="preserve"> to agglomeration</w:t>
      </w:r>
      <w:r w:rsidR="00782095" w:rsidRPr="00A17215">
        <w:t xml:space="preserve">. Agglomeration refers to the benefits that arise when households and firms cluster together. This can result in increased knowledge sharing, labour pooling, and input sharing, with resulting </w:t>
      </w:r>
      <w:r w:rsidR="002D66FC">
        <w:t xml:space="preserve">positive </w:t>
      </w:r>
      <w:r w:rsidR="00782095" w:rsidRPr="00A17215">
        <w:t>impacts on productivity (</w:t>
      </w:r>
      <w:proofErr w:type="spellStart"/>
      <w:r w:rsidR="00782095" w:rsidRPr="00A17215">
        <w:t>Hels</w:t>
      </w:r>
      <w:r w:rsidR="0059098E">
        <w:t>l</w:t>
      </w:r>
      <w:r w:rsidR="00782095" w:rsidRPr="00A17215">
        <w:t>ey</w:t>
      </w:r>
      <w:proofErr w:type="spellEnd"/>
      <w:r w:rsidR="00782095" w:rsidRPr="00A17215">
        <w:t xml:space="preserve"> </w:t>
      </w:r>
      <w:r w:rsidR="004A478B">
        <w:t>&amp;</w:t>
      </w:r>
      <w:r w:rsidR="004A478B" w:rsidRPr="00A17215">
        <w:t xml:space="preserve"> </w:t>
      </w:r>
      <w:r w:rsidR="00782095" w:rsidRPr="00A17215">
        <w:t>Strange 200</w:t>
      </w:r>
      <w:r w:rsidR="0059098E">
        <w:t>2</w:t>
      </w:r>
      <w:r w:rsidR="00782095" w:rsidRPr="00A17215">
        <w:t>). Agglomeration occurs regardless of migration as the benefits of economic activity and community connections draw both migrants and the Australian</w:t>
      </w:r>
      <w:r w:rsidR="00782095" w:rsidRPr="00A17215">
        <w:noBreakHyphen/>
        <w:t>born alike. Agglomeration is also increasingly being driven by the shift to a services</w:t>
      </w:r>
      <w:r w:rsidR="004A478B">
        <w:t xml:space="preserve"> </w:t>
      </w:r>
      <w:r w:rsidR="00782095" w:rsidRPr="00A17215">
        <w:t>based economy, with around half of all jobs growth in Sydney and Melbourne</w:t>
      </w:r>
      <w:r w:rsidR="007E7F04" w:rsidRPr="00A17215">
        <w:t xml:space="preserve"> occurring within a </w:t>
      </w:r>
      <w:r w:rsidR="004A478B">
        <w:t>two kilometre</w:t>
      </w:r>
      <w:r w:rsidR="007E7F04" w:rsidRPr="00A17215">
        <w:t xml:space="preserve"> radius of the city centre (Daley 201</w:t>
      </w:r>
      <w:r w:rsidR="00100147">
        <w:t>7</w:t>
      </w:r>
      <w:r w:rsidR="007E7F04" w:rsidRPr="00A17215">
        <w:t>)</w:t>
      </w:r>
      <w:r w:rsidR="00782095" w:rsidRPr="00A17215">
        <w:t>. However, migrants have undoubtedly contributed to agglomeration</w:t>
      </w:r>
      <w:r w:rsidR="00601E89" w:rsidRPr="00A17215">
        <w:t xml:space="preserve"> and the productivity benefits this brings,</w:t>
      </w:r>
      <w:r w:rsidR="00782095" w:rsidRPr="00A17215">
        <w:t xml:space="preserve"> </w:t>
      </w:r>
      <w:r w:rsidRPr="00A17215">
        <w:t>due to their tendency to sett</w:t>
      </w:r>
      <w:r w:rsidR="000A07A2">
        <w:t>le in Australia’s major cities.</w:t>
      </w:r>
    </w:p>
    <w:p w14:paraId="19EBA3C7" w14:textId="77777777" w:rsidR="00436DE9" w:rsidRDefault="00436DE9" w:rsidP="002427F4">
      <w:pPr>
        <w:pStyle w:val="Heading2Numbered"/>
      </w:pPr>
      <w:bookmarkStart w:id="96" w:name="_Toc495402484"/>
      <w:bookmarkStart w:id="97" w:name="_Toc491027254"/>
      <w:r>
        <w:t>Fiscal impact of migrants</w:t>
      </w:r>
      <w:bookmarkEnd w:id="96"/>
    </w:p>
    <w:p w14:paraId="7FF6DA10" w14:textId="77777777" w:rsidR="00553871" w:rsidRDefault="00553871" w:rsidP="00A17215">
      <w:r>
        <w:t>One approach to assessing the fiscal impact of migrants is to examine their level of income</w:t>
      </w:r>
      <w:r w:rsidR="0014161E">
        <w:t xml:space="preserve">. </w:t>
      </w:r>
      <w:r w:rsidR="008A6D1A">
        <w:t>Migrants with h</w:t>
      </w:r>
      <w:r w:rsidR="0014161E">
        <w:t>igher </w:t>
      </w:r>
      <w:r>
        <w:t>levels of income hav</w:t>
      </w:r>
      <w:r w:rsidR="008A6D1A">
        <w:t>e</w:t>
      </w:r>
      <w:r>
        <w:t xml:space="preserve"> a more positive impact on the </w:t>
      </w:r>
      <w:r w:rsidR="00512F30">
        <w:t>Australian Government’s</w:t>
      </w:r>
      <w:r>
        <w:t xml:space="preserve"> fiscal position than </w:t>
      </w:r>
      <w:r w:rsidR="008A6D1A">
        <w:t xml:space="preserve">those with </w:t>
      </w:r>
      <w:r>
        <w:t>lower levels of income.</w:t>
      </w:r>
    </w:p>
    <w:p w14:paraId="3C1890AC" w14:textId="77777777" w:rsidR="00553871" w:rsidRDefault="00710EF8" w:rsidP="00C8457C">
      <w:pPr>
        <w:spacing w:before="120" w:after="120" w:line="240" w:lineRule="auto"/>
      </w:pPr>
      <w:r>
        <w:t>Almost 11</w:t>
      </w:r>
      <w:r w:rsidR="00553871">
        <w:t xml:space="preserve"> per cent of </w:t>
      </w:r>
      <w:r w:rsidR="00DA74F0">
        <w:t xml:space="preserve">working age </w:t>
      </w:r>
      <w:r w:rsidR="00553871">
        <w:t xml:space="preserve">migrants, compared to </w:t>
      </w:r>
      <w:r>
        <w:t xml:space="preserve">just over </w:t>
      </w:r>
      <w:r w:rsidR="00553871">
        <w:t>7 per cent of Australians</w:t>
      </w:r>
      <w:r w:rsidR="008A6D1A">
        <w:t>,</w:t>
      </w:r>
      <w:r w:rsidR="00553871">
        <w:t xml:space="preserve"> earn no income. The slightly higher figure for migrants likely reflects the time it takes to acclimatise to a new</w:t>
      </w:r>
      <w:r w:rsidR="007B5E24">
        <w:t> </w:t>
      </w:r>
      <w:r w:rsidR="00553871">
        <w:t xml:space="preserve">country and labour market. The income of migrants grows with additional time in Australia, with substantial improvements in incomes over the first three years. Between six and 18 months after arrival, migrants show income increases four times that of the average yearly wage increase </w:t>
      </w:r>
      <w:r w:rsidR="00553871">
        <w:lastRenderedPageBreak/>
        <w:t>(</w:t>
      </w:r>
      <w:r w:rsidR="00247214">
        <w:t>DIBP</w:t>
      </w:r>
      <w:r w:rsidR="00DA74F0">
        <w:t> </w:t>
      </w:r>
      <w:r w:rsidR="00B7376A">
        <w:t>2016c</w:t>
      </w:r>
      <w:r w:rsidR="00553871">
        <w:t xml:space="preserve">): 1.8 times for </w:t>
      </w:r>
      <w:r w:rsidR="008A6D1A">
        <w:t>f</w:t>
      </w:r>
      <w:r w:rsidR="00553871">
        <w:t xml:space="preserve">amily stream </w:t>
      </w:r>
      <w:r w:rsidR="008A6D1A">
        <w:t>p</w:t>
      </w:r>
      <w:r w:rsidR="00553871">
        <w:t xml:space="preserve">artner visa migrants; 4.1 times for </w:t>
      </w:r>
      <w:r w:rsidR="008A6D1A">
        <w:t>s</w:t>
      </w:r>
      <w:r w:rsidR="00553871">
        <w:t>kill stream primary applicant migrants and 4.6 times for their migrating spouse.</w:t>
      </w:r>
      <w:r w:rsidR="00EA02EF">
        <w:rPr>
          <w:rStyle w:val="FootnoteReference"/>
        </w:rPr>
        <w:footnoteReference w:id="6"/>
      </w:r>
    </w:p>
    <w:p w14:paraId="1572EFE0" w14:textId="77777777" w:rsidR="00553871" w:rsidRDefault="00553871" w:rsidP="00553871">
      <w:r>
        <w:t>Once migrants settle into the labour force and start earning income, in aggregate, they earn very similar amounts to the Australian</w:t>
      </w:r>
      <w:r>
        <w:noBreakHyphen/>
        <w:t>born</w:t>
      </w:r>
      <w:r w:rsidR="00EA02EF">
        <w:rPr>
          <w:rStyle w:val="FootnoteReference"/>
        </w:rPr>
        <w:footnoteReference w:id="7"/>
      </w:r>
      <w:r w:rsidR="005C0FBB">
        <w:t>. This varies across migrant cohorts, however. M</w:t>
      </w:r>
      <w:r>
        <w:t>igrants who arrived following the increased focus on skilled migration (post</w:t>
      </w:r>
      <w:r>
        <w:noBreakHyphen/>
        <w:t xml:space="preserve">1996) perform better </w:t>
      </w:r>
      <w:r w:rsidR="005C0FBB">
        <w:t xml:space="preserve">on average </w:t>
      </w:r>
      <w:r>
        <w:t>than the Australian</w:t>
      </w:r>
      <w:r>
        <w:noBreakHyphen/>
        <w:t>born</w:t>
      </w:r>
      <w:r w:rsidR="00997449">
        <w:t>,</w:t>
      </w:r>
      <w:r>
        <w:t xml:space="preserve"> </w:t>
      </w:r>
      <w:r w:rsidR="005C0FBB">
        <w:t xml:space="preserve">while </w:t>
      </w:r>
      <w:r>
        <w:t xml:space="preserve">older </w:t>
      </w:r>
      <w:r w:rsidR="005C0FBB">
        <w:t xml:space="preserve">cohorts of </w:t>
      </w:r>
      <w:r>
        <w:t>migrants perform worse</w:t>
      </w:r>
      <w:r w:rsidR="005C0FBB">
        <w:t xml:space="preserve"> on average</w:t>
      </w:r>
      <w:r>
        <w:t xml:space="preserve"> than the Australian</w:t>
      </w:r>
      <w:r>
        <w:noBreakHyphen/>
        <w:t xml:space="preserve">born (Figure </w:t>
      </w:r>
      <w:r w:rsidR="00DA74F0">
        <w:t>2</w:t>
      </w:r>
      <w:r w:rsidR="00A86B82">
        <w:t>6</w:t>
      </w:r>
      <w:r>
        <w:t xml:space="preserve">). Skilled migrants who have been the focus of Australia’s modern migration program earn significantly higher incomes. </w:t>
      </w:r>
      <w:r w:rsidR="00997449">
        <w:t xml:space="preserve">Forty-two </w:t>
      </w:r>
      <w:r>
        <w:t xml:space="preserve">per cent of </w:t>
      </w:r>
      <w:r w:rsidR="00A170FB">
        <w:t>s</w:t>
      </w:r>
      <w:r>
        <w:t>kill stream primary applicants earned over $1,250 per week (the top 30 per cent of incomes), whereas this applied to only 20 per cent of the Australian</w:t>
      </w:r>
      <w:r>
        <w:noBreakHyphen/>
        <w:t xml:space="preserve">born. </w:t>
      </w:r>
      <w:r>
        <w:rPr>
          <w:lang w:val="en"/>
        </w:rPr>
        <w:t>This is not to say that migrants earn more than non</w:t>
      </w:r>
      <w:r>
        <w:rPr>
          <w:lang w:val="en"/>
        </w:rPr>
        <w:noBreakHyphen/>
        <w:t xml:space="preserve">migrants in the same job, </w:t>
      </w:r>
      <w:r w:rsidR="00A170FB">
        <w:rPr>
          <w:lang w:val="en"/>
        </w:rPr>
        <w:t xml:space="preserve">but rather </w:t>
      </w:r>
      <w:r>
        <w:rPr>
          <w:lang w:val="en"/>
        </w:rPr>
        <w:t>that they tend to work in more skilled jobs on average</w:t>
      </w:r>
      <w:r w:rsidR="002D66FC">
        <w:rPr>
          <w:lang w:val="en"/>
        </w:rPr>
        <w:t>, which is consistent with the findings of Parham et al</w:t>
      </w:r>
      <w:r w:rsidR="0063465F">
        <w:rPr>
          <w:lang w:val="en"/>
        </w:rPr>
        <w:t>.</w:t>
      </w:r>
      <w:r w:rsidR="002D66FC">
        <w:rPr>
          <w:lang w:val="en"/>
        </w:rPr>
        <w:t xml:space="preserve"> (2015)</w:t>
      </w:r>
      <w:r>
        <w:rPr>
          <w:lang w:val="en"/>
        </w:rPr>
        <w:t>.</w:t>
      </w:r>
    </w:p>
    <w:p w14:paraId="75693299" w14:textId="77777777" w:rsidR="00553871" w:rsidRDefault="00553871" w:rsidP="000B438C">
      <w:pPr>
        <w:pStyle w:val="ChartMainHeading"/>
      </w:pPr>
      <w:r w:rsidRPr="00152124">
        <w:t>Figure</w:t>
      </w:r>
      <w:r>
        <w:t xml:space="preserve"> </w:t>
      </w:r>
      <w:r w:rsidRPr="00B05426">
        <w:t>2</w:t>
      </w:r>
      <w:r w:rsidR="00A86B82">
        <w:t>6</w:t>
      </w:r>
      <w:r>
        <w:t>:</w:t>
      </w:r>
      <w:r w:rsidRPr="00152124">
        <w:t xml:space="preserve"> </w:t>
      </w:r>
      <w:r w:rsidR="0018599E">
        <w:t>Weekly income</w:t>
      </w:r>
      <w:r w:rsidR="002E665B">
        <w:t xml:space="preserve"> distributions</w:t>
      </w:r>
      <w:r w:rsidR="0018599E">
        <w:t xml:space="preserve"> for the </w:t>
      </w:r>
      <w:r>
        <w:t>Aust</w:t>
      </w:r>
      <w:r w:rsidR="00DA74F0">
        <w:t>r</w:t>
      </w:r>
      <w:r>
        <w:t>alian</w:t>
      </w:r>
      <w:r w:rsidR="0018599E">
        <w:noBreakHyphen/>
        <w:t>born and overseas</w:t>
      </w:r>
      <w:r w:rsidR="0018599E">
        <w:noBreakHyphen/>
        <w:t>born</w:t>
      </w:r>
    </w:p>
    <w:p w14:paraId="5FC709B2" w14:textId="0D9EEA4F" w:rsidR="00553871" w:rsidRDefault="00302A39" w:rsidP="005F3E79">
      <w:pPr>
        <w:pStyle w:val="ChartGraphic"/>
      </w:pPr>
      <w:r>
        <w:pict w14:anchorId="3EC1030D">
          <v:shape id="_x0000_i1054" type="#_x0000_t75" style="width:430.5pt;height:222.75pt">
            <v:imagedata r:id="rId83" o:title="" cropbottom="823f" cropleft="847f" cropright="423f"/>
          </v:shape>
        </w:pict>
      </w:r>
    </w:p>
    <w:p w14:paraId="71CBE414" w14:textId="77777777" w:rsidR="00F17B86" w:rsidRDefault="00553871" w:rsidP="00A36CBF">
      <w:pPr>
        <w:pStyle w:val="ChartorTableNote"/>
      </w:pPr>
      <w:r w:rsidRPr="000E4938">
        <w:t xml:space="preserve">Source: </w:t>
      </w:r>
      <w:r w:rsidR="00954C1A" w:rsidRPr="000E4938">
        <w:t>ABS 20</w:t>
      </w:r>
      <w:r w:rsidR="00D013CF" w:rsidRPr="000E4938">
        <w:t>14b</w:t>
      </w:r>
      <w:r w:rsidR="00954C1A" w:rsidRPr="000E4938">
        <w:t xml:space="preserve"> &amp;</w:t>
      </w:r>
      <w:r w:rsidRPr="000E4938">
        <w:t xml:space="preserve"> </w:t>
      </w:r>
      <w:r w:rsidR="008A6D1A" w:rsidRPr="000E4938">
        <w:t xml:space="preserve">ABS </w:t>
      </w:r>
      <w:r w:rsidRPr="000E4938">
        <w:t>201</w:t>
      </w:r>
      <w:r w:rsidR="00D013CF" w:rsidRPr="000E4938">
        <w:t>6d</w:t>
      </w:r>
      <w:r w:rsidR="00A36CBF">
        <w:t>.</w:t>
      </w:r>
    </w:p>
    <w:p w14:paraId="35F9BB1E" w14:textId="77777777" w:rsidR="001C4FD5" w:rsidRDefault="00553871" w:rsidP="000E4938">
      <w:r>
        <w:t>Lo</w:t>
      </w:r>
      <w:r w:rsidR="001C4FD5">
        <w:t xml:space="preserve">oking more broadly across both migrant incomes and expenses, migrants are estimated to have a positive fiscal impact since they are predominantly of working age when they arrive. This means that they arrive in Australia at a time in their lives when </w:t>
      </w:r>
      <w:r w:rsidR="0029709A">
        <w:t xml:space="preserve">their </w:t>
      </w:r>
      <w:r w:rsidR="001C4FD5">
        <w:t xml:space="preserve">taxable income is usually highest and usage of government services such as health, education and aged care is usually lowest (Figure </w:t>
      </w:r>
      <w:r w:rsidR="00B05426">
        <w:t>2</w:t>
      </w:r>
      <w:r w:rsidR="00A86B82">
        <w:t>7</w:t>
      </w:r>
      <w:r w:rsidR="001C4FD5">
        <w:t xml:space="preserve">). While higher expenses are incurred when these migrants age (assuming that they remain in Australia), most migrants arrive after childhood and </w:t>
      </w:r>
      <w:r w:rsidR="004D6225">
        <w:t xml:space="preserve">therefore </w:t>
      </w:r>
      <w:r w:rsidR="0029709A">
        <w:t xml:space="preserve">child care and education </w:t>
      </w:r>
      <w:r w:rsidR="001C4FD5">
        <w:t xml:space="preserve">expenses </w:t>
      </w:r>
      <w:r w:rsidR="0029709A">
        <w:t xml:space="preserve">associated with early life </w:t>
      </w:r>
      <w:r w:rsidR="004D6225">
        <w:t xml:space="preserve">are generally </w:t>
      </w:r>
      <w:r w:rsidR="001C4FD5">
        <w:t xml:space="preserve">incurred </w:t>
      </w:r>
      <w:r w:rsidR="000A07A2">
        <w:t>by the migrant’s home country.</w:t>
      </w:r>
    </w:p>
    <w:p w14:paraId="488C3E4C" w14:textId="77777777" w:rsidR="00BC71C8" w:rsidRDefault="00B96858" w:rsidP="000E4938">
      <w:r>
        <w:lastRenderedPageBreak/>
        <w:t xml:space="preserve">Moreover, </w:t>
      </w:r>
      <w:r w:rsidR="00725350">
        <w:t xml:space="preserve">new migrants </w:t>
      </w:r>
      <w:r w:rsidR="00E9262F">
        <w:t>normally</w:t>
      </w:r>
      <w:r w:rsidR="0029709A">
        <w:t xml:space="preserve"> </w:t>
      </w:r>
      <w:r w:rsidR="00725350">
        <w:t xml:space="preserve">have several decades </w:t>
      </w:r>
      <w:r w:rsidR="0029709A">
        <w:t xml:space="preserve">in Australia </w:t>
      </w:r>
      <w:r w:rsidR="00725350">
        <w:t xml:space="preserve">before they </w:t>
      </w:r>
      <w:r w:rsidR="0029709A">
        <w:t xml:space="preserve">reach retirement </w:t>
      </w:r>
      <w:r w:rsidR="00725350">
        <w:t>age</w:t>
      </w:r>
      <w:r w:rsidR="004D4DCF">
        <w:t>. Cumulative</w:t>
      </w:r>
      <w:r w:rsidR="00725350">
        <w:t xml:space="preserve"> fiscal benefits </w:t>
      </w:r>
      <w:r w:rsidR="004D4DCF">
        <w:t xml:space="preserve">are estimated to grow for around 30 years after </w:t>
      </w:r>
      <w:r w:rsidR="00CB6607">
        <w:t>migrants</w:t>
      </w:r>
      <w:r w:rsidR="004D4DCF">
        <w:t xml:space="preserve"> arrive, before being partly eroded by age</w:t>
      </w:r>
      <w:r w:rsidR="004D4DCF">
        <w:noBreakHyphen/>
        <w:t xml:space="preserve">related expenditure. </w:t>
      </w:r>
      <w:r w:rsidR="0029709A">
        <w:t>T</w:t>
      </w:r>
      <w:r w:rsidR="004D4DCF">
        <w:t xml:space="preserve">his means that </w:t>
      </w:r>
      <w:r w:rsidR="0029709A">
        <w:t xml:space="preserve">current arrivals are bringing a </w:t>
      </w:r>
      <w:r w:rsidR="00B05426">
        <w:t xml:space="preserve">welcome </w:t>
      </w:r>
      <w:r w:rsidR="004D4DCF">
        <w:t xml:space="preserve">fiscal boost at a time when </w:t>
      </w:r>
      <w:r w:rsidR="00725350">
        <w:t xml:space="preserve">Australia is </w:t>
      </w:r>
      <w:r w:rsidR="004D4DCF">
        <w:t xml:space="preserve">facing </w:t>
      </w:r>
      <w:r w:rsidR="00B05426">
        <w:t xml:space="preserve">heightened </w:t>
      </w:r>
      <w:r w:rsidR="004D4DCF">
        <w:t xml:space="preserve">fiscal pressures due to the </w:t>
      </w:r>
      <w:r w:rsidR="00B05426">
        <w:t>ageing of the</w:t>
      </w:r>
      <w:r w:rsidR="00725350">
        <w:t xml:space="preserve"> population</w:t>
      </w:r>
      <w:r w:rsidR="000A07A2">
        <w:t>.</w:t>
      </w:r>
    </w:p>
    <w:p w14:paraId="473EBFA0" w14:textId="77777777" w:rsidR="00BC71C8" w:rsidRPr="00DC385A" w:rsidRDefault="00BC71C8" w:rsidP="000B438C">
      <w:pPr>
        <w:pStyle w:val="ChartMainHeading"/>
      </w:pPr>
      <w:r w:rsidRPr="00596E16">
        <w:t xml:space="preserve">Figure </w:t>
      </w:r>
      <w:r w:rsidR="00B05426">
        <w:t>2</w:t>
      </w:r>
      <w:r w:rsidR="00A86B82">
        <w:t>7</w:t>
      </w:r>
      <w:r w:rsidRPr="00DC385A">
        <w:t>: Government spending and taxable income by age of the population</w:t>
      </w:r>
    </w:p>
    <w:p w14:paraId="4D4A4B0B" w14:textId="356E8E01" w:rsidR="00BC71C8" w:rsidRPr="00DC385A" w:rsidRDefault="00302A39" w:rsidP="005F3E79">
      <w:pPr>
        <w:pStyle w:val="ChartGraphic"/>
      </w:pPr>
      <w:r>
        <w:pict w14:anchorId="214D8185">
          <v:shape id="_x0000_i1055" type="#_x0000_t75" style="width:395.25pt;height:231.75pt">
            <v:imagedata r:id="rId84" o:title="" cropbottom="4114f" cropleft="1261f"/>
          </v:shape>
        </w:pict>
      </w:r>
    </w:p>
    <w:p w14:paraId="362DD0BE" w14:textId="77777777" w:rsidR="000E4938" w:rsidRDefault="00BC71C8" w:rsidP="00A36CBF">
      <w:pPr>
        <w:pStyle w:val="ChartorTableNote"/>
      </w:pPr>
      <w:r w:rsidRPr="000E4938">
        <w:t xml:space="preserve">Source: </w:t>
      </w:r>
      <w:r w:rsidR="00A86B82" w:rsidRPr="000E4938">
        <w:t xml:space="preserve">Productivity </w:t>
      </w:r>
      <w:r w:rsidR="008A6D1A" w:rsidRPr="000E4938">
        <w:t>C</w:t>
      </w:r>
      <w:r w:rsidR="00A86B82" w:rsidRPr="000E4938">
        <w:t>ommission</w:t>
      </w:r>
      <w:r w:rsidR="00A36CBF">
        <w:t xml:space="preserve"> 2016.</w:t>
      </w:r>
    </w:p>
    <w:p w14:paraId="16ADEA82" w14:textId="77777777" w:rsidR="0052522A" w:rsidRDefault="00BC71C8" w:rsidP="00F17B86">
      <w:r>
        <w:t xml:space="preserve">An assessment of the fiscal impact </w:t>
      </w:r>
      <w:r w:rsidR="00DA74F0">
        <w:t xml:space="preserve">on the Commonwealth’s Budget </w:t>
      </w:r>
      <w:r>
        <w:t>of the 2014</w:t>
      </w:r>
      <w:r>
        <w:noBreakHyphen/>
        <w:t xml:space="preserve">15 migrant cohort </w:t>
      </w:r>
      <w:r w:rsidR="00E9262F">
        <w:t xml:space="preserve">estimated </w:t>
      </w:r>
      <w:r>
        <w:t xml:space="preserve">a net positive impact over the migrants’ lifetimes </w:t>
      </w:r>
      <w:r w:rsidR="00B05426">
        <w:t>(</w:t>
      </w:r>
      <w:r w:rsidR="00B05426" w:rsidRPr="00247214">
        <w:t xml:space="preserve">Deloitte Access Economics &amp; DIBP </w:t>
      </w:r>
      <w:r w:rsidR="00247214" w:rsidRPr="000D021A">
        <w:t>2016</w:t>
      </w:r>
      <w:r w:rsidR="00B05426" w:rsidRPr="00247214">
        <w:t>)</w:t>
      </w:r>
      <w:r w:rsidR="00B05426">
        <w:t xml:space="preserve"> </w:t>
      </w:r>
      <w:r>
        <w:t xml:space="preserve">(Figure </w:t>
      </w:r>
      <w:r w:rsidR="00B05426">
        <w:t>2</w:t>
      </w:r>
      <w:r w:rsidR="00A86B82">
        <w:t>8</w:t>
      </w:r>
      <w:r>
        <w:t>). The magnitude of this impact varies by visa type</w:t>
      </w:r>
      <w:r w:rsidR="0052522A">
        <w:t>:</w:t>
      </w:r>
    </w:p>
    <w:p w14:paraId="290A3CC4" w14:textId="77777777" w:rsidR="00BC71C8" w:rsidRDefault="00232B27" w:rsidP="00A17215">
      <w:pPr>
        <w:pStyle w:val="Bullet"/>
      </w:pPr>
      <w:r>
        <w:t>457 visa holders we</w:t>
      </w:r>
      <w:r w:rsidR="0052522A">
        <w:t xml:space="preserve">re estimated to deliver a large positive net fiscal impact </w:t>
      </w:r>
      <w:r w:rsidR="00BC71C8" w:rsidRPr="00DC385A">
        <w:t>($3.9 billion). 457</w:t>
      </w:r>
      <w:r w:rsidR="007B5E24">
        <w:t> </w:t>
      </w:r>
      <w:r w:rsidR="00BC71C8" w:rsidRPr="00DC385A">
        <w:t xml:space="preserve">visa holders are generally working in Australia for a period of up to seven years and incur none of the expenditures associated with youth or old age. </w:t>
      </w:r>
      <w:r w:rsidR="00BC71C8">
        <w:t xml:space="preserve">They are also not eligible for many government services. </w:t>
      </w:r>
      <w:r w:rsidR="00BC71C8" w:rsidRPr="00DC385A">
        <w:t>After seven years, 457 </w:t>
      </w:r>
      <w:r>
        <w:t>visa holders</w:t>
      </w:r>
      <w:r w:rsidR="00BC71C8" w:rsidRPr="00DC385A">
        <w:t xml:space="preserve"> have generally either left the country (52 per cent) or become permanent residents (48 per cent).</w:t>
      </w:r>
    </w:p>
    <w:p w14:paraId="08CA063F" w14:textId="77777777" w:rsidR="00BC71C8" w:rsidRDefault="006A0821" w:rsidP="00A17215">
      <w:pPr>
        <w:pStyle w:val="Bullet"/>
      </w:pPr>
      <w:r>
        <w:t>Permanent s</w:t>
      </w:r>
      <w:r w:rsidR="00BC71C8" w:rsidRPr="00DC385A">
        <w:t xml:space="preserve">kill stream </w:t>
      </w:r>
      <w:r w:rsidR="0052522A">
        <w:t xml:space="preserve">migrants </w:t>
      </w:r>
      <w:r w:rsidR="00232B27">
        <w:t>we</w:t>
      </w:r>
      <w:r w:rsidR="0052522A">
        <w:t>re</w:t>
      </w:r>
      <w:r w:rsidR="00BC71C8">
        <w:t xml:space="preserve"> also</w:t>
      </w:r>
      <w:r w:rsidR="0052522A">
        <w:t xml:space="preserve"> </w:t>
      </w:r>
      <w:r w:rsidR="009F0D43">
        <w:t>estimated to deliver a large positive net fiscal impact</w:t>
      </w:r>
      <w:r w:rsidR="00232B27">
        <w:t xml:space="preserve"> ($6.9 billion)</w:t>
      </w:r>
      <w:r w:rsidR="00BC71C8">
        <w:t>.</w:t>
      </w:r>
      <w:r w:rsidR="00E9262F">
        <w:t xml:space="preserve"> </w:t>
      </w:r>
      <w:r w:rsidR="00DA74F0">
        <w:t>T</w:t>
      </w:r>
      <w:r w:rsidR="00BC71C8" w:rsidRPr="00DC385A">
        <w:t>he net contribution of secondary applica</w:t>
      </w:r>
      <w:r w:rsidR="00BC71C8">
        <w:t xml:space="preserve">nts in the </w:t>
      </w:r>
      <w:r>
        <w:t>s</w:t>
      </w:r>
      <w:r w:rsidR="00BC71C8">
        <w:t>kill stream (</w:t>
      </w:r>
      <w:r w:rsidR="00B20EA1">
        <w:t xml:space="preserve">that is, </w:t>
      </w:r>
      <w:r w:rsidR="00BC71C8">
        <w:t>family </w:t>
      </w:r>
      <w:r w:rsidR="00BC71C8" w:rsidRPr="00DC385A">
        <w:t xml:space="preserve">members, predominantly partners) </w:t>
      </w:r>
      <w:r w:rsidR="00232B27">
        <w:t>wa</w:t>
      </w:r>
      <w:r w:rsidR="00BC71C8" w:rsidRPr="00DC385A">
        <w:t xml:space="preserve">s negative, in part because the early period after arrival often involves establishing a family and more gradual </w:t>
      </w:r>
      <w:r w:rsidR="00BC71C8">
        <w:t>entry into the labour market</w:t>
      </w:r>
      <w:r w:rsidR="00BC71C8" w:rsidRPr="00DC385A">
        <w:t xml:space="preserve">. However, </w:t>
      </w:r>
      <w:r w:rsidR="009F0D43">
        <w:t>the</w:t>
      </w:r>
      <w:r w:rsidR="00232B27">
        <w:t xml:space="preserve"> small negative impact of secondary applicants </w:t>
      </w:r>
      <w:r w:rsidR="00985BEE">
        <w:t>wa</w:t>
      </w:r>
      <w:r w:rsidR="00232B27">
        <w:t>s more than outweighed by the</w:t>
      </w:r>
      <w:r w:rsidR="009F0D43">
        <w:t xml:space="preserve"> </w:t>
      </w:r>
      <w:r w:rsidR="00232B27">
        <w:t xml:space="preserve">large positive impact </w:t>
      </w:r>
      <w:r w:rsidR="00985BEE">
        <w:t xml:space="preserve">delivered by the </w:t>
      </w:r>
      <w:r w:rsidR="00232B27">
        <w:t>primary applicants</w:t>
      </w:r>
      <w:r w:rsidR="00985BEE">
        <w:t>.</w:t>
      </w:r>
    </w:p>
    <w:p w14:paraId="495E4699" w14:textId="77777777" w:rsidR="00BC71C8" w:rsidRDefault="006A0821" w:rsidP="00A17215">
      <w:pPr>
        <w:pStyle w:val="Bullet"/>
      </w:pPr>
      <w:r>
        <w:t>Permanent f</w:t>
      </w:r>
      <w:r w:rsidR="00BC71C8" w:rsidRPr="00DC385A">
        <w:t xml:space="preserve">amily stream migrants </w:t>
      </w:r>
      <w:r w:rsidR="00232B27">
        <w:t xml:space="preserve">were </w:t>
      </w:r>
      <w:r w:rsidR="00BC71C8" w:rsidRPr="00DC385A">
        <w:t>also</w:t>
      </w:r>
      <w:r w:rsidR="00232B27">
        <w:t xml:space="preserve"> estimated to deliver </w:t>
      </w:r>
      <w:r w:rsidR="00BC71C8" w:rsidRPr="00DC385A">
        <w:t>a net positive fiscal contribution</w:t>
      </w:r>
      <w:r w:rsidR="009F0D43">
        <w:t xml:space="preserve"> ($1.6 billion)</w:t>
      </w:r>
      <w:r w:rsidR="00BC71C8" w:rsidRPr="00DC385A">
        <w:t xml:space="preserve">. </w:t>
      </w:r>
      <w:r w:rsidR="009F0D43">
        <w:t>Around 80 per cent of the 2014</w:t>
      </w:r>
      <w:r w:rsidR="009F0D43">
        <w:noBreakHyphen/>
        <w:t xml:space="preserve">15 family </w:t>
      </w:r>
      <w:proofErr w:type="gramStart"/>
      <w:r w:rsidR="009F0D43">
        <w:t>stream were</w:t>
      </w:r>
      <w:proofErr w:type="gramEnd"/>
      <w:r w:rsidR="009F0D43">
        <w:t xml:space="preserve"> partners of Australian residents</w:t>
      </w:r>
      <w:r w:rsidR="002F5954">
        <w:t>. T</w:t>
      </w:r>
      <w:r w:rsidR="009F0D43">
        <w:t>heir estimated positive fiscal contribution was partially</w:t>
      </w:r>
      <w:r w:rsidR="00DA74F0">
        <w:t xml:space="preserve"> offset </w:t>
      </w:r>
      <w:r w:rsidR="009F0D43">
        <w:t xml:space="preserve">by </w:t>
      </w:r>
      <w:r w:rsidR="002F5954">
        <w:t xml:space="preserve">the negative fiscal impact of </w:t>
      </w:r>
      <w:r w:rsidR="009F0D43">
        <w:t>parents, who accounted for 14 per cent of the 2014</w:t>
      </w:r>
      <w:r w:rsidR="009F0D43">
        <w:noBreakHyphen/>
        <w:t xml:space="preserve">15 </w:t>
      </w:r>
      <w:r>
        <w:t>f</w:t>
      </w:r>
      <w:r w:rsidR="009F0D43">
        <w:t>amily stream</w:t>
      </w:r>
      <w:r w:rsidR="00BC71C8" w:rsidRPr="00DC385A">
        <w:t>.</w:t>
      </w:r>
    </w:p>
    <w:p w14:paraId="40C73FC3" w14:textId="77777777" w:rsidR="00BC71C8" w:rsidRDefault="00BC71C8" w:rsidP="00A17215">
      <w:pPr>
        <w:pStyle w:val="Bullet"/>
      </w:pPr>
      <w:r w:rsidRPr="00DC385A">
        <w:t xml:space="preserve">Humanitarian </w:t>
      </w:r>
      <w:r w:rsidR="00232B27">
        <w:t>migrants we</w:t>
      </w:r>
      <w:r w:rsidR="002F5954">
        <w:t>re estimated to have a</w:t>
      </w:r>
      <w:r w:rsidRPr="00DC385A">
        <w:t xml:space="preserve"> net </w:t>
      </w:r>
      <w:r w:rsidR="00E9262F">
        <w:t>negative fiscal impact</w:t>
      </w:r>
      <w:r w:rsidRPr="00DC385A">
        <w:t xml:space="preserve"> </w:t>
      </w:r>
      <w:r w:rsidR="00232B27">
        <w:t>(</w:t>
      </w:r>
      <w:r w:rsidR="00E9262F">
        <w:t>-</w:t>
      </w:r>
      <w:r w:rsidRPr="00DC385A">
        <w:t>$2.7 billion</w:t>
      </w:r>
      <w:r w:rsidR="00232B27">
        <w:t>)</w:t>
      </w:r>
      <w:r w:rsidRPr="00DC385A">
        <w:t>. More than one</w:t>
      </w:r>
      <w:r w:rsidR="00E9262F">
        <w:noBreakHyphen/>
      </w:r>
      <w:r w:rsidRPr="00DC385A">
        <w:t xml:space="preserve">third of this is associated with resettlement costs </w:t>
      </w:r>
      <w:r w:rsidR="00E9262F" w:rsidRPr="00DC385A">
        <w:t xml:space="preserve">incurred in the first five years </w:t>
      </w:r>
      <w:r w:rsidRPr="00DC385A">
        <w:t xml:space="preserve">including language and skills development. The continuing small net negative fiscal impact </w:t>
      </w:r>
      <w:r w:rsidR="006A0821">
        <w:t>of</w:t>
      </w:r>
      <w:r w:rsidR="006A0821" w:rsidRPr="00DC385A">
        <w:t xml:space="preserve"> </w:t>
      </w:r>
      <w:r w:rsidRPr="00DC385A">
        <w:lastRenderedPageBreak/>
        <w:t xml:space="preserve">humanitarian migrants on average is a function of </w:t>
      </w:r>
      <w:r w:rsidR="00CB3BEC">
        <w:t xml:space="preserve">lower wages leading to </w:t>
      </w:r>
      <w:r w:rsidRPr="00DC385A">
        <w:t xml:space="preserve">tax revenues </w:t>
      </w:r>
      <w:r w:rsidR="00CB3BEC">
        <w:t>that are</w:t>
      </w:r>
      <w:r w:rsidRPr="00DC385A">
        <w:t xml:space="preserve"> insufficient to offset the cost of </w:t>
      </w:r>
      <w:r>
        <w:t xml:space="preserve">social </w:t>
      </w:r>
      <w:r w:rsidRPr="00DC385A">
        <w:t>services.</w:t>
      </w:r>
    </w:p>
    <w:p w14:paraId="36E5F00F" w14:textId="77777777" w:rsidR="00BC71C8" w:rsidRDefault="00BC71C8" w:rsidP="000B438C">
      <w:pPr>
        <w:pStyle w:val="ChartMainHeading"/>
      </w:pPr>
      <w:r w:rsidRPr="00C20F6F">
        <w:t xml:space="preserve">Figure </w:t>
      </w:r>
      <w:r w:rsidR="00B05426">
        <w:t>2</w:t>
      </w:r>
      <w:r w:rsidR="00A86B82">
        <w:t>8</w:t>
      </w:r>
      <w:r w:rsidRPr="00DC385A">
        <w:t>: Lifetime projected fiscal impacts of 2014</w:t>
      </w:r>
      <w:r>
        <w:noBreakHyphen/>
      </w:r>
      <w:r w:rsidRPr="00DC385A">
        <w:t>15 migrant cohort</w:t>
      </w:r>
    </w:p>
    <w:tbl>
      <w:tblPr>
        <w:tblStyle w:val="TableGrid"/>
        <w:tblW w:w="9242" w:type="dxa"/>
        <w:tblLayout w:type="fixed"/>
        <w:tblLook w:val="04A0" w:firstRow="1" w:lastRow="0" w:firstColumn="1" w:lastColumn="0" w:noHBand="0" w:noVBand="1"/>
      </w:tblPr>
      <w:tblGrid>
        <w:gridCol w:w="5415"/>
        <w:gridCol w:w="3827"/>
      </w:tblGrid>
      <w:tr w:rsidR="000E4938" w:rsidRPr="00DC385A" w14:paraId="0B934838" w14:textId="77777777" w:rsidTr="000E4938">
        <w:trPr>
          <w:trHeight w:val="4334"/>
        </w:trPr>
        <w:tc>
          <w:tcPr>
            <w:tcW w:w="5415" w:type="dxa"/>
            <w:shd w:val="clear" w:color="auto" w:fill="auto"/>
            <w:tcMar>
              <w:left w:w="28" w:type="dxa"/>
              <w:right w:w="28" w:type="dxa"/>
            </w:tcMar>
          </w:tcPr>
          <w:p w14:paraId="2E374F95" w14:textId="77777777" w:rsidR="000E4938" w:rsidRPr="00DC385A" w:rsidRDefault="000E4938" w:rsidP="00EB7B9E">
            <w:pPr>
              <w:pStyle w:val="ChartGraphic"/>
              <w:jc w:val="left"/>
              <w:rPr>
                <w:sz w:val="18"/>
              </w:rPr>
            </w:pPr>
            <w:r>
              <w:rPr>
                <w:noProof/>
              </w:rPr>
              <w:drawing>
                <wp:inline distT="0" distB="0" distL="0" distR="0" wp14:anchorId="684A7F63" wp14:editId="24EEF39C">
                  <wp:extent cx="3347049" cy="2717321"/>
                  <wp:effectExtent l="0" t="0" r="635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827" w:type="dxa"/>
            <w:shd w:val="clear" w:color="auto" w:fill="auto"/>
            <w:tcMar>
              <w:left w:w="28" w:type="dxa"/>
              <w:right w:w="28" w:type="dxa"/>
            </w:tcMar>
          </w:tcPr>
          <w:tbl>
            <w:tblPr>
              <w:tblStyle w:val="TableGrid"/>
              <w:tblW w:w="3625" w:type="dxa"/>
              <w:tblInd w:w="87" w:type="dxa"/>
              <w:tblLayout w:type="fixed"/>
              <w:tblLook w:val="04A0" w:firstRow="1" w:lastRow="0" w:firstColumn="1" w:lastColumn="0" w:noHBand="0" w:noVBand="1"/>
            </w:tblPr>
            <w:tblGrid>
              <w:gridCol w:w="2635"/>
              <w:gridCol w:w="990"/>
            </w:tblGrid>
            <w:tr w:rsidR="000E4938" w:rsidRPr="00DC385A" w14:paraId="3FA978CB" w14:textId="77777777" w:rsidTr="00EB7B9E">
              <w:tc>
                <w:tcPr>
                  <w:tcW w:w="3625" w:type="dxa"/>
                  <w:gridSpan w:val="2"/>
                  <w:tcBorders>
                    <w:top w:val="single" w:sz="4" w:space="0" w:color="44546A" w:themeColor="text2"/>
                    <w:bottom w:val="single" w:sz="4" w:space="0" w:color="44546A" w:themeColor="text2"/>
                  </w:tcBorders>
                  <w:shd w:val="clear" w:color="auto" w:fill="DEEAF6" w:themeFill="accent1" w:themeFillTint="33"/>
                  <w:tcMar>
                    <w:left w:w="57" w:type="dxa"/>
                    <w:right w:w="57" w:type="dxa"/>
                  </w:tcMar>
                </w:tcPr>
                <w:p w14:paraId="1AF4E2B2" w14:textId="77777777" w:rsidR="000E4938" w:rsidRPr="009F10D4" w:rsidRDefault="000E4938" w:rsidP="00EB7B9E">
                  <w:pPr>
                    <w:pStyle w:val="ChartMainHeading"/>
                    <w:spacing w:before="60" w:after="60"/>
                    <w:rPr>
                      <w:sz w:val="19"/>
                      <w:szCs w:val="19"/>
                    </w:rPr>
                  </w:pPr>
                  <w:r w:rsidRPr="00DC385A">
                    <w:t>Total net fiscal impact</w:t>
                  </w:r>
                </w:p>
              </w:tc>
            </w:tr>
            <w:tr w:rsidR="000E4938" w:rsidRPr="00DC385A" w14:paraId="1C371AA8" w14:textId="77777777" w:rsidTr="00EB7B9E">
              <w:tc>
                <w:tcPr>
                  <w:tcW w:w="2635" w:type="dxa"/>
                  <w:tcBorders>
                    <w:top w:val="single" w:sz="4" w:space="0" w:color="44546A" w:themeColor="text2"/>
                    <w:bottom w:val="single" w:sz="4" w:space="0" w:color="44546A" w:themeColor="text2"/>
                  </w:tcBorders>
                  <w:shd w:val="clear" w:color="auto" w:fill="F2F2F2" w:themeFill="background1" w:themeFillShade="F2"/>
                  <w:tcMar>
                    <w:left w:w="57" w:type="dxa"/>
                    <w:right w:w="57" w:type="dxa"/>
                  </w:tcMar>
                </w:tcPr>
                <w:p w14:paraId="638BCB13" w14:textId="77777777" w:rsidR="000E4938" w:rsidRPr="009F10D4" w:rsidRDefault="000E4938" w:rsidP="00EB7B9E">
                  <w:pPr>
                    <w:pStyle w:val="ChartGraphic"/>
                    <w:spacing w:before="30" w:after="30"/>
                    <w:rPr>
                      <w:sz w:val="19"/>
                      <w:szCs w:val="19"/>
                    </w:rPr>
                  </w:pPr>
                </w:p>
              </w:tc>
              <w:tc>
                <w:tcPr>
                  <w:tcW w:w="990" w:type="dxa"/>
                  <w:tcBorders>
                    <w:top w:val="single" w:sz="4" w:space="0" w:color="44546A" w:themeColor="text2"/>
                    <w:bottom w:val="single" w:sz="4" w:space="0" w:color="44546A" w:themeColor="text2"/>
                  </w:tcBorders>
                  <w:shd w:val="clear" w:color="auto" w:fill="F2F2F2" w:themeFill="background1" w:themeFillShade="F2"/>
                  <w:tcMar>
                    <w:left w:w="57" w:type="dxa"/>
                    <w:right w:w="57" w:type="dxa"/>
                  </w:tcMar>
                </w:tcPr>
                <w:p w14:paraId="04FA951D" w14:textId="77777777" w:rsidR="000E4938" w:rsidRPr="009F10D4" w:rsidRDefault="000E4938" w:rsidP="00EB7B9E">
                  <w:pPr>
                    <w:pStyle w:val="TableTextCentered"/>
                  </w:pPr>
                  <w:r w:rsidRPr="009F10D4">
                    <w:t>$(billion)</w:t>
                  </w:r>
                </w:p>
              </w:tc>
            </w:tr>
            <w:tr w:rsidR="000E4938" w:rsidRPr="00DC385A" w14:paraId="13DBB2FC" w14:textId="77777777" w:rsidTr="00EB7B9E">
              <w:tc>
                <w:tcPr>
                  <w:tcW w:w="2635" w:type="dxa"/>
                  <w:tcBorders>
                    <w:top w:val="single" w:sz="4" w:space="0" w:color="44546A" w:themeColor="text2"/>
                  </w:tcBorders>
                  <w:shd w:val="clear" w:color="auto" w:fill="auto"/>
                  <w:tcMar>
                    <w:left w:w="57" w:type="dxa"/>
                    <w:right w:w="57" w:type="dxa"/>
                  </w:tcMar>
                  <w:vAlign w:val="center"/>
                </w:tcPr>
                <w:p w14:paraId="09065D73" w14:textId="77777777" w:rsidR="000E4938" w:rsidRPr="009F10D4" w:rsidRDefault="000E4938" w:rsidP="000E4938">
                  <w:pPr>
                    <w:pStyle w:val="TableTextLeft"/>
                    <w:spacing w:before="38" w:after="38"/>
                  </w:pPr>
                  <w:r w:rsidRPr="009F10D4">
                    <w:t>Skilled — primary</w:t>
                  </w:r>
                </w:p>
              </w:tc>
              <w:tc>
                <w:tcPr>
                  <w:tcW w:w="990" w:type="dxa"/>
                  <w:tcBorders>
                    <w:top w:val="single" w:sz="4" w:space="0" w:color="44546A" w:themeColor="text2"/>
                  </w:tcBorders>
                  <w:shd w:val="clear" w:color="auto" w:fill="auto"/>
                  <w:tcMar>
                    <w:left w:w="57" w:type="dxa"/>
                    <w:right w:w="57" w:type="dxa"/>
                  </w:tcMar>
                  <w:vAlign w:val="center"/>
                </w:tcPr>
                <w:p w14:paraId="543BC404" w14:textId="77777777" w:rsidR="000E4938" w:rsidRPr="009F10D4" w:rsidRDefault="000E4938" w:rsidP="000E4938">
                  <w:pPr>
                    <w:pStyle w:val="TableTextCentered"/>
                    <w:spacing w:before="38" w:after="38"/>
                  </w:pPr>
                  <w:r w:rsidRPr="009F10D4">
                    <w:t>9.8</w:t>
                  </w:r>
                </w:p>
              </w:tc>
            </w:tr>
            <w:tr w:rsidR="000E4938" w:rsidRPr="00DC385A" w14:paraId="3D7BF7C6" w14:textId="77777777" w:rsidTr="00EB7B9E">
              <w:tc>
                <w:tcPr>
                  <w:tcW w:w="2635" w:type="dxa"/>
                  <w:shd w:val="clear" w:color="auto" w:fill="auto"/>
                  <w:tcMar>
                    <w:left w:w="57" w:type="dxa"/>
                    <w:right w:w="57" w:type="dxa"/>
                  </w:tcMar>
                  <w:vAlign w:val="center"/>
                </w:tcPr>
                <w:p w14:paraId="6E6E25BE" w14:textId="77777777" w:rsidR="000E4938" w:rsidRPr="009F10D4" w:rsidRDefault="000E4938" w:rsidP="000E4938">
                  <w:pPr>
                    <w:pStyle w:val="TableTextLeft"/>
                    <w:spacing w:before="38" w:after="38"/>
                  </w:pPr>
                  <w:r w:rsidRPr="009F10D4">
                    <w:t>Skilled — secondary</w:t>
                  </w:r>
                </w:p>
              </w:tc>
              <w:tc>
                <w:tcPr>
                  <w:tcW w:w="990" w:type="dxa"/>
                  <w:tcBorders>
                    <w:bottom w:val="double" w:sz="4" w:space="0" w:color="auto"/>
                  </w:tcBorders>
                  <w:shd w:val="clear" w:color="auto" w:fill="auto"/>
                  <w:tcMar>
                    <w:left w:w="57" w:type="dxa"/>
                    <w:right w:w="57" w:type="dxa"/>
                  </w:tcMar>
                  <w:vAlign w:val="center"/>
                </w:tcPr>
                <w:p w14:paraId="12AACCB5" w14:textId="77777777" w:rsidR="000E4938" w:rsidRPr="009F10D4" w:rsidRDefault="000E4938" w:rsidP="000E4938">
                  <w:pPr>
                    <w:pStyle w:val="TableTextCentered"/>
                    <w:spacing w:before="38" w:after="38"/>
                  </w:pPr>
                  <w:r w:rsidRPr="009F10D4">
                    <w:noBreakHyphen/>
                    <w:t>2.8</w:t>
                  </w:r>
                </w:p>
              </w:tc>
            </w:tr>
            <w:tr w:rsidR="000E4938" w:rsidRPr="00DC385A" w14:paraId="461BB6DE" w14:textId="77777777" w:rsidTr="00EB7B9E">
              <w:trPr>
                <w:trHeight w:val="225"/>
              </w:trPr>
              <w:tc>
                <w:tcPr>
                  <w:tcW w:w="2635" w:type="dxa"/>
                  <w:shd w:val="clear" w:color="auto" w:fill="F2F2F2" w:themeFill="background1" w:themeFillShade="F2"/>
                  <w:tcMar>
                    <w:left w:w="57" w:type="dxa"/>
                    <w:right w:w="57" w:type="dxa"/>
                  </w:tcMar>
                  <w:vAlign w:val="center"/>
                </w:tcPr>
                <w:p w14:paraId="57DD2D5C" w14:textId="77777777" w:rsidR="000E4938" w:rsidRPr="009F10D4" w:rsidRDefault="000E4938" w:rsidP="000E4938">
                  <w:pPr>
                    <w:pStyle w:val="TableTextLeft"/>
                    <w:spacing w:before="38" w:after="38"/>
                  </w:pPr>
                  <w:r w:rsidRPr="009F10D4">
                    <w:t>Skilled — total</w:t>
                  </w:r>
                </w:p>
              </w:tc>
              <w:tc>
                <w:tcPr>
                  <w:tcW w:w="990" w:type="dxa"/>
                  <w:tcBorders>
                    <w:top w:val="double" w:sz="4" w:space="0" w:color="auto"/>
                  </w:tcBorders>
                  <w:shd w:val="clear" w:color="auto" w:fill="F2F2F2" w:themeFill="background1" w:themeFillShade="F2"/>
                  <w:tcMar>
                    <w:left w:w="57" w:type="dxa"/>
                    <w:right w:w="57" w:type="dxa"/>
                  </w:tcMar>
                  <w:vAlign w:val="center"/>
                </w:tcPr>
                <w:p w14:paraId="5B2218BB" w14:textId="77777777" w:rsidR="000E4938" w:rsidRPr="009F10D4" w:rsidRDefault="000E4938" w:rsidP="000E4938">
                  <w:pPr>
                    <w:pStyle w:val="TableTextCentered"/>
                    <w:spacing w:before="38" w:after="38"/>
                  </w:pPr>
                  <w:r w:rsidRPr="009F10D4">
                    <w:t>6.9</w:t>
                  </w:r>
                </w:p>
              </w:tc>
            </w:tr>
            <w:tr w:rsidR="000E4938" w:rsidRPr="00BD12CB" w14:paraId="7C31E69D" w14:textId="77777777" w:rsidTr="00EB7B9E">
              <w:tc>
                <w:tcPr>
                  <w:tcW w:w="2635" w:type="dxa"/>
                  <w:shd w:val="clear" w:color="auto" w:fill="auto"/>
                  <w:tcMar>
                    <w:left w:w="57" w:type="dxa"/>
                    <w:right w:w="57" w:type="dxa"/>
                  </w:tcMar>
                </w:tcPr>
                <w:p w14:paraId="304342EF" w14:textId="77777777" w:rsidR="000E4938" w:rsidRPr="00BD12CB" w:rsidRDefault="000E4938" w:rsidP="00EB7B9E">
                  <w:pPr>
                    <w:pStyle w:val="TableTextZero"/>
                  </w:pPr>
                </w:p>
              </w:tc>
              <w:tc>
                <w:tcPr>
                  <w:tcW w:w="990" w:type="dxa"/>
                  <w:shd w:val="clear" w:color="auto" w:fill="auto"/>
                  <w:tcMar>
                    <w:left w:w="57" w:type="dxa"/>
                    <w:right w:w="57" w:type="dxa"/>
                  </w:tcMar>
                </w:tcPr>
                <w:p w14:paraId="1F6B8DF6" w14:textId="77777777" w:rsidR="000E4938" w:rsidRPr="00BD12CB" w:rsidRDefault="000E4938" w:rsidP="00EB7B9E">
                  <w:pPr>
                    <w:pStyle w:val="TableTextZero"/>
                  </w:pPr>
                </w:p>
              </w:tc>
            </w:tr>
            <w:tr w:rsidR="000E4938" w:rsidRPr="00DC385A" w14:paraId="18573AAF" w14:textId="77777777" w:rsidTr="00EB7B9E">
              <w:tc>
                <w:tcPr>
                  <w:tcW w:w="2635" w:type="dxa"/>
                  <w:shd w:val="clear" w:color="auto" w:fill="auto"/>
                  <w:tcMar>
                    <w:left w:w="57" w:type="dxa"/>
                    <w:right w:w="57" w:type="dxa"/>
                  </w:tcMar>
                  <w:vAlign w:val="center"/>
                </w:tcPr>
                <w:p w14:paraId="2169037B" w14:textId="77777777" w:rsidR="000E4938" w:rsidRPr="009F10D4" w:rsidRDefault="000E4938" w:rsidP="000E4938">
                  <w:pPr>
                    <w:pStyle w:val="TableTextLeft"/>
                    <w:spacing w:before="38" w:after="38"/>
                  </w:pPr>
                  <w:r w:rsidRPr="009F10D4">
                    <w:t>Family — partner</w:t>
                  </w:r>
                </w:p>
              </w:tc>
              <w:tc>
                <w:tcPr>
                  <w:tcW w:w="990" w:type="dxa"/>
                  <w:shd w:val="clear" w:color="auto" w:fill="auto"/>
                  <w:tcMar>
                    <w:left w:w="57" w:type="dxa"/>
                    <w:right w:w="57" w:type="dxa"/>
                  </w:tcMar>
                  <w:vAlign w:val="center"/>
                </w:tcPr>
                <w:p w14:paraId="54B7557B" w14:textId="77777777" w:rsidR="000E4938" w:rsidRPr="009F10D4" w:rsidRDefault="000E4938" w:rsidP="000E4938">
                  <w:pPr>
                    <w:pStyle w:val="TableTextCentered"/>
                    <w:spacing w:before="38" w:after="38"/>
                  </w:pPr>
                  <w:r w:rsidRPr="009F10D4">
                    <w:t>3.3</w:t>
                  </w:r>
                </w:p>
              </w:tc>
            </w:tr>
            <w:tr w:rsidR="000E4938" w:rsidRPr="00DC385A" w14:paraId="5D0779A6" w14:textId="77777777" w:rsidTr="00EB7B9E">
              <w:tc>
                <w:tcPr>
                  <w:tcW w:w="2635" w:type="dxa"/>
                  <w:shd w:val="clear" w:color="auto" w:fill="auto"/>
                  <w:tcMar>
                    <w:left w:w="57" w:type="dxa"/>
                    <w:right w:w="57" w:type="dxa"/>
                  </w:tcMar>
                  <w:vAlign w:val="center"/>
                </w:tcPr>
                <w:p w14:paraId="65730DBC" w14:textId="77777777" w:rsidR="000E4938" w:rsidRPr="009F10D4" w:rsidRDefault="000E4938" w:rsidP="000E4938">
                  <w:pPr>
                    <w:pStyle w:val="TableTextLeft"/>
                    <w:spacing w:before="38" w:after="38"/>
                  </w:pPr>
                  <w:r w:rsidRPr="009F10D4">
                    <w:t>Family — parents</w:t>
                  </w:r>
                </w:p>
              </w:tc>
              <w:tc>
                <w:tcPr>
                  <w:tcW w:w="990" w:type="dxa"/>
                  <w:shd w:val="clear" w:color="auto" w:fill="auto"/>
                  <w:tcMar>
                    <w:left w:w="57" w:type="dxa"/>
                    <w:right w:w="57" w:type="dxa"/>
                  </w:tcMar>
                  <w:vAlign w:val="center"/>
                </w:tcPr>
                <w:p w14:paraId="09E2CE0D" w14:textId="77777777" w:rsidR="000E4938" w:rsidRPr="009F10D4" w:rsidRDefault="000E4938" w:rsidP="000E4938">
                  <w:pPr>
                    <w:pStyle w:val="TableTextCentered"/>
                    <w:spacing w:before="38" w:after="38"/>
                  </w:pPr>
                  <w:r w:rsidRPr="009F10D4">
                    <w:noBreakHyphen/>
                    <w:t>1.2</w:t>
                  </w:r>
                </w:p>
              </w:tc>
            </w:tr>
            <w:tr w:rsidR="000E4938" w:rsidRPr="00DC385A" w14:paraId="5240D9B4" w14:textId="77777777" w:rsidTr="00EB7B9E">
              <w:tc>
                <w:tcPr>
                  <w:tcW w:w="2635" w:type="dxa"/>
                  <w:shd w:val="clear" w:color="auto" w:fill="auto"/>
                  <w:tcMar>
                    <w:left w:w="57" w:type="dxa"/>
                    <w:right w:w="57" w:type="dxa"/>
                  </w:tcMar>
                  <w:vAlign w:val="center"/>
                </w:tcPr>
                <w:p w14:paraId="02D2C69A" w14:textId="77777777" w:rsidR="000E4938" w:rsidRPr="009F10D4" w:rsidRDefault="000E4938" w:rsidP="000E4938">
                  <w:pPr>
                    <w:pStyle w:val="TableTextLeft"/>
                    <w:spacing w:before="38" w:after="38"/>
                  </w:pPr>
                  <w:r w:rsidRPr="009F10D4">
                    <w:t>Family — other</w:t>
                  </w:r>
                </w:p>
              </w:tc>
              <w:tc>
                <w:tcPr>
                  <w:tcW w:w="990" w:type="dxa"/>
                  <w:tcBorders>
                    <w:bottom w:val="double" w:sz="4" w:space="0" w:color="auto"/>
                  </w:tcBorders>
                  <w:shd w:val="clear" w:color="auto" w:fill="auto"/>
                  <w:tcMar>
                    <w:left w:w="57" w:type="dxa"/>
                    <w:right w:w="57" w:type="dxa"/>
                  </w:tcMar>
                  <w:vAlign w:val="center"/>
                </w:tcPr>
                <w:p w14:paraId="6B19A7A2" w14:textId="77777777" w:rsidR="000E4938" w:rsidRPr="009F10D4" w:rsidRDefault="000E4938" w:rsidP="000E4938">
                  <w:pPr>
                    <w:pStyle w:val="TableTextCentered"/>
                    <w:spacing w:before="38" w:after="38"/>
                  </w:pPr>
                  <w:r w:rsidRPr="009F10D4">
                    <w:noBreakHyphen/>
                    <w:t>0.6</w:t>
                  </w:r>
                </w:p>
              </w:tc>
            </w:tr>
            <w:tr w:rsidR="000E4938" w:rsidRPr="00DC385A" w14:paraId="785FA684" w14:textId="77777777" w:rsidTr="00EB7B9E">
              <w:tc>
                <w:tcPr>
                  <w:tcW w:w="2635" w:type="dxa"/>
                  <w:shd w:val="clear" w:color="auto" w:fill="F2F2F2" w:themeFill="background1" w:themeFillShade="F2"/>
                  <w:tcMar>
                    <w:left w:w="57" w:type="dxa"/>
                    <w:right w:w="57" w:type="dxa"/>
                  </w:tcMar>
                  <w:vAlign w:val="center"/>
                </w:tcPr>
                <w:p w14:paraId="1CECB5B8" w14:textId="77777777" w:rsidR="000E4938" w:rsidRPr="009F10D4" w:rsidRDefault="000E4938" w:rsidP="000E4938">
                  <w:pPr>
                    <w:pStyle w:val="TableTextLeft"/>
                    <w:spacing w:before="38" w:after="38"/>
                  </w:pPr>
                  <w:r w:rsidRPr="009F10D4">
                    <w:t>Family — total</w:t>
                  </w:r>
                </w:p>
              </w:tc>
              <w:tc>
                <w:tcPr>
                  <w:tcW w:w="990" w:type="dxa"/>
                  <w:tcBorders>
                    <w:top w:val="double" w:sz="4" w:space="0" w:color="auto"/>
                  </w:tcBorders>
                  <w:shd w:val="clear" w:color="auto" w:fill="F2F2F2" w:themeFill="background1" w:themeFillShade="F2"/>
                  <w:tcMar>
                    <w:left w:w="57" w:type="dxa"/>
                    <w:right w:w="57" w:type="dxa"/>
                  </w:tcMar>
                  <w:vAlign w:val="center"/>
                </w:tcPr>
                <w:p w14:paraId="400419D4" w14:textId="77777777" w:rsidR="000E4938" w:rsidRPr="009F10D4" w:rsidRDefault="000E4938" w:rsidP="000E4938">
                  <w:pPr>
                    <w:pStyle w:val="TableTextCentered"/>
                    <w:spacing w:before="38" w:after="38"/>
                  </w:pPr>
                  <w:r w:rsidRPr="009F10D4">
                    <w:t>1.6</w:t>
                  </w:r>
                </w:p>
              </w:tc>
            </w:tr>
            <w:tr w:rsidR="000E4938" w:rsidRPr="00BD12CB" w14:paraId="2B0012C9" w14:textId="77777777" w:rsidTr="00EB7B9E">
              <w:tc>
                <w:tcPr>
                  <w:tcW w:w="2635" w:type="dxa"/>
                  <w:shd w:val="clear" w:color="auto" w:fill="auto"/>
                  <w:tcMar>
                    <w:left w:w="57" w:type="dxa"/>
                    <w:right w:w="57" w:type="dxa"/>
                  </w:tcMar>
                </w:tcPr>
                <w:p w14:paraId="08840141" w14:textId="77777777" w:rsidR="000E4938" w:rsidRPr="00BD12CB" w:rsidRDefault="000E4938" w:rsidP="00EB7B9E">
                  <w:pPr>
                    <w:pStyle w:val="TableTextZero"/>
                  </w:pPr>
                </w:p>
              </w:tc>
              <w:tc>
                <w:tcPr>
                  <w:tcW w:w="990" w:type="dxa"/>
                  <w:shd w:val="clear" w:color="auto" w:fill="auto"/>
                  <w:tcMar>
                    <w:left w:w="57" w:type="dxa"/>
                    <w:right w:w="57" w:type="dxa"/>
                  </w:tcMar>
                </w:tcPr>
                <w:p w14:paraId="4B30D249" w14:textId="77777777" w:rsidR="000E4938" w:rsidRPr="00BD12CB" w:rsidRDefault="000E4938" w:rsidP="00EB7B9E">
                  <w:pPr>
                    <w:pStyle w:val="TableTextZero"/>
                  </w:pPr>
                </w:p>
              </w:tc>
            </w:tr>
            <w:tr w:rsidR="000E4938" w:rsidRPr="00DC385A" w14:paraId="0FA6ED24" w14:textId="77777777" w:rsidTr="00EB7B9E">
              <w:tc>
                <w:tcPr>
                  <w:tcW w:w="2635" w:type="dxa"/>
                  <w:shd w:val="clear" w:color="auto" w:fill="F2F2F2" w:themeFill="background1" w:themeFillShade="F2"/>
                  <w:tcMar>
                    <w:left w:w="57" w:type="dxa"/>
                    <w:right w:w="57" w:type="dxa"/>
                  </w:tcMar>
                  <w:vAlign w:val="center"/>
                </w:tcPr>
                <w:p w14:paraId="3CDD81CF" w14:textId="77777777" w:rsidR="000E4938" w:rsidRPr="009F10D4" w:rsidRDefault="000E4938" w:rsidP="000E4938">
                  <w:pPr>
                    <w:pStyle w:val="TableTextLeft"/>
                    <w:spacing w:before="38" w:after="38"/>
                  </w:pPr>
                  <w:r w:rsidRPr="009F10D4">
                    <w:t>Humanitarian — total</w:t>
                  </w:r>
                </w:p>
              </w:tc>
              <w:tc>
                <w:tcPr>
                  <w:tcW w:w="990" w:type="dxa"/>
                  <w:shd w:val="clear" w:color="auto" w:fill="F2F2F2" w:themeFill="background1" w:themeFillShade="F2"/>
                  <w:tcMar>
                    <w:left w:w="57" w:type="dxa"/>
                    <w:right w:w="57" w:type="dxa"/>
                  </w:tcMar>
                  <w:vAlign w:val="center"/>
                </w:tcPr>
                <w:p w14:paraId="18C9C568" w14:textId="77777777" w:rsidR="000E4938" w:rsidRPr="009F10D4" w:rsidRDefault="000E4938" w:rsidP="000E4938">
                  <w:pPr>
                    <w:pStyle w:val="TableTextCentered"/>
                    <w:spacing w:before="38" w:after="38"/>
                  </w:pPr>
                  <w:r w:rsidRPr="009F10D4">
                    <w:noBreakHyphen/>
                    <w:t>2.7</w:t>
                  </w:r>
                </w:p>
              </w:tc>
            </w:tr>
            <w:tr w:rsidR="000E4938" w:rsidRPr="00BD12CB" w14:paraId="3A7801FD" w14:textId="77777777" w:rsidTr="00EB7B9E">
              <w:tc>
                <w:tcPr>
                  <w:tcW w:w="2635" w:type="dxa"/>
                  <w:shd w:val="clear" w:color="auto" w:fill="auto"/>
                  <w:tcMar>
                    <w:left w:w="57" w:type="dxa"/>
                    <w:right w:w="57" w:type="dxa"/>
                  </w:tcMar>
                </w:tcPr>
                <w:p w14:paraId="11E44710" w14:textId="77777777" w:rsidR="000E4938" w:rsidRPr="00BD12CB" w:rsidRDefault="000E4938" w:rsidP="00EB7B9E">
                  <w:pPr>
                    <w:pStyle w:val="TableTextZero"/>
                  </w:pPr>
                </w:p>
              </w:tc>
              <w:tc>
                <w:tcPr>
                  <w:tcW w:w="990" w:type="dxa"/>
                  <w:shd w:val="clear" w:color="auto" w:fill="auto"/>
                  <w:tcMar>
                    <w:left w:w="57" w:type="dxa"/>
                    <w:right w:w="57" w:type="dxa"/>
                  </w:tcMar>
                </w:tcPr>
                <w:p w14:paraId="7D86E123" w14:textId="77777777" w:rsidR="000E4938" w:rsidRPr="00BD12CB" w:rsidRDefault="000E4938" w:rsidP="00EB7B9E">
                  <w:pPr>
                    <w:pStyle w:val="TableTextZero"/>
                  </w:pPr>
                </w:p>
              </w:tc>
            </w:tr>
            <w:tr w:rsidR="000E4938" w:rsidRPr="00DC385A" w14:paraId="692B1F9D" w14:textId="77777777" w:rsidTr="00EB7B9E">
              <w:tc>
                <w:tcPr>
                  <w:tcW w:w="2635" w:type="dxa"/>
                  <w:shd w:val="clear" w:color="auto" w:fill="F2F2F2" w:themeFill="background1" w:themeFillShade="F2"/>
                  <w:tcMar>
                    <w:left w:w="57" w:type="dxa"/>
                    <w:right w:w="57" w:type="dxa"/>
                  </w:tcMar>
                  <w:vAlign w:val="center"/>
                </w:tcPr>
                <w:p w14:paraId="28F10D92" w14:textId="77777777" w:rsidR="000E4938" w:rsidRPr="009F10D4" w:rsidRDefault="000E4938" w:rsidP="000E4938">
                  <w:pPr>
                    <w:pStyle w:val="TableTextLeft"/>
                    <w:spacing w:before="38" w:after="38"/>
                  </w:pPr>
                  <w:r w:rsidRPr="009F10D4">
                    <w:t>457 skilled temporary — total</w:t>
                  </w:r>
                </w:p>
              </w:tc>
              <w:tc>
                <w:tcPr>
                  <w:tcW w:w="990" w:type="dxa"/>
                  <w:shd w:val="clear" w:color="auto" w:fill="F2F2F2" w:themeFill="background1" w:themeFillShade="F2"/>
                  <w:tcMar>
                    <w:left w:w="57" w:type="dxa"/>
                    <w:right w:w="57" w:type="dxa"/>
                  </w:tcMar>
                  <w:vAlign w:val="center"/>
                </w:tcPr>
                <w:p w14:paraId="42A25888" w14:textId="77777777" w:rsidR="000E4938" w:rsidRPr="009F10D4" w:rsidRDefault="000E4938" w:rsidP="000E4938">
                  <w:pPr>
                    <w:pStyle w:val="TableTextCentered"/>
                    <w:spacing w:before="38" w:after="38"/>
                  </w:pPr>
                  <w:r w:rsidRPr="009F10D4">
                    <w:t>3.9</w:t>
                  </w:r>
                </w:p>
              </w:tc>
            </w:tr>
            <w:tr w:rsidR="000E4938" w:rsidRPr="00BD12CB" w14:paraId="74E15EB4" w14:textId="77777777" w:rsidTr="00EB7B9E">
              <w:trPr>
                <w:trHeight w:val="74"/>
              </w:trPr>
              <w:tc>
                <w:tcPr>
                  <w:tcW w:w="2635" w:type="dxa"/>
                  <w:shd w:val="clear" w:color="auto" w:fill="auto"/>
                  <w:tcMar>
                    <w:left w:w="57" w:type="dxa"/>
                    <w:right w:w="57" w:type="dxa"/>
                  </w:tcMar>
                </w:tcPr>
                <w:p w14:paraId="3668AB71" w14:textId="77777777" w:rsidR="000E4938" w:rsidRPr="00BD12CB" w:rsidRDefault="000E4938" w:rsidP="00EB7B9E">
                  <w:pPr>
                    <w:pStyle w:val="TableTextZero"/>
                  </w:pPr>
                </w:p>
              </w:tc>
              <w:tc>
                <w:tcPr>
                  <w:tcW w:w="990" w:type="dxa"/>
                  <w:tcBorders>
                    <w:bottom w:val="double" w:sz="4" w:space="0" w:color="auto"/>
                  </w:tcBorders>
                  <w:shd w:val="clear" w:color="auto" w:fill="auto"/>
                  <w:tcMar>
                    <w:left w:w="57" w:type="dxa"/>
                    <w:right w:w="57" w:type="dxa"/>
                  </w:tcMar>
                </w:tcPr>
                <w:p w14:paraId="6885ECFC" w14:textId="77777777" w:rsidR="000E4938" w:rsidRPr="00BD12CB" w:rsidRDefault="000E4938" w:rsidP="00EB7B9E">
                  <w:pPr>
                    <w:pStyle w:val="TableTextZero"/>
                  </w:pPr>
                </w:p>
              </w:tc>
            </w:tr>
            <w:tr w:rsidR="000E4938" w:rsidRPr="00DC385A" w14:paraId="672F70CC" w14:textId="77777777" w:rsidTr="00EB7B9E">
              <w:tc>
                <w:tcPr>
                  <w:tcW w:w="2635" w:type="dxa"/>
                  <w:tcBorders>
                    <w:bottom w:val="single" w:sz="4" w:space="0" w:color="44546A" w:themeColor="text2"/>
                  </w:tcBorders>
                  <w:shd w:val="clear" w:color="auto" w:fill="D9D9D9" w:themeFill="background1" w:themeFillShade="D9"/>
                  <w:tcMar>
                    <w:left w:w="57" w:type="dxa"/>
                    <w:right w:w="57" w:type="dxa"/>
                  </w:tcMar>
                  <w:vAlign w:val="center"/>
                </w:tcPr>
                <w:p w14:paraId="04FB1375" w14:textId="77777777" w:rsidR="000E4938" w:rsidRPr="0044425A" w:rsidRDefault="000E4938" w:rsidP="000E4938">
                  <w:pPr>
                    <w:pStyle w:val="TableTextLeft"/>
                    <w:spacing w:before="38" w:after="38"/>
                  </w:pPr>
                  <w:r w:rsidRPr="0044425A">
                    <w:t>Permanent programme + 457</w:t>
                  </w:r>
                </w:p>
              </w:tc>
              <w:tc>
                <w:tcPr>
                  <w:tcW w:w="990" w:type="dxa"/>
                  <w:tcBorders>
                    <w:top w:val="double" w:sz="4" w:space="0" w:color="auto"/>
                    <w:bottom w:val="single" w:sz="4" w:space="0" w:color="44546A" w:themeColor="text2"/>
                  </w:tcBorders>
                  <w:shd w:val="clear" w:color="auto" w:fill="D9D9D9" w:themeFill="background1" w:themeFillShade="D9"/>
                  <w:tcMar>
                    <w:left w:w="57" w:type="dxa"/>
                    <w:right w:w="57" w:type="dxa"/>
                  </w:tcMar>
                  <w:vAlign w:val="center"/>
                </w:tcPr>
                <w:p w14:paraId="2F2630EB" w14:textId="77777777" w:rsidR="000E4938" w:rsidRPr="0044425A" w:rsidRDefault="000E4938" w:rsidP="000E4938">
                  <w:pPr>
                    <w:pStyle w:val="TableTextCentered"/>
                    <w:spacing w:before="38" w:after="38"/>
                  </w:pPr>
                  <w:r w:rsidRPr="0044425A">
                    <w:t>9.7</w:t>
                  </w:r>
                </w:p>
              </w:tc>
            </w:tr>
          </w:tbl>
          <w:p w14:paraId="2207429D" w14:textId="77777777" w:rsidR="000E4938" w:rsidRPr="00DC385A" w:rsidRDefault="000E4938" w:rsidP="00EB7B9E">
            <w:pPr>
              <w:pStyle w:val="ChartGraphic"/>
              <w:rPr>
                <w:sz w:val="18"/>
              </w:rPr>
            </w:pPr>
          </w:p>
        </w:tc>
      </w:tr>
    </w:tbl>
    <w:p w14:paraId="2C465540" w14:textId="77777777" w:rsidR="00FA5158" w:rsidRPr="00F17B86" w:rsidRDefault="00FA5158" w:rsidP="00F17B86">
      <w:pPr>
        <w:pStyle w:val="ChartorTableNote"/>
      </w:pPr>
      <w:r w:rsidRPr="00F17B86">
        <w:t>Note: Up to 2064</w:t>
      </w:r>
      <w:r w:rsidRPr="00F17B86">
        <w:noBreakHyphen/>
        <w:t>65, end of life costs are included for some, but not all of the 2014</w:t>
      </w:r>
      <w:r w:rsidRPr="00F17B86">
        <w:noBreakHyphen/>
        <w:t>15 cohort.</w:t>
      </w:r>
    </w:p>
    <w:p w14:paraId="214147FA" w14:textId="77777777" w:rsidR="00B20EA1" w:rsidRDefault="0052522A" w:rsidP="00A36CBF">
      <w:pPr>
        <w:pStyle w:val="ChartorTableNote"/>
      </w:pPr>
      <w:r w:rsidRPr="00F17B86">
        <w:t xml:space="preserve">Source: </w:t>
      </w:r>
      <w:r w:rsidR="000502F3">
        <w:t xml:space="preserve">Unpublished </w:t>
      </w:r>
      <w:r w:rsidRPr="00F17B86">
        <w:t>Deloitte Access Economics 2016</w:t>
      </w:r>
      <w:r w:rsidR="0026283D" w:rsidRPr="00F17B86">
        <w:t xml:space="preserve"> data</w:t>
      </w:r>
      <w:r w:rsidR="000A07A2" w:rsidRPr="00F17B86">
        <w:t>.</w:t>
      </w:r>
    </w:p>
    <w:p w14:paraId="6072FF7C" w14:textId="77777777" w:rsidR="00553871" w:rsidRDefault="00B96858" w:rsidP="00F17B86">
      <w:r w:rsidRPr="00DC385A">
        <w:t>Together, the 2014</w:t>
      </w:r>
      <w:r>
        <w:noBreakHyphen/>
      </w:r>
      <w:r w:rsidRPr="00DC385A">
        <w:t>15 cohort</w:t>
      </w:r>
      <w:r w:rsidR="00FA5158">
        <w:t>s</w:t>
      </w:r>
      <w:r w:rsidRPr="00DC385A">
        <w:t xml:space="preserve"> of the </w:t>
      </w:r>
      <w:r w:rsidR="001B7E15">
        <w:t>P</w:t>
      </w:r>
      <w:r w:rsidRPr="00DC385A">
        <w:t xml:space="preserve">ermanent Migration </w:t>
      </w:r>
      <w:r w:rsidR="00FA5158">
        <w:t>P</w:t>
      </w:r>
      <w:r w:rsidRPr="00DC385A">
        <w:t xml:space="preserve">rogram, the Humanitarian </w:t>
      </w:r>
      <w:r w:rsidR="00FA5158">
        <w:t>P</w:t>
      </w:r>
      <w:r w:rsidRPr="00DC385A">
        <w:t>rogram and the 457 temporary skilled visa program are projected to contribute a net fiscal benefit of $9.7 billion over 50 years.</w:t>
      </w:r>
    </w:p>
    <w:p w14:paraId="36C024B2" w14:textId="77777777" w:rsidR="004D189B" w:rsidRPr="00F17B86" w:rsidRDefault="004D189B" w:rsidP="00F17B86">
      <w:pPr>
        <w:pStyle w:val="Heading2Numbered"/>
      </w:pPr>
      <w:bookmarkStart w:id="98" w:name="_Toc495402485"/>
      <w:r w:rsidRPr="00F17B86">
        <w:t>Population growth and associated pressures</w:t>
      </w:r>
      <w:bookmarkEnd w:id="97"/>
      <w:bookmarkEnd w:id="98"/>
    </w:p>
    <w:p w14:paraId="044C82AE" w14:textId="77777777" w:rsidR="004D189B" w:rsidRPr="00F17B86" w:rsidRDefault="004D189B" w:rsidP="00F17B86">
      <w:pPr>
        <w:pStyle w:val="Heading3Numbered"/>
      </w:pPr>
      <w:bookmarkStart w:id="99" w:name="_Toc491694315"/>
      <w:bookmarkStart w:id="100" w:name="_Toc491694358"/>
      <w:bookmarkStart w:id="101" w:name="_Toc491694384"/>
      <w:bookmarkStart w:id="102" w:name="_Toc493227988"/>
      <w:bookmarkStart w:id="103" w:name="_Toc493250574"/>
      <w:bookmarkStart w:id="104" w:name="_Toc493510256"/>
      <w:bookmarkStart w:id="105" w:name="_Toc493511048"/>
      <w:bookmarkStart w:id="106" w:name="_Toc493511999"/>
      <w:bookmarkStart w:id="107" w:name="_Toc493543068"/>
      <w:bookmarkStart w:id="108" w:name="_Toc493543109"/>
      <w:bookmarkStart w:id="109" w:name="_Toc493250575"/>
      <w:bookmarkStart w:id="110" w:name="_Toc493510257"/>
      <w:bookmarkStart w:id="111" w:name="_Toc493511049"/>
      <w:bookmarkStart w:id="112" w:name="_Toc493512000"/>
      <w:bookmarkStart w:id="113" w:name="_Toc493543069"/>
      <w:bookmarkStart w:id="114" w:name="_Toc49354311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F17B86">
        <w:t>Population growth heightens the need to address existing challenges</w:t>
      </w:r>
    </w:p>
    <w:p w14:paraId="063E01AA" w14:textId="77777777" w:rsidR="004D189B" w:rsidRDefault="004D189B" w:rsidP="00F17B86">
      <w:r w:rsidRPr="00DC385A">
        <w:t>Population growth</w:t>
      </w:r>
      <w:r w:rsidR="00021968">
        <w:t xml:space="preserve"> — </w:t>
      </w:r>
      <w:r w:rsidRPr="00DC385A">
        <w:t>and the distribution and composition of the population</w:t>
      </w:r>
      <w:r w:rsidR="00021968">
        <w:t xml:space="preserve"> — </w:t>
      </w:r>
      <w:proofErr w:type="gramStart"/>
      <w:r w:rsidRPr="00DC385A">
        <w:t>has</w:t>
      </w:r>
      <w:proofErr w:type="gramEnd"/>
      <w:r w:rsidRPr="00DC385A">
        <w:t xml:space="preserve"> a range of economic, environmental, infrastructure and social consequences. This is especially true for Australia</w:t>
      </w:r>
      <w:r w:rsidR="00021968">
        <w:t>’</w:t>
      </w:r>
      <w:r w:rsidRPr="00DC385A">
        <w:t>s major cities where growth has been</w:t>
      </w:r>
      <w:r w:rsidR="000A07A2">
        <w:t xml:space="preserve"> concentrated.</w:t>
      </w:r>
    </w:p>
    <w:p w14:paraId="13D28FEE" w14:textId="77777777" w:rsidR="004D189B" w:rsidRPr="00DC385A" w:rsidRDefault="004D189B" w:rsidP="00F17B86">
      <w:r w:rsidRPr="00DC385A">
        <w:t>Issues such as congestion</w:t>
      </w:r>
      <w:r w:rsidR="00A91F5A">
        <w:t xml:space="preserve"> and</w:t>
      </w:r>
      <w:r w:rsidRPr="00DC385A">
        <w:t xml:space="preserve"> pollution are not new. These issues have concerned policy makers for decades and </w:t>
      </w:r>
      <w:r w:rsidR="00E42462">
        <w:t xml:space="preserve">are the </w:t>
      </w:r>
      <w:r w:rsidRPr="00DC385A">
        <w:t xml:space="preserve">result </w:t>
      </w:r>
      <w:r w:rsidR="00E42462">
        <w:t>of</w:t>
      </w:r>
      <w:r w:rsidR="00E42462" w:rsidRPr="00DC385A">
        <w:t xml:space="preserve"> </w:t>
      </w:r>
      <w:r w:rsidRPr="00DC385A">
        <w:t xml:space="preserve">a range of legacy issues (such as environmental practices or town planning decisions) </w:t>
      </w:r>
      <w:r>
        <w:t>in addition to population</w:t>
      </w:r>
      <w:r w:rsidRPr="00DC385A">
        <w:t xml:space="preserve"> growth. These issues would continue to be relevant for Australia even in the face of zero population growth. However, population growth tends t</w:t>
      </w:r>
      <w:r w:rsidR="000A07A2">
        <w:t>o heighten existing challenges.</w:t>
      </w:r>
    </w:p>
    <w:p w14:paraId="0FE867A5" w14:textId="77777777" w:rsidR="004D189B" w:rsidRPr="00DC385A" w:rsidRDefault="004D189B" w:rsidP="00F17B86">
      <w:r w:rsidRPr="00DC385A">
        <w:t>It is worth noting that the effects of population growth are not one</w:t>
      </w:r>
      <w:r w:rsidR="00021968">
        <w:noBreakHyphen/>
      </w:r>
      <w:r w:rsidRPr="00DC385A">
        <w:t xml:space="preserve">sided: although more people can create more problems, more people are also available to help solve </w:t>
      </w:r>
      <w:r w:rsidR="00B422F8">
        <w:t>them</w:t>
      </w:r>
      <w:r w:rsidRPr="00DC385A">
        <w:t>. This is because population growth results in more consumers, workers and employers. However, the costs and the benefits of population growth and immigration may not always align, which may result in distributional or compositional effects. To continue to reap the benefits of immigration and population growth, it is important to address the costs through a continued focus on existing challenges.</w:t>
      </w:r>
    </w:p>
    <w:p w14:paraId="61DCD1AC" w14:textId="77777777" w:rsidR="008E33F9" w:rsidRDefault="004D189B" w:rsidP="00F17B86">
      <w:r w:rsidRPr="00DC385A">
        <w:lastRenderedPageBreak/>
        <w:t xml:space="preserve">Below is </w:t>
      </w:r>
      <w:r w:rsidR="008E33F9">
        <w:t xml:space="preserve">an account of Treasury’s Melbourne Office’s consultations on population, followed by </w:t>
      </w:r>
      <w:r w:rsidRPr="00DC385A">
        <w:t xml:space="preserve">a brief discussion of some of the key challenges </w:t>
      </w:r>
      <w:r>
        <w:t xml:space="preserve">that </w:t>
      </w:r>
      <w:r w:rsidR="00A91F5A">
        <w:t>are</w:t>
      </w:r>
      <w:r>
        <w:t xml:space="preserve"> impact</w:t>
      </w:r>
      <w:r w:rsidR="00A91F5A">
        <w:t>ing</w:t>
      </w:r>
      <w:r w:rsidRPr="00DC385A">
        <w:t xml:space="preserve"> Australia and the interaction of population growth and immigration with these issues.</w:t>
      </w:r>
    </w:p>
    <w:tbl>
      <w:tblPr>
        <w:tblStyle w:val="TableGrid"/>
        <w:tblW w:w="5051" w:type="pct"/>
        <w:tblInd w:w="-34" w:type="dxa"/>
        <w:tblBorders>
          <w:bottom w:val="single" w:sz="12" w:space="0" w:color="336E98"/>
        </w:tblBorders>
        <w:shd w:val="clear" w:color="auto" w:fill="EBEBEB"/>
        <w:tblLook w:val="04A0" w:firstRow="1" w:lastRow="0" w:firstColumn="1" w:lastColumn="0" w:noHBand="0" w:noVBand="1"/>
      </w:tblPr>
      <w:tblGrid>
        <w:gridCol w:w="9381"/>
      </w:tblGrid>
      <w:tr w:rsidR="008E33F9" w14:paraId="0E0DB1D0" w14:textId="77777777" w:rsidTr="007B5E24">
        <w:tc>
          <w:tcPr>
            <w:tcW w:w="5000" w:type="pct"/>
            <w:shd w:val="clear" w:color="auto" w:fill="EBEBEB"/>
          </w:tcPr>
          <w:p w14:paraId="6F649E2E" w14:textId="77777777" w:rsidR="008E33F9" w:rsidRPr="000E4938" w:rsidRDefault="008E33F9" w:rsidP="000E4938">
            <w:pPr>
              <w:pStyle w:val="BoxHeading"/>
            </w:pPr>
            <w:r w:rsidRPr="000E4938">
              <w:t>Melbourne office consultations on population</w:t>
            </w:r>
          </w:p>
          <w:p w14:paraId="02153DBB" w14:textId="77777777" w:rsidR="008E33F9" w:rsidRPr="00F17B86" w:rsidRDefault="008E33F9" w:rsidP="00EB7B9E">
            <w:pPr>
              <w:pStyle w:val="BoxText"/>
              <w:rPr>
                <w:sz w:val="19"/>
                <w:szCs w:val="19"/>
              </w:rPr>
            </w:pPr>
            <w:r w:rsidRPr="00F17B86">
              <w:rPr>
                <w:sz w:val="19"/>
                <w:szCs w:val="19"/>
              </w:rPr>
              <w:t>Treasury’s Melbourne Office has been investigating population growth in Victoria. Victoria’s economy is currently benefitting from strong population growth in that State, but growth presents ongoing challenges for urban planning, transport and infrastructure.</w:t>
            </w:r>
          </w:p>
          <w:p w14:paraId="03EDDB85" w14:textId="77777777" w:rsidR="008E33F9" w:rsidRPr="00F17B86" w:rsidRDefault="008E33F9" w:rsidP="00EB7B9E">
            <w:pPr>
              <w:pStyle w:val="BoxText"/>
              <w:rPr>
                <w:sz w:val="19"/>
                <w:szCs w:val="19"/>
              </w:rPr>
            </w:pPr>
            <w:r w:rsidRPr="00F17B86">
              <w:rPr>
                <w:sz w:val="19"/>
                <w:szCs w:val="19"/>
              </w:rPr>
              <w:t xml:space="preserve">Treasury has consulted with construction and urban infrastructure companies, academics, demographers, think tanks and State and </w:t>
            </w:r>
            <w:r w:rsidR="00A36A2C" w:rsidRPr="00F17B86">
              <w:rPr>
                <w:sz w:val="19"/>
                <w:szCs w:val="19"/>
              </w:rPr>
              <w:t>L</w:t>
            </w:r>
            <w:r w:rsidRPr="00F17B86">
              <w:rPr>
                <w:sz w:val="19"/>
                <w:szCs w:val="19"/>
              </w:rPr>
              <w:t>ocal governments. Treasury also undertook suburban and regional consultations in Casey, Ballarat, Bendigo</w:t>
            </w:r>
            <w:r w:rsidR="000A07A2" w:rsidRPr="00F17B86">
              <w:rPr>
                <w:sz w:val="19"/>
                <w:szCs w:val="19"/>
              </w:rPr>
              <w:t xml:space="preserve"> and Geelong.</w:t>
            </w:r>
          </w:p>
          <w:p w14:paraId="570B33B7" w14:textId="77777777" w:rsidR="008E33F9" w:rsidRPr="00F17B86" w:rsidRDefault="008E33F9" w:rsidP="00EB7B9E">
            <w:pPr>
              <w:pStyle w:val="BoxText"/>
              <w:rPr>
                <w:sz w:val="19"/>
                <w:szCs w:val="19"/>
              </w:rPr>
            </w:pPr>
            <w:r w:rsidRPr="00F17B86">
              <w:rPr>
                <w:sz w:val="19"/>
                <w:szCs w:val="19"/>
              </w:rPr>
              <w:t>One of the themes that has emerged from the consultations is that population growth is supporting economic activity in Victoria. High population growth, including through migration, has boosted real gross State product, which grew by 3.3 per cent over 2015</w:t>
            </w:r>
            <w:r w:rsidRPr="00F17B86">
              <w:rPr>
                <w:sz w:val="19"/>
                <w:szCs w:val="19"/>
              </w:rPr>
              <w:noBreakHyphen/>
              <w:t>16. The government sector in Victoria has benefitted from the revenues generated by a strong housing sector, payroll tax and GST. Last financial year, the Victorian Government revised revenue projections up by 8.1 per cent</w:t>
            </w:r>
            <w:r w:rsidR="001E2ADF" w:rsidRPr="00F17B86">
              <w:rPr>
                <w:sz w:val="19"/>
                <w:szCs w:val="19"/>
              </w:rPr>
              <w:t xml:space="preserve"> (Victorian Government 2017)</w:t>
            </w:r>
            <w:r w:rsidRPr="00F17B86">
              <w:rPr>
                <w:sz w:val="19"/>
                <w:szCs w:val="19"/>
              </w:rPr>
              <w:t>.</w:t>
            </w:r>
          </w:p>
          <w:p w14:paraId="63CBDF5F" w14:textId="77777777" w:rsidR="008E33F9" w:rsidRPr="00F17B86" w:rsidRDefault="008E33F9" w:rsidP="00EB7B9E">
            <w:pPr>
              <w:pStyle w:val="BoxText"/>
              <w:rPr>
                <w:sz w:val="19"/>
                <w:szCs w:val="19"/>
              </w:rPr>
            </w:pPr>
            <w:r w:rsidRPr="00F17B86">
              <w:rPr>
                <w:sz w:val="19"/>
                <w:szCs w:val="19"/>
              </w:rPr>
              <w:t>In the last five years, health, education and professional services were the sectors that added the most jobs</w:t>
            </w:r>
            <w:r w:rsidR="001E2ADF" w:rsidRPr="00F17B86">
              <w:rPr>
                <w:sz w:val="19"/>
                <w:szCs w:val="19"/>
              </w:rPr>
              <w:t xml:space="preserve"> (ABS</w:t>
            </w:r>
            <w:r w:rsidR="007B5E24" w:rsidRPr="00F17B86">
              <w:rPr>
                <w:sz w:val="19"/>
                <w:szCs w:val="19"/>
              </w:rPr>
              <w:t> </w:t>
            </w:r>
            <w:r w:rsidR="001E2ADF" w:rsidRPr="00F17B86">
              <w:rPr>
                <w:sz w:val="19"/>
                <w:szCs w:val="19"/>
              </w:rPr>
              <w:t>2017</w:t>
            </w:r>
            <w:r w:rsidR="00A27F64" w:rsidRPr="00F17B86">
              <w:rPr>
                <w:sz w:val="19"/>
                <w:szCs w:val="19"/>
              </w:rPr>
              <w:t>k</w:t>
            </w:r>
            <w:r w:rsidR="001E2ADF" w:rsidRPr="00F17B86">
              <w:rPr>
                <w:sz w:val="19"/>
                <w:szCs w:val="19"/>
              </w:rPr>
              <w:t>). However,</w:t>
            </w:r>
            <w:r w:rsidRPr="00F17B86">
              <w:rPr>
                <w:sz w:val="19"/>
                <w:szCs w:val="19"/>
              </w:rPr>
              <w:t xml:space="preserve"> employment growth is broad</w:t>
            </w:r>
            <w:r w:rsidRPr="00F17B86">
              <w:rPr>
                <w:sz w:val="19"/>
                <w:szCs w:val="19"/>
              </w:rPr>
              <w:noBreakHyphen/>
              <w:t>based and keeping pace with additional workers from overseas and interstate. Migration has played a key role in supporting economic activity, particularly in the services and construction sectors, as Australia’s economy has transitioned from the mining boom.</w:t>
            </w:r>
          </w:p>
          <w:p w14:paraId="1F45274A" w14:textId="77777777" w:rsidR="008E33F9" w:rsidRPr="00F17B86" w:rsidRDefault="008E33F9" w:rsidP="00EB7B9E">
            <w:pPr>
              <w:pStyle w:val="BoxText"/>
              <w:rPr>
                <w:sz w:val="19"/>
                <w:szCs w:val="19"/>
              </w:rPr>
            </w:pPr>
            <w:r w:rsidRPr="00F17B86">
              <w:rPr>
                <w:sz w:val="19"/>
                <w:szCs w:val="19"/>
              </w:rPr>
              <w:t>Economic activity is concentrated in inner Melbourne, but the suburbs and the regions have a role to play. While most of Victoria’s economic output is concentrated in inner Melbourne, the CBD has also been a key beneficiary of urban infrastructure investment. More than 80 per cent of jobs are located outside inner Melbourne</w:t>
            </w:r>
            <w:r w:rsidR="001E2ADF" w:rsidRPr="00F17B86">
              <w:rPr>
                <w:sz w:val="19"/>
                <w:szCs w:val="19"/>
              </w:rPr>
              <w:t xml:space="preserve"> (ABS</w:t>
            </w:r>
            <w:r w:rsidR="007B5E24" w:rsidRPr="00F17B86">
              <w:rPr>
                <w:sz w:val="19"/>
                <w:szCs w:val="19"/>
              </w:rPr>
              <w:t> </w:t>
            </w:r>
            <w:r w:rsidR="001E2ADF" w:rsidRPr="00F17B86">
              <w:rPr>
                <w:sz w:val="19"/>
                <w:szCs w:val="19"/>
              </w:rPr>
              <w:t>2017</w:t>
            </w:r>
            <w:r w:rsidR="00A27F64" w:rsidRPr="00F17B86">
              <w:rPr>
                <w:sz w:val="19"/>
                <w:szCs w:val="19"/>
              </w:rPr>
              <w:t>j</w:t>
            </w:r>
            <w:r w:rsidR="001E2ADF" w:rsidRPr="00F17B86">
              <w:rPr>
                <w:sz w:val="19"/>
                <w:szCs w:val="19"/>
              </w:rPr>
              <w:t>)</w:t>
            </w:r>
            <w:r w:rsidRPr="00F17B86">
              <w:rPr>
                <w:sz w:val="19"/>
                <w:szCs w:val="19"/>
              </w:rPr>
              <w:t xml:space="preserve">. Some </w:t>
            </w:r>
            <w:r w:rsidR="00114AA2" w:rsidRPr="00F17B86">
              <w:rPr>
                <w:sz w:val="19"/>
                <w:szCs w:val="19"/>
              </w:rPr>
              <w:t>stakeholders</w:t>
            </w:r>
            <w:r w:rsidRPr="00F17B86">
              <w:rPr>
                <w:sz w:val="19"/>
                <w:szCs w:val="19"/>
              </w:rPr>
              <w:t xml:space="preserve"> </w:t>
            </w:r>
            <w:r w:rsidR="001E2ADF" w:rsidRPr="00F17B86">
              <w:rPr>
                <w:sz w:val="19"/>
                <w:szCs w:val="19"/>
              </w:rPr>
              <w:t xml:space="preserve">noted that </w:t>
            </w:r>
            <w:r w:rsidRPr="00F17B86">
              <w:rPr>
                <w:sz w:val="19"/>
                <w:szCs w:val="19"/>
              </w:rPr>
              <w:t xml:space="preserve">governments have a strategic role to play in seeding new areas of business activity by relocating government </w:t>
            </w:r>
            <w:r w:rsidR="001E2ADF" w:rsidRPr="00F17B86">
              <w:rPr>
                <w:sz w:val="19"/>
                <w:szCs w:val="19"/>
              </w:rPr>
              <w:t>agencies</w:t>
            </w:r>
            <w:r w:rsidRPr="00F17B86">
              <w:rPr>
                <w:sz w:val="19"/>
                <w:szCs w:val="19"/>
              </w:rPr>
              <w:t xml:space="preserve"> to locations well</w:t>
            </w:r>
            <w:r w:rsidRPr="00F17B86">
              <w:rPr>
                <w:sz w:val="19"/>
                <w:szCs w:val="19"/>
              </w:rPr>
              <w:noBreakHyphen/>
              <w:t>connected by public transport,</w:t>
            </w:r>
            <w:r w:rsidR="000A07A2" w:rsidRPr="00F17B86">
              <w:rPr>
                <w:sz w:val="19"/>
                <w:szCs w:val="19"/>
              </w:rPr>
              <w:t xml:space="preserve"> such as Footscray or Box Hill.</w:t>
            </w:r>
          </w:p>
          <w:p w14:paraId="3B010B50" w14:textId="77777777" w:rsidR="008E33F9" w:rsidRPr="00F17B86" w:rsidRDefault="008E33F9" w:rsidP="00EB7B9E">
            <w:pPr>
              <w:pStyle w:val="BoxText"/>
              <w:rPr>
                <w:sz w:val="19"/>
                <w:szCs w:val="19"/>
              </w:rPr>
            </w:pPr>
            <w:r w:rsidRPr="00F17B86">
              <w:rPr>
                <w:sz w:val="19"/>
                <w:szCs w:val="19"/>
              </w:rPr>
              <w:t>So why is population growing so rapidly in Victoria? Many people Treasury consulted suggested that Melbourne, as one of the two major international cities in Australia, is a drawcard for both overseas and interstate migrants given its deep labour market and comparatively affordable outer urban housing. Compared to Sydney, office space is cheaper, and the cost of land and construction is often lower. Developers are trying to keep pace with residential building on the outer fringe, where most of the population growth is occurring.</w:t>
            </w:r>
          </w:p>
          <w:p w14:paraId="321BD634" w14:textId="77777777" w:rsidR="00EB7B9E" w:rsidRPr="00F17B86" w:rsidRDefault="00EB7B9E" w:rsidP="00EB7B9E">
            <w:pPr>
              <w:pStyle w:val="BoxText"/>
              <w:rPr>
                <w:sz w:val="19"/>
                <w:szCs w:val="19"/>
              </w:rPr>
            </w:pPr>
            <w:r w:rsidRPr="00F17B86">
              <w:rPr>
                <w:sz w:val="19"/>
                <w:szCs w:val="19"/>
              </w:rPr>
              <w:t>Infrastructure was a pressure point raised in consultations as it can sometimes lag behind population growth. This includes new growth areas having little access to transport infrastructure but also extends to social infrastructure – housing often arrives in greenfield areas before hospitals and schools. Around</w:t>
            </w:r>
            <w:r w:rsidR="00F17B86">
              <w:rPr>
                <w:sz w:val="19"/>
                <w:szCs w:val="19"/>
              </w:rPr>
              <w:t> </w:t>
            </w:r>
            <w:r w:rsidRPr="00F17B86">
              <w:rPr>
                <w:sz w:val="19"/>
                <w:szCs w:val="19"/>
              </w:rPr>
              <w:t>800,000</w:t>
            </w:r>
            <w:r w:rsidR="00F17B86">
              <w:rPr>
                <w:sz w:val="19"/>
                <w:szCs w:val="19"/>
              </w:rPr>
              <w:t xml:space="preserve"> </w:t>
            </w:r>
            <w:r w:rsidRPr="00F17B86">
              <w:rPr>
                <w:sz w:val="19"/>
                <w:szCs w:val="19"/>
              </w:rPr>
              <w:t>people travel to Melbourne’s CBD each day (City of Melbourne 2017). Work by the Grattan</w:t>
            </w:r>
            <w:r w:rsidR="00F17B86">
              <w:rPr>
                <w:sz w:val="19"/>
                <w:szCs w:val="19"/>
              </w:rPr>
              <w:t> </w:t>
            </w:r>
            <w:r w:rsidRPr="00F17B86">
              <w:rPr>
                <w:sz w:val="19"/>
                <w:szCs w:val="19"/>
              </w:rPr>
              <w:t>Institute reveals that congestion in Melbourne is as bad as in Sydney, and can be worse for hybrid trips that involve getting on and off major arteries (Terrill et al. 2017). Most of the organisations Treasury has consulted have indicated that public transport has an important role to play in addressing this issue.</w:t>
            </w:r>
          </w:p>
          <w:p w14:paraId="70F55012" w14:textId="77777777" w:rsidR="00F17B86" w:rsidRPr="00A807C6" w:rsidRDefault="00DB18BD" w:rsidP="00A807C6">
            <w:pPr>
              <w:pStyle w:val="BoxText"/>
              <w:rPr>
                <w:sz w:val="19"/>
                <w:szCs w:val="19"/>
              </w:rPr>
            </w:pPr>
            <w:r>
              <w:rPr>
                <w:sz w:val="19"/>
                <w:szCs w:val="19"/>
              </w:rPr>
              <w:t>C</w:t>
            </w:r>
            <w:r w:rsidR="00F17B86" w:rsidRPr="00F17B86">
              <w:rPr>
                <w:sz w:val="19"/>
                <w:szCs w:val="19"/>
              </w:rPr>
              <w:t>atering for population growth is not just about building new infrastructure. It is also important to utilise latent capacity in existing infrastructure. For example, the Victorian Government provides free train travel for people arriving at their destination before 7.15 am. This action has reduced passenger counts in peak periods, and saved the Government from purchasing the additional trains that would otherwise have been need</w:t>
            </w:r>
            <w:r w:rsidR="00A807C6">
              <w:rPr>
                <w:sz w:val="19"/>
                <w:szCs w:val="19"/>
              </w:rPr>
              <w:t>ed (Victorian Government 2010).</w:t>
            </w:r>
          </w:p>
        </w:tc>
      </w:tr>
    </w:tbl>
    <w:p w14:paraId="3E6B2200" w14:textId="77777777" w:rsidR="00EB7B9E" w:rsidRDefault="00EB7B9E">
      <w:r>
        <w:br w:type="page"/>
      </w:r>
    </w:p>
    <w:p w14:paraId="2F041EA3" w14:textId="77777777" w:rsidR="004D189B" w:rsidRPr="00DC385A" w:rsidRDefault="004D189B" w:rsidP="002427F4">
      <w:pPr>
        <w:pStyle w:val="Heading3Numbered"/>
      </w:pPr>
      <w:r w:rsidRPr="00DC385A">
        <w:lastRenderedPageBreak/>
        <w:t>Job growth has accompanied a growing population</w:t>
      </w:r>
    </w:p>
    <w:p w14:paraId="4C181560" w14:textId="77777777" w:rsidR="00E559EC" w:rsidRDefault="003735FE" w:rsidP="003735FE">
      <w:r w:rsidRPr="00A17215">
        <w:t>Not</w:t>
      </w:r>
      <w:r>
        <w:t>withstanding fluctuations in the economic cy</w:t>
      </w:r>
      <w:r w:rsidR="0023786E">
        <w:t>c</w:t>
      </w:r>
      <w:r>
        <w:t xml:space="preserve">le, </w:t>
      </w:r>
      <w:r w:rsidR="000A1B52">
        <w:t>employment</w:t>
      </w:r>
      <w:r w:rsidR="004D189B" w:rsidRPr="00DC385A">
        <w:t xml:space="preserve"> growth generally occurs in line with population growth. This is because</w:t>
      </w:r>
      <w:r>
        <w:t>, as mentioned in Section 6.2,</w:t>
      </w:r>
      <w:r w:rsidR="004D189B" w:rsidRPr="00DC385A">
        <w:t xml:space="preserve"> an increasing population demands an increasing amount of goods and services, thus spurring job creation to meet these increased needs. </w:t>
      </w:r>
      <w:r w:rsidR="004D189B">
        <w:t xml:space="preserve">This </w:t>
      </w:r>
      <w:r>
        <w:t xml:space="preserve">is </w:t>
      </w:r>
      <w:r w:rsidR="004D189B">
        <w:t xml:space="preserve">supported by the </w:t>
      </w:r>
      <w:r>
        <w:t xml:space="preserve">data – </w:t>
      </w:r>
      <w:r w:rsidR="00DE2BA8">
        <w:t xml:space="preserve">over the last </w:t>
      </w:r>
      <w:r w:rsidR="00BD5F3B">
        <w:t xml:space="preserve">30 </w:t>
      </w:r>
      <w:r w:rsidR="00DE2BA8">
        <w:t xml:space="preserve">years, the working age population has grown by </w:t>
      </w:r>
      <w:r w:rsidR="00C950E5">
        <w:t>49</w:t>
      </w:r>
      <w:r w:rsidR="00DE2BA8">
        <w:t xml:space="preserve"> per cent but the percentage of employed persons </w:t>
      </w:r>
      <w:r w:rsidR="00457121">
        <w:t>has increased over time and is now</w:t>
      </w:r>
      <w:r w:rsidR="00DE2BA8">
        <w:t xml:space="preserve"> </w:t>
      </w:r>
      <w:r w:rsidR="00D97722">
        <w:t>over</w:t>
      </w:r>
      <w:r w:rsidR="00457121">
        <w:t xml:space="preserve"> </w:t>
      </w:r>
      <w:r w:rsidR="00D97722">
        <w:t>7</w:t>
      </w:r>
      <w:r w:rsidR="00A91F5A">
        <w:t> </w:t>
      </w:r>
      <w:r w:rsidR="00DE2BA8">
        <w:t xml:space="preserve">percentage points higher than 30 years ago </w:t>
      </w:r>
      <w:r w:rsidR="004D189B">
        <w:t>(ABS </w:t>
      </w:r>
      <w:r w:rsidR="008A6D1A">
        <w:t>2017</w:t>
      </w:r>
      <w:r w:rsidR="00A27F64">
        <w:t>i</w:t>
      </w:r>
      <w:r w:rsidR="004D189B" w:rsidRPr="00DC385A">
        <w:t>).</w:t>
      </w:r>
    </w:p>
    <w:p w14:paraId="52F8ECA0" w14:textId="77777777" w:rsidR="00E67675" w:rsidRDefault="004D189B" w:rsidP="00631304">
      <w:r>
        <w:t>Migration has been critical to growth in the Australian workforce</w:t>
      </w:r>
      <w:r w:rsidR="00DE2BA8">
        <w:t xml:space="preserve"> in recent years</w:t>
      </w:r>
      <w:r>
        <w:t xml:space="preserve">. </w:t>
      </w:r>
      <w:r w:rsidR="00390829">
        <w:t xml:space="preserve">Recent </w:t>
      </w:r>
      <w:r w:rsidR="00390829" w:rsidRPr="00F37F85">
        <w:t>migrants</w:t>
      </w:r>
      <w:r w:rsidR="00390829">
        <w:t xml:space="preserve"> </w:t>
      </w:r>
      <w:r w:rsidR="00390829" w:rsidRPr="00F37F85">
        <w:t xml:space="preserve">accounted for </w:t>
      </w:r>
      <w:r w:rsidR="00390829">
        <w:t>two</w:t>
      </w:r>
      <w:r w:rsidR="001A71E3">
        <w:t>-</w:t>
      </w:r>
      <w:r w:rsidR="00390829">
        <w:t>thirds (64.5 </w:t>
      </w:r>
      <w:r w:rsidR="00390829" w:rsidRPr="00F37F85">
        <w:t>per</w:t>
      </w:r>
      <w:r w:rsidR="00390829">
        <w:t xml:space="preserve"> cent) o</w:t>
      </w:r>
      <w:r w:rsidR="00875453">
        <w:t>f the approximately</w:t>
      </w:r>
      <w:r w:rsidRPr="00F37F85">
        <w:t xml:space="preserve"> </w:t>
      </w:r>
      <w:r>
        <w:t>850,000</w:t>
      </w:r>
      <w:r w:rsidRPr="00F37F85">
        <w:t xml:space="preserve"> </w:t>
      </w:r>
      <w:proofErr w:type="spellStart"/>
      <w:r w:rsidR="00875453">
        <w:t>net</w:t>
      </w:r>
      <w:proofErr w:type="spellEnd"/>
      <w:r w:rsidR="00875453">
        <w:t xml:space="preserve"> jobs created over the past </w:t>
      </w:r>
      <w:r w:rsidR="00390829">
        <w:t>five</w:t>
      </w:r>
      <w:r w:rsidR="00875453">
        <w:t xml:space="preserve"> years</w:t>
      </w:r>
      <w:r w:rsidR="00554687">
        <w:t xml:space="preserve"> (Figure </w:t>
      </w:r>
      <w:r w:rsidR="001C47D1">
        <w:t>29</w:t>
      </w:r>
      <w:r>
        <w:t>). For full</w:t>
      </w:r>
      <w:r w:rsidR="00021968">
        <w:noBreakHyphen/>
      </w:r>
      <w:r>
        <w:t>time employment, the impact is even more pronounced</w:t>
      </w:r>
      <w:r w:rsidR="00390829">
        <w:t>,</w:t>
      </w:r>
      <w:r>
        <w:t xml:space="preserve"> with recent migrants accounting for 72.4</w:t>
      </w:r>
      <w:r w:rsidR="00390829">
        <w:t> </w:t>
      </w:r>
      <w:r>
        <w:t xml:space="preserve">per cent of </w:t>
      </w:r>
      <w:r w:rsidR="00A91F5A">
        <w:t>new jobs created</w:t>
      </w:r>
      <w:r>
        <w:t>.</w:t>
      </w:r>
    </w:p>
    <w:p w14:paraId="329A8D6B" w14:textId="77777777" w:rsidR="004D189B" w:rsidRDefault="004D189B" w:rsidP="000B438C">
      <w:pPr>
        <w:pStyle w:val="ChartMainHeading"/>
      </w:pPr>
      <w:bookmarkStart w:id="115" w:name="_Ref491429039"/>
      <w:r w:rsidRPr="00152124">
        <w:t>Figure</w:t>
      </w:r>
      <w:bookmarkEnd w:id="115"/>
      <w:r w:rsidR="00554687">
        <w:t xml:space="preserve"> </w:t>
      </w:r>
      <w:r w:rsidR="001C47D1">
        <w:t>29</w:t>
      </w:r>
      <w:r w:rsidRPr="00152124">
        <w:t xml:space="preserve">: </w:t>
      </w:r>
      <w:r w:rsidR="00DC1EA9">
        <w:t>Contribution to e</w:t>
      </w:r>
      <w:r w:rsidR="00EB7B9E">
        <w:t xml:space="preserve">mployment growth by </w:t>
      </w:r>
      <w:r w:rsidRPr="004D189B">
        <w:t>Australian</w:t>
      </w:r>
      <w:r w:rsidR="00021968">
        <w:noBreakHyphen/>
      </w:r>
      <w:r w:rsidRPr="00152124">
        <w:t>born</w:t>
      </w:r>
      <w:r w:rsidR="00EB7B9E">
        <w:br/>
      </w:r>
      <w:r w:rsidRPr="00152124">
        <w:t>and overseas</w:t>
      </w:r>
      <w:r w:rsidR="00021968">
        <w:noBreakHyphen/>
      </w:r>
      <w:r w:rsidRPr="00152124">
        <w:t>born</w:t>
      </w:r>
    </w:p>
    <w:p w14:paraId="6E300CCC" w14:textId="65CDBA56" w:rsidR="004D189B" w:rsidRDefault="00302A39" w:rsidP="005F3E79">
      <w:pPr>
        <w:pStyle w:val="ChartGraphic"/>
      </w:pPr>
      <w:r>
        <w:pict w14:anchorId="76639811">
          <v:shape id="_x0000_i1056" type="#_x0000_t75" style="width:430.5pt;height:222.75pt;mso-position-vertical:absolute">
            <v:imagedata r:id="rId86" o:title="" cropbottom="823f" cropleft="1270f"/>
          </v:shape>
        </w:pict>
      </w:r>
    </w:p>
    <w:p w14:paraId="4467E086" w14:textId="77777777" w:rsidR="00B20EA1" w:rsidRDefault="00C704C0" w:rsidP="00A36CBF">
      <w:pPr>
        <w:pStyle w:val="ChartorTableNote"/>
      </w:pPr>
      <w:r w:rsidRPr="00EB7B9E">
        <w:t>Source: ABS</w:t>
      </w:r>
      <w:r w:rsidR="008A6D1A" w:rsidRPr="00EB7B9E">
        <w:t xml:space="preserve"> </w:t>
      </w:r>
      <w:r w:rsidR="00F84FA4" w:rsidRPr="00EB7B9E">
        <w:t>2017</w:t>
      </w:r>
      <w:r w:rsidR="00A27F64" w:rsidRPr="00EB7B9E">
        <w:t>j</w:t>
      </w:r>
      <w:r w:rsidR="001C47D1" w:rsidRPr="00EB7B9E">
        <w:t xml:space="preserve">, authors’ </w:t>
      </w:r>
      <w:r w:rsidR="0019221E" w:rsidRPr="00EB7B9E">
        <w:t>modelling</w:t>
      </w:r>
      <w:r w:rsidR="008A6D1A" w:rsidRPr="00EB7B9E">
        <w:t>.</w:t>
      </w:r>
    </w:p>
    <w:p w14:paraId="601D5C9B" w14:textId="77777777" w:rsidR="00BF7F7B" w:rsidRDefault="00DA74F0" w:rsidP="00EB7B9E">
      <w:r>
        <w:t>G</w:t>
      </w:r>
      <w:r w:rsidR="00BF7F7B">
        <w:t xml:space="preserve">rowth in the resident workforce has been declining since 2006 due to lower fertility rates in recent decades and the consequential ageing of the population (as discussed in Section 6.4). In the absence of migration, </w:t>
      </w:r>
      <w:r w:rsidR="00B4649D">
        <w:t xml:space="preserve">growth in the workforce would have </w:t>
      </w:r>
      <w:r w:rsidR="00D94129">
        <w:t>been lower</w:t>
      </w:r>
      <w:r w:rsidR="00BF7F7B">
        <w:t>, all other things being equal</w:t>
      </w:r>
      <w:r w:rsidR="00AA065E">
        <w:t>, which would have acted as a drag on economic growth</w:t>
      </w:r>
      <w:r w:rsidR="00BF7F7B">
        <w:t xml:space="preserve">. Instead, migrants </w:t>
      </w:r>
      <w:r w:rsidR="00220751">
        <w:t>contributed to</w:t>
      </w:r>
      <w:r w:rsidR="00BF7F7B">
        <w:t xml:space="preserve"> employment growth.</w:t>
      </w:r>
    </w:p>
    <w:p w14:paraId="61767DAC" w14:textId="77777777" w:rsidR="00EB7B9E" w:rsidRDefault="00BF7F7B" w:rsidP="0081362E">
      <w:pPr>
        <w:spacing w:before="240"/>
      </w:pPr>
      <w:r>
        <w:t>This is not to say that migrants are replacing Australian workers</w:t>
      </w:r>
      <w:r w:rsidR="008A6D1A">
        <w:t>.</w:t>
      </w:r>
      <w:r w:rsidR="004D189B">
        <w:t xml:space="preserve"> </w:t>
      </w:r>
      <w:proofErr w:type="spellStart"/>
      <w:r w:rsidR="004D189B">
        <w:t>Breunig</w:t>
      </w:r>
      <w:proofErr w:type="spellEnd"/>
      <w:r w:rsidR="008A6D1A">
        <w:t xml:space="preserve">, </w:t>
      </w:r>
      <w:proofErr w:type="spellStart"/>
      <w:r w:rsidR="008A6D1A">
        <w:t>Deutscher</w:t>
      </w:r>
      <w:proofErr w:type="spellEnd"/>
      <w:r w:rsidR="008A6D1A">
        <w:t xml:space="preserve"> and To</w:t>
      </w:r>
      <w:r w:rsidR="004D189B">
        <w:t xml:space="preserve"> </w:t>
      </w:r>
      <w:r>
        <w:t>(</w:t>
      </w:r>
      <w:r w:rsidR="004D189B">
        <w:t>2016</w:t>
      </w:r>
      <w:r>
        <w:t>)</w:t>
      </w:r>
      <w:r w:rsidR="004D189B">
        <w:t xml:space="preserve"> </w:t>
      </w:r>
      <w:r>
        <w:t>found</w:t>
      </w:r>
      <w:r w:rsidR="004D189B" w:rsidRPr="00DC385A">
        <w:t xml:space="preserve"> that the labour market outcomes (wages, weekly hours, participation rate and employment rate) of the </w:t>
      </w:r>
      <w:r w:rsidR="004D189B">
        <w:t>incumbent labour market had</w:t>
      </w:r>
      <w:r w:rsidR="004D189B" w:rsidRPr="00DC385A">
        <w:t xml:space="preserve"> been neither helped nor harmed by migration over the period 2000 </w:t>
      </w:r>
      <w:r w:rsidR="00513090">
        <w:t>to</w:t>
      </w:r>
      <w:r w:rsidR="00513090" w:rsidRPr="00DC385A">
        <w:t xml:space="preserve"> </w:t>
      </w:r>
      <w:r w:rsidR="004D189B" w:rsidRPr="00DC385A">
        <w:t>2011</w:t>
      </w:r>
      <w:r w:rsidR="004D189B">
        <w:t xml:space="preserve">. </w:t>
      </w:r>
      <w:r>
        <w:t>In fact, t</w:t>
      </w:r>
      <w:r w:rsidR="004D189B">
        <w:t>he study found</w:t>
      </w:r>
      <w:r w:rsidR="004D189B" w:rsidRPr="00BD12D1">
        <w:t xml:space="preserve"> almost no evidence that outcomes for those born in Australia have been harmed by immigration</w:t>
      </w:r>
      <w:r w:rsidR="00513090">
        <w:t>. T</w:t>
      </w:r>
      <w:r w:rsidR="004D189B" w:rsidRPr="00BD12D1">
        <w:t xml:space="preserve">he most statistically significant associations </w:t>
      </w:r>
      <w:r w:rsidR="00390829">
        <w:t xml:space="preserve">were </w:t>
      </w:r>
      <w:r w:rsidR="004D189B" w:rsidRPr="00BD12D1">
        <w:t>with stronger labour mar</w:t>
      </w:r>
      <w:r w:rsidR="004D189B">
        <w:t>ket outcomes for the Australian</w:t>
      </w:r>
      <w:r w:rsidR="00021968">
        <w:noBreakHyphen/>
      </w:r>
      <w:r w:rsidR="004D189B" w:rsidRPr="00BD12D1">
        <w:t>born.</w:t>
      </w:r>
      <w:r w:rsidR="004D189B">
        <w:t xml:space="preserve"> </w:t>
      </w:r>
      <w:r>
        <w:t>This is likely explained by the fact that migrants are generally seen as complements to the Australian</w:t>
      </w:r>
      <w:r>
        <w:noBreakHyphen/>
        <w:t xml:space="preserve">born labour force. </w:t>
      </w:r>
      <w:r w:rsidR="00513090">
        <w:t>S</w:t>
      </w:r>
      <w:r w:rsidR="004D189B">
        <w:t xml:space="preserve">ome migrants </w:t>
      </w:r>
      <w:r w:rsidR="0045289D">
        <w:t xml:space="preserve">also </w:t>
      </w:r>
      <w:r w:rsidR="004D189B">
        <w:t>do not participate in the labour force or have limited work rights (for example, long</w:t>
      </w:r>
      <w:r w:rsidR="00021968">
        <w:noBreakHyphen/>
      </w:r>
      <w:r w:rsidR="004D189B">
        <w:t>term visitors, students and working holiday makers) but still consume goods and services</w:t>
      </w:r>
      <w:r>
        <w:t xml:space="preserve"> and therefore still add to job creation</w:t>
      </w:r>
      <w:r w:rsidR="00EB7B9E">
        <w:t>.</w:t>
      </w:r>
    </w:p>
    <w:p w14:paraId="19C027BF" w14:textId="77777777" w:rsidR="004D189B" w:rsidRPr="00DC385A" w:rsidRDefault="004D189B" w:rsidP="002427F4">
      <w:pPr>
        <w:pStyle w:val="Heading4"/>
      </w:pPr>
      <w:r>
        <w:lastRenderedPageBreak/>
        <w:t>Available research suggests no distributional labour market effects</w:t>
      </w:r>
      <w:r w:rsidR="00D31430">
        <w:t xml:space="preserve"> from immigration</w:t>
      </w:r>
    </w:p>
    <w:p w14:paraId="7BC19251" w14:textId="77777777" w:rsidR="004D189B" w:rsidRPr="0081424F" w:rsidRDefault="004D189B" w:rsidP="009857ED">
      <w:r w:rsidRPr="0081424F">
        <w:t>Australia</w:t>
      </w:r>
      <w:r w:rsidR="00021968">
        <w:t>’</w:t>
      </w:r>
      <w:r w:rsidRPr="0081424F">
        <w:t>s large inflows of international students and working holiday makers, together with factors like changes in industry structure and automation, potentially increase the le</w:t>
      </w:r>
      <w:r>
        <w:t>vel of competition in the lower</w:t>
      </w:r>
      <w:r w:rsidR="00021968">
        <w:noBreakHyphen/>
      </w:r>
      <w:r w:rsidRPr="0081424F">
        <w:t xml:space="preserve">skilled end of the labour market. </w:t>
      </w:r>
      <w:r w:rsidR="00CE6AAD">
        <w:t>Some argue that b</w:t>
      </w:r>
      <w:r w:rsidRPr="0081424F">
        <w:t>ecause they often undertake low</w:t>
      </w:r>
      <w:r w:rsidR="00021968">
        <w:noBreakHyphen/>
      </w:r>
      <w:r w:rsidRPr="0081424F">
        <w:t>skilled work, young people are at the greatest risk of being replaced</w:t>
      </w:r>
      <w:r w:rsidR="00CC7945">
        <w:t xml:space="preserve"> (</w:t>
      </w:r>
      <w:r w:rsidR="00CC7945" w:rsidRPr="009F4C44">
        <w:t xml:space="preserve">CFMEU, cited in </w:t>
      </w:r>
      <w:r w:rsidR="0019221E" w:rsidRPr="003E4AD9">
        <w:t>P</w:t>
      </w:r>
      <w:r w:rsidR="009857ED">
        <w:t>C</w:t>
      </w:r>
      <w:r w:rsidR="0019221E" w:rsidRPr="003E4AD9">
        <w:t xml:space="preserve"> </w:t>
      </w:r>
      <w:r w:rsidR="00CC7945" w:rsidRPr="009F4C44">
        <w:t>2016</w:t>
      </w:r>
      <w:r w:rsidR="00CC7945">
        <w:t>)</w:t>
      </w:r>
      <w:r w:rsidRPr="0081424F">
        <w:t>.</w:t>
      </w:r>
      <w:r w:rsidR="00CC7945">
        <w:t xml:space="preserve"> Others point to the role of working holiday makers as complements to the </w:t>
      </w:r>
      <w:r w:rsidR="0045289D">
        <w:t>Australian</w:t>
      </w:r>
      <w:r w:rsidR="0045289D">
        <w:noBreakHyphen/>
        <w:t>born</w:t>
      </w:r>
      <w:r w:rsidR="00CC7945">
        <w:t xml:space="preserve"> labour force </w:t>
      </w:r>
      <w:r w:rsidR="009857ED">
        <w:t>(</w:t>
      </w:r>
      <w:r w:rsidR="009857ED" w:rsidRPr="009F4C44">
        <w:t>ACCI,</w:t>
      </w:r>
      <w:r w:rsidR="009857ED">
        <w:t> </w:t>
      </w:r>
      <w:r w:rsidR="009857ED" w:rsidRPr="009F4C44">
        <w:t xml:space="preserve">cited in </w:t>
      </w:r>
      <w:r w:rsidR="009857ED" w:rsidRPr="003E4AD9">
        <w:t>P</w:t>
      </w:r>
      <w:r w:rsidR="009857ED">
        <w:t>C</w:t>
      </w:r>
      <w:r w:rsidR="009857ED" w:rsidRPr="003E4AD9">
        <w:t xml:space="preserve"> </w:t>
      </w:r>
      <w:r w:rsidR="009857ED" w:rsidRPr="009F4C44">
        <w:t>2016</w:t>
      </w:r>
      <w:r w:rsidR="009857ED">
        <w:t xml:space="preserve">), particularly </w:t>
      </w:r>
      <w:r w:rsidR="00CC7945">
        <w:t>in undertaking work that is sometimes shunned by Australians, such as cleaning or fruit picking.</w:t>
      </w:r>
    </w:p>
    <w:p w14:paraId="4C1715A7" w14:textId="77777777" w:rsidR="004D189B" w:rsidRDefault="004D189B" w:rsidP="00631304">
      <w:r w:rsidRPr="0081424F">
        <w:t>The Productivity Commission</w:t>
      </w:r>
      <w:r w:rsidR="002950CA">
        <w:t xml:space="preserve"> initially expressed concern in their</w:t>
      </w:r>
      <w:r w:rsidRPr="0081424F">
        <w:t xml:space="preserve"> </w:t>
      </w:r>
      <w:r w:rsidR="00A36FF4">
        <w:t xml:space="preserve">2015 </w:t>
      </w:r>
      <w:r w:rsidRPr="0081424F">
        <w:t xml:space="preserve">draft report on the </w:t>
      </w:r>
      <w:r w:rsidRPr="0081424F">
        <w:rPr>
          <w:i/>
        </w:rPr>
        <w:t>Migrant Intake</w:t>
      </w:r>
      <w:r w:rsidRPr="009B3E81">
        <w:rPr>
          <w:i/>
        </w:rPr>
        <w:t xml:space="preserve"> into Australia</w:t>
      </w:r>
      <w:r>
        <w:t xml:space="preserve"> that </w:t>
      </w:r>
      <w:r w:rsidR="0045289D">
        <w:t xml:space="preserve">high temporary </w:t>
      </w:r>
      <w:r>
        <w:t>migrant flows</w:t>
      </w:r>
      <w:r w:rsidR="0045289D">
        <w:t xml:space="preserve"> might be associated with youth unemployment</w:t>
      </w:r>
      <w:r w:rsidR="0020435F">
        <w:t xml:space="preserve"> (</w:t>
      </w:r>
      <w:r w:rsidR="001C47D1" w:rsidRPr="0081424F">
        <w:t>PC</w:t>
      </w:r>
      <w:r w:rsidR="001C47D1">
        <w:t xml:space="preserve"> </w:t>
      </w:r>
      <w:r w:rsidR="0020435F">
        <w:t>2015)</w:t>
      </w:r>
      <w:r>
        <w:t xml:space="preserve">. </w:t>
      </w:r>
      <w:r w:rsidR="00BD5F3B">
        <w:t>S</w:t>
      </w:r>
      <w:r>
        <w:t>ubsequent work that was included in the Productivity Commission</w:t>
      </w:r>
      <w:r w:rsidR="00021968">
        <w:t>’</w:t>
      </w:r>
      <w:r>
        <w:t>s final report showed that increases in migrant labour were occurring at the high</w:t>
      </w:r>
      <w:r w:rsidR="00021968">
        <w:noBreakHyphen/>
      </w:r>
      <w:r>
        <w:t>skill end of the labour market and not in low</w:t>
      </w:r>
      <w:r w:rsidR="00021968">
        <w:noBreakHyphen/>
      </w:r>
      <w:r>
        <w:t xml:space="preserve">skilled occupations where </w:t>
      </w:r>
      <w:r w:rsidR="00CE6AAD">
        <w:t>it might be expected that</w:t>
      </w:r>
      <w:r>
        <w:t xml:space="preserve"> displacement</w:t>
      </w:r>
      <w:r w:rsidR="00CE6AAD">
        <w:t xml:space="preserve"> would occur</w:t>
      </w:r>
      <w:r w:rsidR="0045289D">
        <w:t xml:space="preserve"> </w:t>
      </w:r>
      <w:r w:rsidR="0020435F">
        <w:t>(</w:t>
      </w:r>
      <w:r w:rsidR="001C47D1" w:rsidRPr="0081424F">
        <w:t>PC</w:t>
      </w:r>
      <w:r w:rsidR="001C47D1">
        <w:t xml:space="preserve"> </w:t>
      </w:r>
      <w:r w:rsidR="0020435F">
        <w:t>2016)</w:t>
      </w:r>
      <w:r>
        <w:t xml:space="preserve">. </w:t>
      </w:r>
      <w:r w:rsidR="00B5312B">
        <w:t>However, the P</w:t>
      </w:r>
      <w:r w:rsidR="00A27F64">
        <w:t xml:space="preserve">roductivity </w:t>
      </w:r>
      <w:r w:rsidR="00B5312B">
        <w:t>C</w:t>
      </w:r>
      <w:r w:rsidR="00A27F64">
        <w:t>ommission</w:t>
      </w:r>
      <w:r w:rsidR="00B5312B">
        <w:t xml:space="preserve"> noted that further research would be valuable. </w:t>
      </w:r>
      <w:proofErr w:type="spellStart"/>
      <w:r>
        <w:t>Bre</w:t>
      </w:r>
      <w:r w:rsidR="0020435F">
        <w:t>u</w:t>
      </w:r>
      <w:r>
        <w:t>nig</w:t>
      </w:r>
      <w:proofErr w:type="spellEnd"/>
      <w:r w:rsidR="0020435F">
        <w:t xml:space="preserve">, </w:t>
      </w:r>
      <w:proofErr w:type="spellStart"/>
      <w:r w:rsidR="0020435F">
        <w:t>Deutscher</w:t>
      </w:r>
      <w:proofErr w:type="spellEnd"/>
      <w:r w:rsidR="0020435F">
        <w:t xml:space="preserve"> and </w:t>
      </w:r>
      <w:proofErr w:type="spellStart"/>
      <w:r w:rsidR="0020435F">
        <w:t>To</w:t>
      </w:r>
      <w:r w:rsidR="000D4E58">
        <w:t>’s</w:t>
      </w:r>
      <w:proofErr w:type="spellEnd"/>
      <w:r w:rsidR="000D4E58">
        <w:t xml:space="preserve"> 2016</w:t>
      </w:r>
      <w:r>
        <w:t xml:space="preserve"> study</w:t>
      </w:r>
      <w:r w:rsidR="00BD39F3">
        <w:t xml:space="preserve"> built on the Productivity Commission’s work and</w:t>
      </w:r>
      <w:r w:rsidR="000D4E58">
        <w:t xml:space="preserve"> found </w:t>
      </w:r>
      <w:r w:rsidR="00513090">
        <w:t xml:space="preserve">migrant labour had </w:t>
      </w:r>
      <w:r w:rsidR="000D4E58">
        <w:t>no effect</w:t>
      </w:r>
      <w:r w:rsidR="002950CA">
        <w:t xml:space="preserve"> on Australian workers across a range of skill levels </w:t>
      </w:r>
      <w:r>
        <w:t>(from those who ha</w:t>
      </w:r>
      <w:r w:rsidR="002950CA">
        <w:t>d</w:t>
      </w:r>
      <w:r>
        <w:t xml:space="preserve"> not completed secondary school to university graduates). This included no effect </w:t>
      </w:r>
      <w:r w:rsidR="00513090">
        <w:t xml:space="preserve">on </w:t>
      </w:r>
      <w:r>
        <w:t>youth or low</w:t>
      </w:r>
      <w:r w:rsidR="00021968">
        <w:noBreakHyphen/>
      </w:r>
      <w:r>
        <w:t>skilled cohorts.</w:t>
      </w:r>
    </w:p>
    <w:p w14:paraId="2CA6749F" w14:textId="77777777" w:rsidR="004D189B" w:rsidRDefault="004D189B" w:rsidP="00631304">
      <w:r w:rsidRPr="009F4C44">
        <w:t>Sinning</w:t>
      </w:r>
      <w:r w:rsidR="005A6C58">
        <w:t xml:space="preserve"> et al.</w:t>
      </w:r>
      <w:r w:rsidRPr="009F4C44">
        <w:t xml:space="preserve"> (</w:t>
      </w:r>
      <w:r w:rsidR="003E4AD9" w:rsidRPr="009F4C44">
        <w:t>cited in PC 2016</w:t>
      </w:r>
      <w:r w:rsidRPr="003E4AD9">
        <w:t>)</w:t>
      </w:r>
      <w:r w:rsidRPr="00DC385A">
        <w:t xml:space="preserve"> analysed A</w:t>
      </w:r>
      <w:r>
        <w:t>ustralia</w:t>
      </w:r>
      <w:r w:rsidR="0020435F">
        <w:t>n</w:t>
      </w:r>
      <w:r>
        <w:t xml:space="preserve"> Census data from </w:t>
      </w:r>
      <w:r w:rsidRPr="00DC385A">
        <w:t xml:space="preserve">1996, 2001 and 2006 and </w:t>
      </w:r>
      <w:r w:rsidR="002950CA">
        <w:t xml:space="preserve">found </w:t>
      </w:r>
      <w:r w:rsidRPr="00DC385A">
        <w:t xml:space="preserve">that migration had no adverse </w:t>
      </w:r>
      <w:proofErr w:type="gramStart"/>
      <w:r w:rsidRPr="00DC385A">
        <w:t>effects</w:t>
      </w:r>
      <w:proofErr w:type="gramEnd"/>
      <w:r w:rsidR="00386CE5">
        <w:t xml:space="preserve"> across the regions either, with no effect</w:t>
      </w:r>
      <w:r w:rsidRPr="00DC385A">
        <w:t xml:space="preserve"> on unemployment rates </w:t>
      </w:r>
      <w:r>
        <w:t xml:space="preserve">or </w:t>
      </w:r>
      <w:r w:rsidRPr="00DC385A">
        <w:t>median incomes over these time periods.</w:t>
      </w:r>
    </w:p>
    <w:p w14:paraId="08D4C025" w14:textId="77777777" w:rsidR="004D189B" w:rsidRPr="00DC385A" w:rsidRDefault="004D189B" w:rsidP="002427F4">
      <w:pPr>
        <w:pStyle w:val="Heading3Numbered"/>
      </w:pPr>
      <w:r w:rsidRPr="00DC385A">
        <w:t>Increased housing stock must accompany a higher population</w:t>
      </w:r>
    </w:p>
    <w:p w14:paraId="64DC10C0" w14:textId="77777777" w:rsidR="004B4BB4" w:rsidRDefault="004B4BB4" w:rsidP="00631304">
      <w:r>
        <w:t xml:space="preserve">There has been much commentary in recent times on the availability and price of housing and the role that population growth and migration have played. While migrants contribute to population growth and therefore add to the demand for housing, individually, migrants appear to have a similar effect on the housing market as the </w:t>
      </w:r>
      <w:r w:rsidR="00CE6AAD">
        <w:t>Australian</w:t>
      </w:r>
      <w:r w:rsidR="00CE6AAD">
        <w:noBreakHyphen/>
      </w:r>
      <w:r>
        <w:t xml:space="preserve">born population. </w:t>
      </w:r>
      <w:r w:rsidR="001C38CB">
        <w:t>When they are young and childless, both the Australian</w:t>
      </w:r>
      <w:r w:rsidR="001C38CB">
        <w:noBreakHyphen/>
        <w:t>born and the overseas</w:t>
      </w:r>
      <w:r w:rsidR="001C38CB">
        <w:noBreakHyphen/>
        <w:t>born are less likely to own their own home or live in a detached house. As they age and start their own families, both the Australian</w:t>
      </w:r>
      <w:r w:rsidR="001C38CB">
        <w:noBreakHyphen/>
        <w:t>born and the overseas</w:t>
      </w:r>
      <w:r w:rsidR="001C38CB">
        <w:noBreakHyphen/>
        <w:t>born are more likely to seek to own their own home and buy detached housing</w:t>
      </w:r>
      <w:r w:rsidR="009F4C44">
        <w:t xml:space="preserve"> (</w:t>
      </w:r>
      <w:r w:rsidR="00BC2A93">
        <w:t>Capuano </w:t>
      </w:r>
      <w:r w:rsidR="00BC5327">
        <w:t>2016</w:t>
      </w:r>
      <w:r w:rsidR="009F4C44">
        <w:t>)</w:t>
      </w:r>
      <w:r w:rsidR="000A07A2">
        <w:t>.</w:t>
      </w:r>
    </w:p>
    <w:p w14:paraId="697B7043" w14:textId="77777777" w:rsidR="004D189B" w:rsidRDefault="00EF2DDF" w:rsidP="00631304">
      <w:r>
        <w:t xml:space="preserve">On average, </w:t>
      </w:r>
      <w:r w:rsidR="005B2A27">
        <w:t>increasing</w:t>
      </w:r>
      <w:r>
        <w:t xml:space="preserve"> real</w:t>
      </w:r>
      <w:r w:rsidR="005B2A27">
        <w:t xml:space="preserve"> </w:t>
      </w:r>
      <w:r w:rsidR="004B4BB4">
        <w:t>dwelling prices have been a feature of Australia’s housing market for several decades</w:t>
      </w:r>
      <w:r w:rsidR="0081362E">
        <w:t xml:space="preserve"> (Table </w:t>
      </w:r>
      <w:r w:rsidR="0053397A">
        <w:t>6</w:t>
      </w:r>
      <w:r w:rsidR="0081362E">
        <w:t>)</w:t>
      </w:r>
      <w:r w:rsidR="004B4BB4">
        <w:t xml:space="preserve">. The cumulative effect of increases in dwelling prices above inflation has meant that dwelling prices are high compared to average incomes – </w:t>
      </w:r>
      <w:r w:rsidR="001C38CB">
        <w:t xml:space="preserve">for example, </w:t>
      </w:r>
      <w:r w:rsidR="004B4BB4">
        <w:t xml:space="preserve">in </w:t>
      </w:r>
      <w:proofErr w:type="gramStart"/>
      <w:r w:rsidR="004B4BB4">
        <w:t>Sydney,</w:t>
      </w:r>
      <w:proofErr w:type="gramEnd"/>
      <w:r w:rsidR="004B4BB4">
        <w:t xml:space="preserve"> dwelling prices are 8.4 times incomes on average</w:t>
      </w:r>
      <w:r w:rsidR="00E40B87">
        <w:t xml:space="preserve"> (</w:t>
      </w:r>
      <w:proofErr w:type="spellStart"/>
      <w:r w:rsidR="00E40B87">
        <w:t>CoreLogic</w:t>
      </w:r>
      <w:proofErr w:type="spellEnd"/>
      <w:r w:rsidR="00E40B87">
        <w:t xml:space="preserve"> 2016)</w:t>
      </w:r>
      <w:r w:rsidR="004B4BB4">
        <w:t>.</w:t>
      </w:r>
    </w:p>
    <w:p w14:paraId="3F8EA45D" w14:textId="77777777" w:rsidR="001C47D1" w:rsidRDefault="001C47D1" w:rsidP="000B438C">
      <w:pPr>
        <w:pStyle w:val="ChartMainHeading"/>
      </w:pPr>
      <w:r>
        <w:t xml:space="preserve">Table </w:t>
      </w:r>
      <w:r w:rsidR="0053397A">
        <w:t>6</w:t>
      </w:r>
      <w:r>
        <w:t xml:space="preserve">: </w:t>
      </w:r>
      <w:r w:rsidR="00973CD7">
        <w:t>Nominal and real house prices over time</w:t>
      </w:r>
    </w:p>
    <w:tbl>
      <w:tblPr>
        <w:tblStyle w:val="TableGrid"/>
        <w:tblW w:w="0" w:type="auto"/>
        <w:tblInd w:w="108" w:type="dxa"/>
        <w:tblLook w:val="04A0" w:firstRow="1" w:lastRow="0" w:firstColumn="1" w:lastColumn="0" w:noHBand="0" w:noVBand="1"/>
      </w:tblPr>
      <w:tblGrid>
        <w:gridCol w:w="4819"/>
        <w:gridCol w:w="1077"/>
        <w:gridCol w:w="1077"/>
        <w:gridCol w:w="1077"/>
        <w:gridCol w:w="1077"/>
      </w:tblGrid>
      <w:tr w:rsidR="00EB7B9E" w:rsidRPr="00375A11" w14:paraId="368D021A" w14:textId="77777777" w:rsidTr="00EB7B9E">
        <w:tc>
          <w:tcPr>
            <w:tcW w:w="4819"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5E445E72" w14:textId="77777777" w:rsidR="00EB7B9E" w:rsidRPr="00375A11" w:rsidRDefault="00EB7B9E" w:rsidP="00EB7B9E">
            <w:pPr>
              <w:pStyle w:val="TableColumnHeadingCentred"/>
            </w:pP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7FE8335F" w14:textId="77777777" w:rsidR="00EB7B9E" w:rsidRPr="00375A11" w:rsidRDefault="00EB7B9E" w:rsidP="00EB7B9E">
            <w:pPr>
              <w:pStyle w:val="TableColumnHeadingCentred"/>
            </w:pPr>
            <w:r w:rsidRPr="00375A11">
              <w:t>1980</w:t>
            </w:r>
            <w:r>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0A07BC4D" w14:textId="77777777" w:rsidR="00EB7B9E" w:rsidRPr="00375A11" w:rsidRDefault="00EB7B9E" w:rsidP="00EB7B9E">
            <w:pPr>
              <w:pStyle w:val="TableColumnHeadingCentred"/>
            </w:pPr>
            <w:r w:rsidRPr="00375A11">
              <w:t>1990</w:t>
            </w:r>
            <w:r>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65CF81F4" w14:textId="77777777" w:rsidR="00EB7B9E" w:rsidRPr="00375A11" w:rsidRDefault="00EB7B9E" w:rsidP="00EB7B9E">
            <w:pPr>
              <w:pStyle w:val="TableColumnHeadingCentred"/>
            </w:pPr>
            <w:r w:rsidRPr="00375A11">
              <w:t>2000</w:t>
            </w:r>
            <w:r w:rsidRPr="00375A11">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64B95F61" w14:textId="77777777" w:rsidR="00EB7B9E" w:rsidRPr="00375A11" w:rsidRDefault="00EB7B9E" w:rsidP="00EB7B9E">
            <w:pPr>
              <w:pStyle w:val="TableColumnHeadingCentred"/>
            </w:pPr>
            <w:r w:rsidRPr="00375A11">
              <w:t>2010</w:t>
            </w:r>
            <w:r w:rsidRPr="00375A11">
              <w:rPr>
                <w:caps w:val="0"/>
              </w:rPr>
              <w:t>s</w:t>
            </w:r>
          </w:p>
        </w:tc>
      </w:tr>
      <w:tr w:rsidR="00EB7B9E" w:rsidRPr="00BD12CB" w14:paraId="433A79F7" w14:textId="77777777" w:rsidTr="00EB7B9E">
        <w:tc>
          <w:tcPr>
            <w:tcW w:w="4819" w:type="dxa"/>
            <w:tcBorders>
              <w:top w:val="single" w:sz="4" w:space="0" w:color="808080" w:themeColor="background1" w:themeShade="80"/>
            </w:tcBorders>
            <w:shd w:val="clear" w:color="auto" w:fill="auto"/>
            <w:vAlign w:val="center"/>
          </w:tcPr>
          <w:p w14:paraId="5A966E91" w14:textId="77777777" w:rsidR="00EB7B9E" w:rsidRPr="00BD12CB" w:rsidRDefault="00EB7B9E" w:rsidP="003E46A5">
            <w:pPr>
              <w:pStyle w:val="TableColumnHeadingLeft"/>
            </w:pPr>
            <w:r w:rsidRPr="00BD12CB">
              <w:t>Nominal average annual house price growth</w:t>
            </w:r>
          </w:p>
        </w:tc>
        <w:tc>
          <w:tcPr>
            <w:tcW w:w="1077" w:type="dxa"/>
            <w:tcBorders>
              <w:top w:val="single" w:sz="4" w:space="0" w:color="808080" w:themeColor="background1" w:themeShade="80"/>
            </w:tcBorders>
            <w:shd w:val="clear" w:color="auto" w:fill="auto"/>
            <w:vAlign w:val="center"/>
          </w:tcPr>
          <w:p w14:paraId="581CA9AF" w14:textId="77777777" w:rsidR="00EB7B9E" w:rsidRPr="00BD12CB" w:rsidRDefault="00EB7B9E" w:rsidP="00EB7B9E">
            <w:pPr>
              <w:pStyle w:val="TableTextCentered"/>
            </w:pPr>
            <w:r w:rsidRPr="00BD12CB">
              <w:t>12.4 %</w:t>
            </w:r>
          </w:p>
        </w:tc>
        <w:tc>
          <w:tcPr>
            <w:tcW w:w="1077" w:type="dxa"/>
            <w:tcBorders>
              <w:top w:val="single" w:sz="4" w:space="0" w:color="808080" w:themeColor="background1" w:themeShade="80"/>
            </w:tcBorders>
            <w:shd w:val="clear" w:color="auto" w:fill="auto"/>
            <w:vAlign w:val="center"/>
          </w:tcPr>
          <w:p w14:paraId="5EA685D3" w14:textId="77777777" w:rsidR="00EB7B9E" w:rsidRPr="00BD12CB" w:rsidRDefault="00EB7B9E" w:rsidP="00EB7B9E">
            <w:pPr>
              <w:pStyle w:val="TableTextCentered"/>
            </w:pPr>
            <w:r w:rsidRPr="00BD12CB">
              <w:t>3.3 %</w:t>
            </w:r>
          </w:p>
        </w:tc>
        <w:tc>
          <w:tcPr>
            <w:tcW w:w="1077" w:type="dxa"/>
            <w:tcBorders>
              <w:top w:val="single" w:sz="4" w:space="0" w:color="808080" w:themeColor="background1" w:themeShade="80"/>
            </w:tcBorders>
            <w:shd w:val="clear" w:color="auto" w:fill="auto"/>
            <w:vAlign w:val="center"/>
          </w:tcPr>
          <w:p w14:paraId="3568D508" w14:textId="77777777" w:rsidR="00EB7B9E" w:rsidRPr="00BD12CB" w:rsidRDefault="00EB7B9E" w:rsidP="00EB7B9E">
            <w:pPr>
              <w:pStyle w:val="TableTextCentered"/>
            </w:pPr>
            <w:r w:rsidRPr="00BD12CB">
              <w:t>7.7 %</w:t>
            </w:r>
          </w:p>
        </w:tc>
        <w:tc>
          <w:tcPr>
            <w:tcW w:w="1077" w:type="dxa"/>
            <w:tcBorders>
              <w:top w:val="single" w:sz="4" w:space="0" w:color="808080" w:themeColor="background1" w:themeShade="80"/>
            </w:tcBorders>
            <w:shd w:val="clear" w:color="auto" w:fill="auto"/>
            <w:vAlign w:val="center"/>
          </w:tcPr>
          <w:p w14:paraId="11C16488" w14:textId="77777777" w:rsidR="00EB7B9E" w:rsidRPr="00BD12CB" w:rsidRDefault="00EB7B9E" w:rsidP="00EB7B9E">
            <w:pPr>
              <w:pStyle w:val="TableTextCentered"/>
            </w:pPr>
            <w:r w:rsidRPr="00BD12CB">
              <w:t>5.3 %</w:t>
            </w:r>
          </w:p>
        </w:tc>
      </w:tr>
      <w:tr w:rsidR="00EB7B9E" w:rsidRPr="00BD12CB" w14:paraId="65A40988" w14:textId="77777777" w:rsidTr="00EB7B9E">
        <w:tc>
          <w:tcPr>
            <w:tcW w:w="4819" w:type="dxa"/>
            <w:tcBorders>
              <w:bottom w:val="single" w:sz="4" w:space="0" w:color="808080" w:themeColor="background1" w:themeShade="80"/>
            </w:tcBorders>
            <w:shd w:val="clear" w:color="auto" w:fill="F2F2F2" w:themeFill="background1" w:themeFillShade="F2"/>
            <w:vAlign w:val="center"/>
          </w:tcPr>
          <w:p w14:paraId="3565DA4A" w14:textId="77777777" w:rsidR="00EB7B9E" w:rsidRPr="00BD12CB" w:rsidRDefault="00EB7B9E" w:rsidP="003E46A5">
            <w:pPr>
              <w:pStyle w:val="TableColumnHeadingLeft"/>
            </w:pPr>
            <w:r w:rsidRPr="00BD12CB">
              <w:t>Real average annual house price growth</w:t>
            </w:r>
          </w:p>
        </w:tc>
        <w:tc>
          <w:tcPr>
            <w:tcW w:w="1077" w:type="dxa"/>
            <w:tcBorders>
              <w:bottom w:val="single" w:sz="4" w:space="0" w:color="808080" w:themeColor="background1" w:themeShade="80"/>
            </w:tcBorders>
            <w:shd w:val="clear" w:color="auto" w:fill="F2F2F2" w:themeFill="background1" w:themeFillShade="F2"/>
            <w:vAlign w:val="center"/>
          </w:tcPr>
          <w:p w14:paraId="1F740F65" w14:textId="77777777" w:rsidR="00EB7B9E" w:rsidRPr="00BD12CB" w:rsidRDefault="00EB7B9E" w:rsidP="00EB7B9E">
            <w:pPr>
              <w:pStyle w:val="TableTextCentered"/>
            </w:pPr>
            <w:r w:rsidRPr="00BD12CB">
              <w:t>4.0 %</w:t>
            </w:r>
          </w:p>
        </w:tc>
        <w:tc>
          <w:tcPr>
            <w:tcW w:w="1077" w:type="dxa"/>
            <w:tcBorders>
              <w:bottom w:val="single" w:sz="4" w:space="0" w:color="808080" w:themeColor="background1" w:themeShade="80"/>
            </w:tcBorders>
            <w:shd w:val="clear" w:color="auto" w:fill="F2F2F2" w:themeFill="background1" w:themeFillShade="F2"/>
            <w:vAlign w:val="center"/>
          </w:tcPr>
          <w:p w14:paraId="427F463F" w14:textId="77777777" w:rsidR="00EB7B9E" w:rsidRPr="00BD12CB" w:rsidRDefault="00EB7B9E" w:rsidP="00EB7B9E">
            <w:pPr>
              <w:pStyle w:val="TableTextCentered"/>
            </w:pPr>
            <w:r w:rsidRPr="00BD12CB">
              <w:t>0.8 %</w:t>
            </w:r>
          </w:p>
        </w:tc>
        <w:tc>
          <w:tcPr>
            <w:tcW w:w="1077" w:type="dxa"/>
            <w:tcBorders>
              <w:bottom w:val="single" w:sz="4" w:space="0" w:color="808080" w:themeColor="background1" w:themeShade="80"/>
            </w:tcBorders>
            <w:shd w:val="clear" w:color="auto" w:fill="F2F2F2" w:themeFill="background1" w:themeFillShade="F2"/>
            <w:vAlign w:val="center"/>
          </w:tcPr>
          <w:p w14:paraId="27B6AD57" w14:textId="77777777" w:rsidR="00EB7B9E" w:rsidRPr="00BD12CB" w:rsidRDefault="00EB7B9E" w:rsidP="00EB7B9E">
            <w:pPr>
              <w:pStyle w:val="TableTextCentered"/>
            </w:pPr>
            <w:r w:rsidRPr="00BD12CB">
              <w:t>4.5 %</w:t>
            </w:r>
          </w:p>
        </w:tc>
        <w:tc>
          <w:tcPr>
            <w:tcW w:w="1077" w:type="dxa"/>
            <w:tcBorders>
              <w:bottom w:val="single" w:sz="4" w:space="0" w:color="808080" w:themeColor="background1" w:themeShade="80"/>
            </w:tcBorders>
            <w:shd w:val="clear" w:color="auto" w:fill="F2F2F2" w:themeFill="background1" w:themeFillShade="F2"/>
            <w:vAlign w:val="center"/>
          </w:tcPr>
          <w:p w14:paraId="26249CE7" w14:textId="77777777" w:rsidR="00EB7B9E" w:rsidRPr="00BD12CB" w:rsidRDefault="00EB7B9E" w:rsidP="00EB7B9E">
            <w:pPr>
              <w:pStyle w:val="TableTextCentered"/>
            </w:pPr>
            <w:r w:rsidRPr="00BD12CB">
              <w:t>3.0 %</w:t>
            </w:r>
          </w:p>
        </w:tc>
      </w:tr>
    </w:tbl>
    <w:p w14:paraId="610E8869" w14:textId="77777777" w:rsidR="00F17B86" w:rsidRDefault="001C47D1" w:rsidP="00A36CBF">
      <w:pPr>
        <w:pStyle w:val="ChartorTableNote"/>
      </w:pPr>
      <w:r w:rsidRPr="00247214">
        <w:t xml:space="preserve">Source: </w:t>
      </w:r>
      <w:r w:rsidR="000502F3">
        <w:t xml:space="preserve">Unpublished </w:t>
      </w:r>
      <w:proofErr w:type="spellStart"/>
      <w:r w:rsidR="0081362E" w:rsidRPr="004348BE">
        <w:t>Core</w:t>
      </w:r>
      <w:r w:rsidR="004348BE">
        <w:t>L</w:t>
      </w:r>
      <w:r w:rsidR="0081362E" w:rsidRPr="004348BE">
        <w:t>ogic</w:t>
      </w:r>
      <w:proofErr w:type="spellEnd"/>
      <w:r w:rsidR="00247214" w:rsidRPr="004348BE">
        <w:t xml:space="preserve"> </w:t>
      </w:r>
      <w:r w:rsidR="0026283D">
        <w:t xml:space="preserve">2017 </w:t>
      </w:r>
      <w:r w:rsidR="00247214" w:rsidRPr="004348BE">
        <w:t>data</w:t>
      </w:r>
      <w:r w:rsidR="00247214" w:rsidRPr="00247214">
        <w:t>.</w:t>
      </w:r>
    </w:p>
    <w:p w14:paraId="05941477" w14:textId="77777777" w:rsidR="001C38CB" w:rsidRDefault="001C38CB" w:rsidP="00A36CBF">
      <w:pPr>
        <w:keepNext/>
        <w:keepLines/>
      </w:pPr>
      <w:r>
        <w:lastRenderedPageBreak/>
        <w:t>O</w:t>
      </w:r>
      <w:r w:rsidRPr="00DC385A">
        <w:t>n average across Australia</w:t>
      </w:r>
      <w:r>
        <w:t>, dwelling</w:t>
      </w:r>
      <w:r w:rsidRPr="00DC385A">
        <w:t xml:space="preserve"> prices have </w:t>
      </w:r>
      <w:r w:rsidR="00EF2DDF">
        <w:t>increased markedly between 2012 and 2017</w:t>
      </w:r>
      <w:r w:rsidRPr="00DC385A">
        <w:t xml:space="preserve">. </w:t>
      </w:r>
      <w:r>
        <w:t>The average increase across Australia is reflective of high dwelling price increases in Sydney but also in Melbourne. Dwelling price movements in other areas have been more muted, with dwelling price rises being much lower in Brisbane and declining in Perth (Figure 30)</w:t>
      </w:r>
      <w:r w:rsidR="00BD5F3B">
        <w:t>.</w:t>
      </w:r>
    </w:p>
    <w:p w14:paraId="1CE1D76C" w14:textId="77777777" w:rsidR="002E3C02" w:rsidRDefault="004D189B" w:rsidP="000B438C">
      <w:pPr>
        <w:pStyle w:val="ChartMainHeading"/>
      </w:pPr>
      <w:bookmarkStart w:id="116" w:name="_Ref491429155"/>
      <w:r w:rsidRPr="00152124">
        <w:t xml:space="preserve">Figure </w:t>
      </w:r>
      <w:bookmarkEnd w:id="116"/>
      <w:r w:rsidR="00554687">
        <w:t>3</w:t>
      </w:r>
      <w:r w:rsidR="00921CB6">
        <w:t>0</w:t>
      </w:r>
      <w:r w:rsidRPr="00152124">
        <w:t>: Through</w:t>
      </w:r>
      <w:r w:rsidR="00021968">
        <w:noBreakHyphen/>
      </w:r>
      <w:r w:rsidRPr="00152124">
        <w:t>the</w:t>
      </w:r>
      <w:r w:rsidR="00021968">
        <w:noBreakHyphen/>
      </w:r>
      <w:r w:rsidRPr="00152124">
        <w:t>year dwelling price growth rates</w:t>
      </w:r>
    </w:p>
    <w:tbl>
      <w:tblPr>
        <w:tblW w:w="5012" w:type="pct"/>
        <w:tblInd w:w="-40" w:type="dxa"/>
        <w:tblLook w:val="01E0" w:firstRow="1" w:lastRow="1" w:firstColumn="1" w:lastColumn="1" w:noHBand="0" w:noVBand="0"/>
      </w:tblPr>
      <w:tblGrid>
        <w:gridCol w:w="4652"/>
        <w:gridCol w:w="4656"/>
      </w:tblGrid>
      <w:tr w:rsidR="00A5345D" w14:paraId="5B537021" w14:textId="77777777" w:rsidTr="00EB7B9E">
        <w:trPr>
          <w:cantSplit/>
          <w:trHeight w:val="4531"/>
        </w:trPr>
        <w:tc>
          <w:tcPr>
            <w:tcW w:w="2499" w:type="pct"/>
          </w:tcPr>
          <w:p w14:paraId="1F121AEF" w14:textId="71A23BBF" w:rsidR="00A5345D" w:rsidRDefault="00A5345D" w:rsidP="00EB7B9E">
            <w:pPr>
              <w:pStyle w:val="ChartGraphic"/>
            </w:pPr>
            <w:r>
              <w:br w:type="page"/>
            </w:r>
            <w:r w:rsidR="00302A39">
              <w:pict w14:anchorId="5A8D166D">
                <v:shape id="_x0000_i1057" type="#_x0000_t75" style="width:221.25pt;height:227.25pt">
                  <v:imagedata r:id="rId87" o:title="" cropleft="1225f" cropright="613f"/>
                </v:shape>
              </w:pict>
            </w:r>
          </w:p>
        </w:tc>
        <w:tc>
          <w:tcPr>
            <w:tcW w:w="2501" w:type="pct"/>
          </w:tcPr>
          <w:p w14:paraId="14A00E5B" w14:textId="6BD9669F" w:rsidR="00A5345D" w:rsidRDefault="00302A39" w:rsidP="00EB7B9E">
            <w:pPr>
              <w:pStyle w:val="ChartGraphic"/>
              <w:ind w:right="-145"/>
            </w:pPr>
            <w:r>
              <w:pict w14:anchorId="33AC161F">
                <v:shape id="_x0000_i1058" type="#_x0000_t75" style="width:222.75pt;height:225pt">
                  <v:imagedata r:id="rId88" o:title="" cropleft="1229f"/>
                </v:shape>
              </w:pict>
            </w:r>
          </w:p>
        </w:tc>
      </w:tr>
    </w:tbl>
    <w:p w14:paraId="2B018F3C" w14:textId="77777777" w:rsidR="00EB7B9E" w:rsidRPr="00A36CBF" w:rsidRDefault="00A5345D" w:rsidP="00A36CBF">
      <w:pPr>
        <w:pStyle w:val="ChartorTableNote"/>
        <w:rPr>
          <w:rFonts w:eastAsia="Calibri"/>
        </w:rPr>
      </w:pPr>
      <w:r w:rsidRPr="00EB7B9E">
        <w:rPr>
          <w:rFonts w:eastAsia="Calibri"/>
        </w:rPr>
        <w:t xml:space="preserve">Source: </w:t>
      </w:r>
      <w:r w:rsidR="000502F3">
        <w:rPr>
          <w:rFonts w:eastAsia="Calibri"/>
        </w:rPr>
        <w:t xml:space="preserve">Unpublished </w:t>
      </w:r>
      <w:proofErr w:type="spellStart"/>
      <w:r w:rsidRPr="00EB7B9E">
        <w:rPr>
          <w:rFonts w:eastAsia="Calibri"/>
        </w:rPr>
        <w:t>Core</w:t>
      </w:r>
      <w:r w:rsidR="004348BE" w:rsidRPr="00EB7B9E">
        <w:rPr>
          <w:rFonts w:eastAsia="Calibri"/>
        </w:rPr>
        <w:t>L</w:t>
      </w:r>
      <w:r w:rsidRPr="00EB7B9E">
        <w:rPr>
          <w:rFonts w:eastAsia="Calibri"/>
        </w:rPr>
        <w:t>ogic</w:t>
      </w:r>
      <w:proofErr w:type="spellEnd"/>
      <w:r w:rsidR="0020435F" w:rsidRPr="00EB7B9E">
        <w:rPr>
          <w:rFonts w:eastAsia="Calibri"/>
        </w:rPr>
        <w:t xml:space="preserve"> </w:t>
      </w:r>
      <w:r w:rsidR="0026283D" w:rsidRPr="00EB7B9E">
        <w:t>2017 data</w:t>
      </w:r>
      <w:r w:rsidR="0020435F" w:rsidRPr="00EB7B9E">
        <w:rPr>
          <w:rFonts w:eastAsia="Calibri"/>
        </w:rPr>
        <w:t>.</w:t>
      </w:r>
    </w:p>
    <w:p w14:paraId="75E0C430" w14:textId="77777777" w:rsidR="001C38CB" w:rsidRDefault="001C38CB" w:rsidP="00EB7B9E">
      <w:r w:rsidRPr="00DC385A">
        <w:t xml:space="preserve">Just like </w:t>
      </w:r>
      <w:r>
        <w:t>the prices of</w:t>
      </w:r>
      <w:r w:rsidRPr="00DC385A">
        <w:t xml:space="preserve"> other assets, </w:t>
      </w:r>
      <w:r>
        <w:t>dwelling</w:t>
      </w:r>
      <w:r w:rsidRPr="00DC385A">
        <w:t xml:space="preserve"> prices </w:t>
      </w:r>
      <w:r>
        <w:t>adjust</w:t>
      </w:r>
      <w:r w:rsidRPr="00DC385A">
        <w:t xml:space="preserve"> to balance supply and demand, increasing when demand exceeds supply and decreasing when supply exceeds demand</w:t>
      </w:r>
      <w:r>
        <w:t>, though short</w:t>
      </w:r>
      <w:r>
        <w:noBreakHyphen/>
        <w:t>run supply is not always immediately responsive to increasing prices</w:t>
      </w:r>
      <w:r w:rsidRPr="00DC385A">
        <w:t xml:space="preserve">. </w:t>
      </w:r>
      <w:r w:rsidR="00FA0651">
        <w:t>I</w:t>
      </w:r>
      <w:r w:rsidR="00222512">
        <w:t>ncreases in dwelling prices</w:t>
      </w:r>
      <w:r w:rsidR="00FA0651">
        <w:t xml:space="preserve"> over an extended period</w:t>
      </w:r>
      <w:r w:rsidR="00222512">
        <w:t>, such as have occurred in Sydney and Melbourne</w:t>
      </w:r>
      <w:r w:rsidR="00F325A4">
        <w:t xml:space="preserve"> </w:t>
      </w:r>
      <w:r w:rsidR="00EF2DDF">
        <w:t xml:space="preserve">between 2012 and </w:t>
      </w:r>
      <w:proofErr w:type="gramStart"/>
      <w:r w:rsidR="00EF2DDF">
        <w:t>2017</w:t>
      </w:r>
      <w:r w:rsidR="00222512">
        <w:t>,</w:t>
      </w:r>
      <w:proofErr w:type="gramEnd"/>
      <w:r w:rsidR="00222512">
        <w:t xml:space="preserve"> may </w:t>
      </w:r>
      <w:r w:rsidRPr="00DC385A">
        <w:t xml:space="preserve">suggest that demand </w:t>
      </w:r>
      <w:r>
        <w:t>has</w:t>
      </w:r>
      <w:r w:rsidRPr="00DC385A">
        <w:t xml:space="preserve"> outstripped</w:t>
      </w:r>
      <w:r w:rsidR="00BD5F3B">
        <w:t xml:space="preserve"> supply</w:t>
      </w:r>
      <w:r w:rsidRPr="00DC385A">
        <w:t xml:space="preserve"> </w:t>
      </w:r>
      <w:r w:rsidR="00222512">
        <w:t>in areas where this has occurred</w:t>
      </w:r>
      <w:r w:rsidRPr="00DC385A">
        <w:t>.</w:t>
      </w:r>
    </w:p>
    <w:p w14:paraId="4AD36C02" w14:textId="77777777" w:rsidR="004D189B" w:rsidRDefault="004D189B" w:rsidP="00EB7B9E">
      <w:r w:rsidRPr="00DC385A">
        <w:t xml:space="preserve">Kohler and Van der Merwe (2015) </w:t>
      </w:r>
      <w:r>
        <w:t>attribute the demand increases to high </w:t>
      </w:r>
      <w:r w:rsidRPr="00DC385A">
        <w:t xml:space="preserve">population growth, falling household sizes, the low interest rate environment, tax concessions for housing wealth, and </w:t>
      </w:r>
      <w:r>
        <w:t>increased access to credit</w:t>
      </w:r>
      <w:r w:rsidRPr="00DC385A">
        <w:t xml:space="preserve">. </w:t>
      </w:r>
      <w:r>
        <w:t>T</w:t>
      </w:r>
      <w:r w:rsidRPr="00DC385A">
        <w:t>hey argue that there are lags in the ability of supply to respond to demand increases due to geographical constraints, the time needed for construction, and rigidities in planning and zoning policies.</w:t>
      </w:r>
    </w:p>
    <w:p w14:paraId="2BE36B42" w14:textId="77777777" w:rsidR="004D189B" w:rsidRDefault="004D189B" w:rsidP="00631304">
      <w:r w:rsidRPr="00DC385A">
        <w:t xml:space="preserve">Kohler and Van der Merwe point to population growth as being the </w:t>
      </w:r>
      <w:r>
        <w:t>main factor</w:t>
      </w:r>
      <w:r w:rsidRPr="00DC385A">
        <w:t xml:space="preserve"> </w:t>
      </w:r>
      <w:r w:rsidR="00000B53">
        <w:t>driving housing demand and price growth since the mid</w:t>
      </w:r>
      <w:r w:rsidR="00000B53">
        <w:noBreakHyphen/>
        <w:t xml:space="preserve">2000s, </w:t>
      </w:r>
      <w:r w:rsidRPr="00DC385A">
        <w:t xml:space="preserve">since both natural increase and immigration increased more strongly over the </w:t>
      </w:r>
      <w:r w:rsidR="00726F78">
        <w:t>current</w:t>
      </w:r>
      <w:r w:rsidR="00726F78" w:rsidRPr="00DC385A">
        <w:t xml:space="preserve"> </w:t>
      </w:r>
      <w:r w:rsidRPr="00DC385A">
        <w:t xml:space="preserve">decade </w:t>
      </w:r>
      <w:r w:rsidR="00726F78">
        <w:t>compared to</w:t>
      </w:r>
      <w:r w:rsidR="00726F78" w:rsidRPr="00DC385A">
        <w:t xml:space="preserve"> </w:t>
      </w:r>
      <w:r w:rsidRPr="00DC385A">
        <w:t xml:space="preserve">the previous decade. </w:t>
      </w:r>
      <w:r w:rsidR="00726F78">
        <w:t xml:space="preserve">In contrast, </w:t>
      </w:r>
      <w:proofErr w:type="spellStart"/>
      <w:r w:rsidR="00726F78">
        <w:t>Stapledon</w:t>
      </w:r>
      <w:proofErr w:type="spellEnd"/>
      <w:r w:rsidR="00726F78">
        <w:t> (2016) found</w:t>
      </w:r>
      <w:r w:rsidR="00000B53" w:rsidRPr="00000B53">
        <w:t xml:space="preserve"> that low interest rates and financial deregulation were the key drivers of house prices in the period 1991 to 2016.</w:t>
      </w:r>
    </w:p>
    <w:p w14:paraId="4E969758" w14:textId="77777777" w:rsidR="004D189B" w:rsidRDefault="004D189B" w:rsidP="00631304">
      <w:r w:rsidRPr="00A87BB0">
        <w:t>ABS data s</w:t>
      </w:r>
      <w:r w:rsidR="00973CD7">
        <w:t xml:space="preserve">uggests that </w:t>
      </w:r>
      <w:r w:rsidRPr="00A87BB0">
        <w:t>Australia</w:t>
      </w:r>
      <w:r w:rsidR="00021968">
        <w:t>’</w:t>
      </w:r>
      <w:r w:rsidRPr="00A87BB0">
        <w:t>s population growth, adjusted for dwelling size, underwent a step increase in the mid</w:t>
      </w:r>
      <w:r w:rsidR="00021968">
        <w:noBreakHyphen/>
      </w:r>
      <w:r w:rsidRPr="00A87BB0">
        <w:t xml:space="preserve">2000s and has continued growing at this higher </w:t>
      </w:r>
      <w:r w:rsidR="00222512">
        <w:t>rate</w:t>
      </w:r>
      <w:r w:rsidR="0019221E">
        <w:t xml:space="preserve"> (ABS </w:t>
      </w:r>
      <w:r w:rsidR="00954C1A">
        <w:t>201</w:t>
      </w:r>
      <w:r w:rsidR="00A27F64">
        <w:t>7</w:t>
      </w:r>
      <w:r w:rsidR="00954C1A">
        <w:t>a</w:t>
      </w:r>
      <w:r w:rsidR="0019221E">
        <w:t>)</w:t>
      </w:r>
      <w:r w:rsidRPr="00A87BB0">
        <w:t xml:space="preserve">. However, as discussed in </w:t>
      </w:r>
      <w:r w:rsidR="00BE3294">
        <w:t>S</w:t>
      </w:r>
      <w:r w:rsidRPr="00A87BB0">
        <w:t xml:space="preserve">ection </w:t>
      </w:r>
      <w:r w:rsidR="00BE3294" w:rsidRPr="00A17215">
        <w:t>1</w:t>
      </w:r>
      <w:r w:rsidRPr="00BE3294">
        <w:t>,</w:t>
      </w:r>
      <w:r w:rsidRPr="00A87BB0">
        <w:t xml:space="preserve"> the ste</w:t>
      </w:r>
      <w:r>
        <w:t>p increase in growth in the mid</w:t>
      </w:r>
      <w:r w:rsidR="00021968">
        <w:noBreakHyphen/>
      </w:r>
      <w:r w:rsidRPr="00A87BB0">
        <w:t xml:space="preserve">2000s </w:t>
      </w:r>
      <w:r w:rsidRPr="00BE3294">
        <w:t xml:space="preserve">is </w:t>
      </w:r>
      <w:r w:rsidR="00973CD7">
        <w:t>potentially</w:t>
      </w:r>
      <w:r w:rsidR="00AA065E">
        <w:t xml:space="preserve"> overstated</w:t>
      </w:r>
      <w:r w:rsidRPr="00A17215">
        <w:t xml:space="preserve"> due to the change in the definition of NOM</w:t>
      </w:r>
      <w:r w:rsidRPr="00BE3294">
        <w:t>.</w:t>
      </w:r>
      <w:r>
        <w:t xml:space="preserve"> Nevertheless, even after accounting for the definitional change there was a small step increase in population growth </w:t>
      </w:r>
      <w:r w:rsidR="00BF1BF5">
        <w:t xml:space="preserve">in </w:t>
      </w:r>
      <w:r>
        <w:t>the mid</w:t>
      </w:r>
      <w:r w:rsidR="00021968">
        <w:noBreakHyphen/>
      </w:r>
      <w:r>
        <w:t>2000s</w:t>
      </w:r>
      <w:r w:rsidR="00222512">
        <w:t>.</w:t>
      </w:r>
    </w:p>
    <w:p w14:paraId="0238F90B" w14:textId="77777777" w:rsidR="00222512" w:rsidRPr="00DC385A" w:rsidRDefault="00222512" w:rsidP="00631304">
      <w:r>
        <w:t>This population increase occurred in parallel to a period of subdued residential construction activity. This led to a state of pent</w:t>
      </w:r>
      <w:r>
        <w:noBreakHyphen/>
        <w:t>up demand on average across the national housing market, as the ratio of dwelling completions to population changes fell to record lows (Figure 31).</w:t>
      </w:r>
    </w:p>
    <w:p w14:paraId="5EB6C7F4" w14:textId="77777777" w:rsidR="004D189B" w:rsidRDefault="004D189B" w:rsidP="000B438C">
      <w:pPr>
        <w:pStyle w:val="ChartMainHeading"/>
        <w:rPr>
          <w:noProof/>
        </w:rPr>
      </w:pPr>
      <w:bookmarkStart w:id="117" w:name="_Ref491429252"/>
      <w:r w:rsidRPr="00E81F79">
        <w:rPr>
          <w:noProof/>
        </w:rPr>
        <w:lastRenderedPageBreak/>
        <w:t>Figure</w:t>
      </w:r>
      <w:bookmarkEnd w:id="117"/>
      <w:r w:rsidR="00554687">
        <w:rPr>
          <w:noProof/>
        </w:rPr>
        <w:t xml:space="preserve"> 3</w:t>
      </w:r>
      <w:r w:rsidR="00921CB6">
        <w:rPr>
          <w:noProof/>
        </w:rPr>
        <w:t>1</w:t>
      </w:r>
      <w:r>
        <w:rPr>
          <w:noProof/>
        </w:rPr>
        <w:t xml:space="preserve">: </w:t>
      </w:r>
      <w:r w:rsidR="00922D7A">
        <w:rPr>
          <w:noProof/>
        </w:rPr>
        <w:t>Ratio of d</w:t>
      </w:r>
      <w:r w:rsidRPr="00E81F79">
        <w:rPr>
          <w:noProof/>
        </w:rPr>
        <w:t>welling completions</w:t>
      </w:r>
      <w:r w:rsidR="00922D7A">
        <w:rPr>
          <w:noProof/>
        </w:rPr>
        <w:t xml:space="preserve"> to population change</w:t>
      </w:r>
      <w:r w:rsidR="00232B5C">
        <w:rPr>
          <w:noProof/>
        </w:rPr>
        <w:t>, Australia</w:t>
      </w:r>
    </w:p>
    <w:p w14:paraId="2521B4E2" w14:textId="77777777" w:rsidR="00222512" w:rsidRPr="006B0D69" w:rsidRDefault="00222512" w:rsidP="005F3E79">
      <w:pPr>
        <w:pStyle w:val="ChartGraphic"/>
      </w:pPr>
      <w:r>
        <w:rPr>
          <w:noProof/>
        </w:rPr>
        <w:drawing>
          <wp:inline distT="0" distB="0" distL="0" distR="0" wp14:anchorId="643DD935" wp14:editId="33C2B719">
            <wp:extent cx="5580000" cy="2880000"/>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9251965" w14:textId="77777777" w:rsidR="00222512" w:rsidRPr="00222512" w:rsidRDefault="00222512" w:rsidP="00EB7B9E">
      <w:pPr>
        <w:pStyle w:val="ChartorTableNote"/>
      </w:pPr>
      <w:r>
        <w:t xml:space="preserve">Note: </w:t>
      </w:r>
      <w:r w:rsidRPr="00222512">
        <w:t>The ratio is of completions to population change, both calculate</w:t>
      </w:r>
      <w:r w:rsidR="00C56A92">
        <w:t>d as 6 quarter moving averages.</w:t>
      </w:r>
      <w:r w:rsidR="00C56A92">
        <w:br/>
      </w:r>
      <w:r w:rsidRPr="00222512">
        <w:t>The 100 mark is the long-term average of the ratio. Readings above (below) 100 indicate periods of relatively higher (lower) residential building activity compared to population growth.</w:t>
      </w:r>
    </w:p>
    <w:p w14:paraId="3F4C029F" w14:textId="77777777" w:rsidR="00EB7B9E" w:rsidRDefault="00222512" w:rsidP="00A36CBF">
      <w:pPr>
        <w:pStyle w:val="ChartorTableNote"/>
      </w:pPr>
      <w:r w:rsidRPr="00222512">
        <w:t>Source: ABS</w:t>
      </w:r>
      <w:r>
        <w:t xml:space="preserve"> </w:t>
      </w:r>
      <w:r w:rsidR="00954C1A">
        <w:t>201</w:t>
      </w:r>
      <w:r w:rsidR="00A27F64">
        <w:t>7</w:t>
      </w:r>
      <w:r w:rsidR="00954C1A">
        <w:t>a</w:t>
      </w:r>
      <w:r>
        <w:t xml:space="preserve"> </w:t>
      </w:r>
      <w:r w:rsidR="00954C1A">
        <w:t>&amp;</w:t>
      </w:r>
      <w:r>
        <w:t xml:space="preserve"> </w:t>
      </w:r>
      <w:r w:rsidR="00954C1A">
        <w:t>ABS 2017</w:t>
      </w:r>
      <w:r w:rsidR="00A27F64">
        <w:t>l</w:t>
      </w:r>
      <w:r w:rsidR="00954C1A">
        <w:t>,</w:t>
      </w:r>
      <w:r>
        <w:t xml:space="preserve"> </w:t>
      </w:r>
      <w:r w:rsidR="00665A80">
        <w:t>authors’</w:t>
      </w:r>
      <w:r>
        <w:t xml:space="preserve"> calculations.</w:t>
      </w:r>
    </w:p>
    <w:p w14:paraId="620D59D0" w14:textId="77777777" w:rsidR="009C6568" w:rsidRDefault="00EF2DDF" w:rsidP="00EB7B9E">
      <w:r>
        <w:t>In NSW and Victoria, population growth has been strong relative to growth in dwelling supply, and</w:t>
      </w:r>
      <w:r w:rsidR="00222512" w:rsidRPr="00222512">
        <w:t xml:space="preserve"> the ratio of completions to changes in population has been below long-term</w:t>
      </w:r>
      <w:r w:rsidR="00222512">
        <w:t xml:space="preserve"> average</w:t>
      </w:r>
      <w:r w:rsidR="0010001D">
        <w:t>s</w:t>
      </w:r>
      <w:r w:rsidR="00222512">
        <w:t xml:space="preserve"> (Figure 32</w:t>
      </w:r>
      <w:r w:rsidR="00222512" w:rsidRPr="00222512">
        <w:t xml:space="preserve">). </w:t>
      </w:r>
      <w:r w:rsidR="00B46873">
        <w:t>Over the past decade</w:t>
      </w:r>
      <w:r w:rsidR="00222512">
        <w:t xml:space="preserve">, </w:t>
      </w:r>
      <w:r w:rsidR="004D189B">
        <w:t>population growth has risen more strongly in V</w:t>
      </w:r>
      <w:r w:rsidR="00BF1BF5">
        <w:t>ictoria</w:t>
      </w:r>
      <w:r w:rsidR="004D189B">
        <w:t xml:space="preserve"> than NSW but has been better matched by supply increases. The </w:t>
      </w:r>
      <w:r w:rsidR="004D189B" w:rsidRPr="004D189B">
        <w:t>rate</w:t>
      </w:r>
      <w:r w:rsidR="004D189B">
        <w:t xml:space="preserve"> of </w:t>
      </w:r>
      <w:r w:rsidR="00973CD7">
        <w:t xml:space="preserve">population </w:t>
      </w:r>
      <w:r w:rsidR="004D189B">
        <w:t>growth in V</w:t>
      </w:r>
      <w:r w:rsidR="00BF1BF5">
        <w:t>ictoria</w:t>
      </w:r>
      <w:r w:rsidR="004D189B">
        <w:t xml:space="preserve"> has more than tripled over the period </w:t>
      </w:r>
      <w:r w:rsidR="00BF1BF5">
        <w:t xml:space="preserve">since </w:t>
      </w:r>
      <w:r w:rsidR="004D189B">
        <w:t>1982</w:t>
      </w:r>
      <w:r w:rsidR="006E6CAA">
        <w:t>, while the rate of population growth has doubled in NSW</w:t>
      </w:r>
      <w:r w:rsidR="004D189B">
        <w:t xml:space="preserve">. </w:t>
      </w:r>
      <w:r w:rsidR="006E6CAA">
        <w:t>Further</w:t>
      </w:r>
      <w:r w:rsidR="004D189B">
        <w:t xml:space="preserve">, most States experienced a drop in building activity leading into the </w:t>
      </w:r>
      <w:r w:rsidR="00BF1BF5">
        <w:t>G</w:t>
      </w:r>
      <w:r w:rsidR="004D189B">
        <w:t xml:space="preserve">lobal </w:t>
      </w:r>
      <w:r w:rsidR="00BF1BF5">
        <w:t>F</w:t>
      </w:r>
      <w:r w:rsidR="004D189B">
        <w:t xml:space="preserve">inancial </w:t>
      </w:r>
      <w:r w:rsidR="00BF1BF5">
        <w:t>C</w:t>
      </w:r>
      <w:r w:rsidR="004D189B">
        <w:t>risis but the drop in NSW was more pronounced compared to trend than the drops in other States. This soft building market in NSW in the mid</w:t>
      </w:r>
      <w:r w:rsidR="00021968">
        <w:noBreakHyphen/>
      </w:r>
      <w:r w:rsidR="004D189B">
        <w:t>2000s and the lagging supply response could explain why Sydney house prices have increased so markedly in recent times com</w:t>
      </w:r>
      <w:r w:rsidR="000A07A2">
        <w:t>pared to the rest of Australia.</w:t>
      </w:r>
    </w:p>
    <w:p w14:paraId="353B686A" w14:textId="77777777" w:rsidR="009C6568" w:rsidRDefault="0010001D" w:rsidP="0010001D">
      <w:r>
        <w:t>C</w:t>
      </w:r>
      <w:r w:rsidR="009C6568">
        <w:t xml:space="preserve">ommencements in NSW and Victoria have increased </w:t>
      </w:r>
      <w:r>
        <w:t>strongly</w:t>
      </w:r>
      <w:r w:rsidR="009C6568">
        <w:t xml:space="preserve"> </w:t>
      </w:r>
      <w:r w:rsidR="00EF2DDF">
        <w:t>over</w:t>
      </w:r>
      <w:r w:rsidR="009C6568">
        <w:t xml:space="preserve"> recent years. In NSW, various studies have pointed to geographical constraints limiting supply in Sydney. However, the large increase in dwelling commencements in the last four years indicates that these are not insurmountable and that population growth can be accommodated, albeit with some lags. Nevertheless, supply lags </w:t>
      </w:r>
      <w:r w:rsidR="00EF2DDF">
        <w:t>can</w:t>
      </w:r>
      <w:r w:rsidR="009C6568">
        <w:t xml:space="preserve"> push up prices</w:t>
      </w:r>
      <w:r w:rsidR="00BD5F3B">
        <w:t>,</w:t>
      </w:r>
      <w:r w:rsidR="009C6568">
        <w:t xml:space="preserve"> and </w:t>
      </w:r>
      <w:r>
        <w:t>it may take time before supply increases make up for low completions in previous</w:t>
      </w:r>
      <w:r w:rsidR="00F17B86">
        <w:t> </w:t>
      </w:r>
      <w:r>
        <w:t>years</w:t>
      </w:r>
      <w:r w:rsidR="009C6568">
        <w:t>.</w:t>
      </w:r>
    </w:p>
    <w:p w14:paraId="43217AE8" w14:textId="77777777" w:rsidR="009C6568" w:rsidRDefault="009C6568" w:rsidP="009C6568">
      <w:r>
        <w:t xml:space="preserve">Elsewhere in the country, dwelling completions have outpaced population growth in Queensland and WA since late 2014. Both Queensland and WA, in </w:t>
      </w:r>
      <w:r w:rsidRPr="006E6CAA">
        <w:t>contrast to NSW and Victoria, are above their long</w:t>
      </w:r>
      <w:r w:rsidR="00EF2DDF">
        <w:noBreakHyphen/>
      </w:r>
      <w:r w:rsidRPr="006E6CAA">
        <w:t>term co</w:t>
      </w:r>
      <w:r>
        <w:t xml:space="preserve">mpletion to population ratios. </w:t>
      </w:r>
      <w:r w:rsidRPr="006E6CAA">
        <w:t>This reflects strong building activity in both States but slowing population increases as the mining boom inflows to these States reverse.</w:t>
      </w:r>
      <w:r w:rsidRPr="004B4BB4">
        <w:t xml:space="preserve"> </w:t>
      </w:r>
      <w:r w:rsidRPr="006E6CAA">
        <w:t>These different regional patterns perhaps explain why dwelling prices have diverged over recent years, with strong price growth in Sydney and Melbourne, relatively modest price growth in Queensland, and price declines in Perth since around 2014.</w:t>
      </w:r>
    </w:p>
    <w:p w14:paraId="7674EC4C" w14:textId="77777777" w:rsidR="00C56A92" w:rsidRDefault="00C56A92" w:rsidP="00C56A92">
      <w:pPr>
        <w:pStyle w:val="ChartMainHeading"/>
      </w:pPr>
      <w:r w:rsidRPr="00E81F79">
        <w:rPr>
          <w:noProof/>
        </w:rPr>
        <w:lastRenderedPageBreak/>
        <w:t>Figure</w:t>
      </w:r>
      <w:r>
        <w:rPr>
          <w:noProof/>
        </w:rPr>
        <w:t xml:space="preserve"> 32: Ratios of dwelling completions to population change</w:t>
      </w:r>
      <w:r w:rsidRPr="00E81F79">
        <w:rPr>
          <w:noProof/>
        </w:rPr>
        <w:t xml:space="preserve"> by State</w:t>
      </w:r>
    </w:p>
    <w:tbl>
      <w:tblPr>
        <w:tblStyle w:val="TableGrid"/>
        <w:tblW w:w="0" w:type="auto"/>
        <w:jc w:val="center"/>
        <w:shd w:val="clear" w:color="auto" w:fill="F2F2F2" w:themeFill="background1" w:themeFillShade="F2"/>
        <w:tblLook w:val="04A0" w:firstRow="1" w:lastRow="0" w:firstColumn="1" w:lastColumn="0" w:noHBand="0" w:noVBand="1"/>
      </w:tblPr>
      <w:tblGrid>
        <w:gridCol w:w="4621"/>
        <w:gridCol w:w="4626"/>
      </w:tblGrid>
      <w:tr w:rsidR="00C56A92" w:rsidRPr="00644B97" w14:paraId="376A09D0" w14:textId="77777777" w:rsidTr="00C56A92">
        <w:trPr>
          <w:jc w:val="center"/>
        </w:trPr>
        <w:tc>
          <w:tcPr>
            <w:tcW w:w="4621" w:type="dxa"/>
            <w:shd w:val="clear" w:color="auto" w:fill="F2F2F2" w:themeFill="background1" w:themeFillShade="F2"/>
          </w:tcPr>
          <w:p w14:paraId="7E9A0D87" w14:textId="77777777" w:rsidR="00C56A92" w:rsidRPr="00644B97" w:rsidRDefault="00C56A92" w:rsidP="00C56A92">
            <w:pPr>
              <w:pStyle w:val="TableGraphic"/>
              <w:spacing w:before="120" w:after="60"/>
              <w:rPr>
                <w:b/>
              </w:rPr>
            </w:pPr>
            <w:r w:rsidRPr="00644B97">
              <w:rPr>
                <w:noProof/>
              </w:rPr>
              <w:drawing>
                <wp:inline distT="0" distB="0" distL="0" distR="0" wp14:anchorId="4FF702B0" wp14:editId="522EF426">
                  <wp:extent cx="2790030" cy="244127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626" w:type="dxa"/>
            <w:shd w:val="clear" w:color="auto" w:fill="F2F2F2" w:themeFill="background1" w:themeFillShade="F2"/>
          </w:tcPr>
          <w:p w14:paraId="7705DFDD" w14:textId="77777777" w:rsidR="00C56A92" w:rsidRPr="00644B97" w:rsidRDefault="00C56A92" w:rsidP="00C56A92">
            <w:pPr>
              <w:pStyle w:val="TableGraphic"/>
              <w:spacing w:before="120" w:after="60"/>
              <w:rPr>
                <w:b/>
              </w:rPr>
            </w:pPr>
            <w:r w:rsidRPr="00644B97">
              <w:rPr>
                <w:noProof/>
              </w:rPr>
              <w:drawing>
                <wp:inline distT="0" distB="0" distL="0" distR="0" wp14:anchorId="6E594A51" wp14:editId="7284F092">
                  <wp:extent cx="2794959" cy="2443497"/>
                  <wp:effectExtent l="0" t="0" r="571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C56A92" w14:paraId="2783F4DC" w14:textId="77777777" w:rsidTr="00C56A92">
        <w:trPr>
          <w:trHeight w:val="3516"/>
          <w:jc w:val="center"/>
        </w:trPr>
        <w:tc>
          <w:tcPr>
            <w:tcW w:w="4621" w:type="dxa"/>
            <w:shd w:val="clear" w:color="auto" w:fill="F2F2F2" w:themeFill="background1" w:themeFillShade="F2"/>
          </w:tcPr>
          <w:p w14:paraId="7A073305" w14:textId="77777777" w:rsidR="00C56A92" w:rsidRDefault="00C56A92" w:rsidP="00C56A92">
            <w:pPr>
              <w:pStyle w:val="TableGraphic"/>
              <w:spacing w:before="60" w:after="120"/>
              <w:rPr>
                <w:b/>
              </w:rPr>
            </w:pPr>
            <w:r>
              <w:rPr>
                <w:noProof/>
              </w:rPr>
              <w:drawing>
                <wp:inline distT="0" distB="0" distL="0" distR="0" wp14:anchorId="710E077F" wp14:editId="42429A15">
                  <wp:extent cx="2786332" cy="2435954"/>
                  <wp:effectExtent l="0" t="0" r="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626" w:type="dxa"/>
            <w:shd w:val="clear" w:color="auto" w:fill="F2F2F2" w:themeFill="background1" w:themeFillShade="F2"/>
          </w:tcPr>
          <w:p w14:paraId="013D4B72" w14:textId="77777777" w:rsidR="00C56A92" w:rsidRDefault="00C56A92" w:rsidP="00C56A92">
            <w:pPr>
              <w:pStyle w:val="TableGraphic"/>
              <w:spacing w:before="60" w:after="120"/>
              <w:rPr>
                <w:b/>
              </w:rPr>
            </w:pPr>
            <w:r>
              <w:rPr>
                <w:noProof/>
              </w:rPr>
              <w:drawing>
                <wp:inline distT="0" distB="0" distL="0" distR="0" wp14:anchorId="101DF6B7" wp14:editId="688E9136">
                  <wp:extent cx="2794959" cy="2443497"/>
                  <wp:effectExtent l="0" t="0" r="571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14:paraId="0C55685A" w14:textId="77777777" w:rsidR="00653140" w:rsidRPr="00C56A92" w:rsidRDefault="00653140" w:rsidP="00C56A92">
      <w:pPr>
        <w:pStyle w:val="ChartorTableNote"/>
      </w:pPr>
      <w:r w:rsidRPr="00C56A92">
        <w:t>Note: The ratio is of completions to population change, both calculate</w:t>
      </w:r>
      <w:r w:rsidR="00AF0916">
        <w:t>d as 6 quarter moving averages.</w:t>
      </w:r>
      <w:r w:rsidR="00AF0916">
        <w:br/>
      </w:r>
      <w:r w:rsidRPr="00C56A92">
        <w:t>The 100 mark is the long-term average of the ratio. Readings above (below) 100 indicate periods of relatively higher (lower) residential building activity compared to population growth.</w:t>
      </w:r>
    </w:p>
    <w:p w14:paraId="43910E2A" w14:textId="77777777" w:rsidR="00F17B86" w:rsidRDefault="00665A80" w:rsidP="00A36CBF">
      <w:pPr>
        <w:pStyle w:val="ChartorTableNote"/>
      </w:pPr>
      <w:r w:rsidRPr="00C56A92">
        <w:t xml:space="preserve">Source: </w:t>
      </w:r>
      <w:r w:rsidR="00CE1DFD" w:rsidRPr="00C56A92">
        <w:t>ABS 201</w:t>
      </w:r>
      <w:r w:rsidR="00A27F64" w:rsidRPr="00C56A92">
        <w:t>7</w:t>
      </w:r>
      <w:r w:rsidR="00CE1DFD" w:rsidRPr="00C56A92">
        <w:t>a &amp; ABS 2017</w:t>
      </w:r>
      <w:r w:rsidR="00A27F64" w:rsidRPr="00C56A92">
        <w:t>l</w:t>
      </w:r>
      <w:r w:rsidR="00CE1DFD" w:rsidRPr="00C56A92">
        <w:t>,</w:t>
      </w:r>
      <w:r w:rsidR="00A36CBF">
        <w:t xml:space="preserve"> authors’ calculations.</w:t>
      </w:r>
    </w:p>
    <w:p w14:paraId="2ED92BB3" w14:textId="77777777" w:rsidR="008415B8" w:rsidRDefault="004B4BB4" w:rsidP="00F17B86">
      <w:r w:rsidRPr="004B4BB4">
        <w:t>Th</w:t>
      </w:r>
      <w:r w:rsidR="006E6CAA">
        <w:t>e</w:t>
      </w:r>
      <w:r w:rsidRPr="004B4BB4">
        <w:t xml:space="preserve"> divergence between States </w:t>
      </w:r>
      <w:r w:rsidR="0010001D">
        <w:t>highlights</w:t>
      </w:r>
      <w:r w:rsidRPr="004B4BB4">
        <w:t xml:space="preserve"> </w:t>
      </w:r>
      <w:r w:rsidR="0010001D">
        <w:t>the</w:t>
      </w:r>
      <w:r w:rsidR="0010001D" w:rsidRPr="004B4BB4">
        <w:t xml:space="preserve"> </w:t>
      </w:r>
      <w:r w:rsidRPr="004B4BB4">
        <w:t>heterogeneous</w:t>
      </w:r>
      <w:r w:rsidR="0010001D">
        <w:t xml:space="preserve"> nature of</w:t>
      </w:r>
      <w:r w:rsidRPr="004B4BB4">
        <w:t xml:space="preserve"> the housing market</w:t>
      </w:r>
      <w:r w:rsidR="0010001D">
        <w:t>, where</w:t>
      </w:r>
      <w:r w:rsidR="009C6568">
        <w:t xml:space="preserve"> </w:t>
      </w:r>
      <w:r w:rsidRPr="004B4BB4">
        <w:t xml:space="preserve">regional, suburb, </w:t>
      </w:r>
      <w:r w:rsidR="009C6568">
        <w:t>and even</w:t>
      </w:r>
      <w:r w:rsidRPr="004B4BB4">
        <w:t xml:space="preserve"> street trends</w:t>
      </w:r>
      <w:r w:rsidR="009C6568">
        <w:t xml:space="preserve"> affect </w:t>
      </w:r>
      <w:r w:rsidRPr="004B4BB4">
        <w:t>supply and demand</w:t>
      </w:r>
      <w:r w:rsidR="0010001D">
        <w:t>,</w:t>
      </w:r>
      <w:r w:rsidRPr="004B4BB4">
        <w:t xml:space="preserve"> and </w:t>
      </w:r>
      <w:r w:rsidR="009C6568">
        <w:t>hence influence</w:t>
      </w:r>
      <w:r w:rsidRPr="004B4BB4">
        <w:t xml:space="preserve"> price movements.</w:t>
      </w:r>
      <w:r w:rsidR="00AA065E">
        <w:t xml:space="preserve"> </w:t>
      </w:r>
      <w:r w:rsidR="009C6568">
        <w:t>That said</w:t>
      </w:r>
      <w:proofErr w:type="gramStart"/>
      <w:r w:rsidR="009C6568">
        <w:t>,</w:t>
      </w:r>
      <w:proofErr w:type="gramEnd"/>
      <w:r w:rsidR="009C6568">
        <w:t xml:space="preserve"> h</w:t>
      </w:r>
      <w:r w:rsidR="00AA065E">
        <w:t xml:space="preserve">ousing market trends are also reflective of broader economic </w:t>
      </w:r>
      <w:r w:rsidR="0010001D">
        <w:t xml:space="preserve">and financial </w:t>
      </w:r>
      <w:r w:rsidR="00AA065E">
        <w:t>conditions in each State.</w:t>
      </w:r>
    </w:p>
    <w:p w14:paraId="5C6E4A5E" w14:textId="77777777" w:rsidR="008415B8" w:rsidRDefault="004B4BB4" w:rsidP="00F17B86">
      <w:r w:rsidRPr="004B4BB4">
        <w:t>Another factor influencing demand and supply is</w:t>
      </w:r>
      <w:r w:rsidR="00554687">
        <w:t xml:space="preserve"> the housing mix (Figure 3</w:t>
      </w:r>
      <w:r w:rsidR="009C6568">
        <w:t>3</w:t>
      </w:r>
      <w:r w:rsidRPr="004B4BB4">
        <w:t>). As at 2016, 71</w:t>
      </w:r>
      <w:r w:rsidR="00BF1BF5">
        <w:t> </w:t>
      </w:r>
      <w:r w:rsidRPr="004B4BB4">
        <w:t>per</w:t>
      </w:r>
      <w:r w:rsidR="00BF1BF5">
        <w:t> </w:t>
      </w:r>
      <w:r w:rsidRPr="004B4BB4">
        <w:t xml:space="preserve">cent of people lived in detached houses, but only 64 per cent of dwelling completions were for such houses. </w:t>
      </w:r>
      <w:r w:rsidR="009C6568">
        <w:t xml:space="preserve">Reflecting the pattern of the last two decades, </w:t>
      </w:r>
      <w:r w:rsidRPr="004B4BB4">
        <w:t>in NSW</w:t>
      </w:r>
      <w:r w:rsidR="009C6568">
        <w:t xml:space="preserve">, the difference is more </w:t>
      </w:r>
      <w:r w:rsidRPr="004B4BB4">
        <w:t>pronounced</w:t>
      </w:r>
      <w:r w:rsidR="009C6568">
        <w:t>.</w:t>
      </w:r>
      <w:r w:rsidRPr="004B4BB4">
        <w:t xml:space="preserve"> 65 per cent of the </w:t>
      </w:r>
      <w:r w:rsidR="009C6568">
        <w:t xml:space="preserve">NSW </w:t>
      </w:r>
      <w:r w:rsidRPr="004B4BB4">
        <w:t xml:space="preserve">population </w:t>
      </w:r>
      <w:r w:rsidR="009C6568">
        <w:t xml:space="preserve">is </w:t>
      </w:r>
      <w:r w:rsidRPr="004B4BB4">
        <w:t>currently living in detached houses but only 43 per cent of new</w:t>
      </w:r>
      <w:r w:rsidR="00F17B86">
        <w:t> </w:t>
      </w:r>
      <w:r w:rsidRPr="004B4BB4">
        <w:t>dwelling complet</w:t>
      </w:r>
      <w:r w:rsidR="00BF1BF5">
        <w:t>ions</w:t>
      </w:r>
      <w:r w:rsidRPr="004B4BB4">
        <w:t xml:space="preserve"> </w:t>
      </w:r>
      <w:r w:rsidR="009C6568">
        <w:t>are</w:t>
      </w:r>
      <w:r w:rsidRPr="004B4BB4">
        <w:t xml:space="preserve"> for </w:t>
      </w:r>
      <w:r w:rsidR="00936BD2">
        <w:t xml:space="preserve">such </w:t>
      </w:r>
      <w:r w:rsidRPr="004B4BB4">
        <w:t>houses.</w:t>
      </w:r>
      <w:r w:rsidR="009C6568">
        <w:t xml:space="preserve"> </w:t>
      </w:r>
      <w:r w:rsidR="009C6568" w:rsidRPr="00443DC4">
        <w:t xml:space="preserve">This may </w:t>
      </w:r>
      <w:r w:rsidR="00EF2DDF">
        <w:t xml:space="preserve">partly </w:t>
      </w:r>
      <w:r w:rsidR="009C6568" w:rsidRPr="00443DC4">
        <w:t>explain why prices for detached houses have risen more strongly than prices for units and apartments.</w:t>
      </w:r>
    </w:p>
    <w:p w14:paraId="0E27D7E9" w14:textId="77777777" w:rsidR="008415B8" w:rsidRDefault="008415B8" w:rsidP="000B438C">
      <w:pPr>
        <w:pStyle w:val="ChartMainHeading"/>
      </w:pPr>
      <w:bookmarkStart w:id="118" w:name="_Ref491429673"/>
      <w:r w:rsidRPr="00E81F79">
        <w:lastRenderedPageBreak/>
        <w:t>Figur</w:t>
      </w:r>
      <w:bookmarkEnd w:id="118"/>
      <w:r w:rsidR="00554687">
        <w:t>e 3</w:t>
      </w:r>
      <w:r w:rsidR="0010001D">
        <w:t>3</w:t>
      </w:r>
      <w:r w:rsidRPr="00E81F79">
        <w:t>:</w:t>
      </w:r>
      <w:r>
        <w:t xml:space="preserve"> </w:t>
      </w:r>
      <w:r w:rsidR="00850386">
        <w:t>Dwelling c</w:t>
      </w:r>
      <w:r w:rsidR="003C2DEE">
        <w:t>ompletions, housing mix for</w:t>
      </w:r>
      <w:r>
        <w:t xml:space="preserve"> NSW and V</w:t>
      </w:r>
      <w:r w:rsidR="00BF1BF5">
        <w:t>ictoria</w:t>
      </w:r>
    </w:p>
    <w:tbl>
      <w:tblPr>
        <w:tblW w:w="5041" w:type="pct"/>
        <w:tblInd w:w="-40" w:type="dxa"/>
        <w:tblLook w:val="01E0" w:firstRow="1" w:lastRow="1" w:firstColumn="1" w:lastColumn="1" w:noHBand="0" w:noVBand="0"/>
      </w:tblPr>
      <w:tblGrid>
        <w:gridCol w:w="4707"/>
        <w:gridCol w:w="4655"/>
      </w:tblGrid>
      <w:tr w:rsidR="003C2DEE" w14:paraId="2D15BD90" w14:textId="77777777" w:rsidTr="00F17B86">
        <w:trPr>
          <w:cantSplit/>
          <w:trHeight w:val="4521"/>
        </w:trPr>
        <w:tc>
          <w:tcPr>
            <w:tcW w:w="4731" w:type="dxa"/>
          </w:tcPr>
          <w:p w14:paraId="2992BE5E" w14:textId="61EDB5A1" w:rsidR="003C2DEE" w:rsidRDefault="003C2DEE" w:rsidP="00C56A92">
            <w:pPr>
              <w:pStyle w:val="ChartGraphic"/>
              <w:jc w:val="left"/>
            </w:pPr>
            <w:r>
              <w:br w:type="page"/>
            </w:r>
            <w:r w:rsidR="00302A39">
              <w:rPr>
                <w:noProof/>
              </w:rPr>
              <w:pict w14:anchorId="5DBE2065">
                <v:shape id="_x0000_i1059" type="#_x0000_t75" style="width:222.75pt;height:223.5pt">
                  <v:imagedata r:id="rId94" o:title="" cropbottom="2461f" cropleft="2469f"/>
                </v:shape>
              </w:pict>
            </w:r>
          </w:p>
        </w:tc>
        <w:tc>
          <w:tcPr>
            <w:tcW w:w="4631" w:type="dxa"/>
          </w:tcPr>
          <w:p w14:paraId="7D9DE2E1" w14:textId="561A2F62" w:rsidR="003C2DEE" w:rsidRDefault="00302A39" w:rsidP="00C56A92">
            <w:pPr>
              <w:pStyle w:val="ChartGraphic"/>
              <w:spacing w:before="10"/>
              <w:jc w:val="right"/>
            </w:pPr>
            <w:r>
              <w:rPr>
                <w:noProof/>
              </w:rPr>
              <w:pict w14:anchorId="06250AC1">
                <v:shape id="_x0000_i1060" type="#_x0000_t75" style="width:222pt;height:223.5pt;mso-position-vertical:absolute">
                  <v:imagedata r:id="rId95" o:title="" cropbottom="1975f" cropleft="2469f"/>
                </v:shape>
              </w:pict>
            </w:r>
          </w:p>
        </w:tc>
      </w:tr>
    </w:tbl>
    <w:p w14:paraId="3615FF7A" w14:textId="77777777" w:rsidR="00C56A92" w:rsidRDefault="002E3C02" w:rsidP="00A36CBF">
      <w:pPr>
        <w:pStyle w:val="ChartorTableNote"/>
      </w:pPr>
      <w:r w:rsidRPr="00C56A92">
        <w:t>Source: ABS</w:t>
      </w:r>
      <w:r w:rsidR="0020435F" w:rsidRPr="00C56A92">
        <w:t xml:space="preserve"> </w:t>
      </w:r>
      <w:r w:rsidR="00CE1DFD" w:rsidRPr="00C56A92">
        <w:t>2017</w:t>
      </w:r>
      <w:r w:rsidR="00A27F64" w:rsidRPr="00C56A92">
        <w:t>l</w:t>
      </w:r>
      <w:r w:rsidR="00921CB6" w:rsidRPr="00C56A92">
        <w:t>, authors’ calculations</w:t>
      </w:r>
      <w:r w:rsidRPr="00C56A92">
        <w:t>.</w:t>
      </w:r>
    </w:p>
    <w:p w14:paraId="04F6ADB6" w14:textId="77777777" w:rsidR="008415B8" w:rsidRDefault="004B4BB4" w:rsidP="00C56A92">
      <w:r w:rsidRPr="004B4BB4">
        <w:t xml:space="preserve">It is useful to distinguish the impact of population growth and immigration from the impact of foreign investment in residential property. Foreign investment overlaps with immigration in that </w:t>
      </w:r>
      <w:r w:rsidR="00BD5F3B">
        <w:t>foreign investment</w:t>
      </w:r>
      <w:r w:rsidR="00BD5F3B" w:rsidRPr="004B4BB4">
        <w:t xml:space="preserve"> </w:t>
      </w:r>
      <w:r w:rsidRPr="004B4BB4">
        <w:t xml:space="preserve">includes </w:t>
      </w:r>
      <w:r w:rsidR="00BD5F3B">
        <w:t xml:space="preserve">investment by </w:t>
      </w:r>
      <w:r w:rsidRPr="004B4BB4">
        <w:t xml:space="preserve">migrants on temporary visas (excepting New Zealanders). </w:t>
      </w:r>
      <w:r w:rsidR="003354B5" w:rsidRPr="00B858CF">
        <w:t xml:space="preserve">A 2016 Treasury paper </w:t>
      </w:r>
      <w:r w:rsidR="00BF1BF5" w:rsidRPr="00B858CF">
        <w:t>(</w:t>
      </w:r>
      <w:proofErr w:type="spellStart"/>
      <w:r w:rsidR="00B858CF" w:rsidRPr="00B858CF">
        <w:t>Wokker</w:t>
      </w:r>
      <w:proofErr w:type="spellEnd"/>
      <w:r w:rsidR="00B858CF" w:rsidRPr="00B858CF">
        <w:t xml:space="preserve"> &amp; Swieringa 2016</w:t>
      </w:r>
      <w:r w:rsidR="00BF1BF5" w:rsidRPr="00B858CF">
        <w:t>)</w:t>
      </w:r>
      <w:r w:rsidR="00BF1BF5">
        <w:t xml:space="preserve"> </w:t>
      </w:r>
      <w:r w:rsidR="00B91D7E">
        <w:t>which looked at data from July 2010 to March</w:t>
      </w:r>
      <w:r w:rsidR="00C56A92">
        <w:t> </w:t>
      </w:r>
      <w:r w:rsidR="00B91D7E">
        <w:t xml:space="preserve">2015 </w:t>
      </w:r>
      <w:r w:rsidR="003354B5">
        <w:t xml:space="preserve">found that </w:t>
      </w:r>
      <w:r w:rsidRPr="004B4BB4">
        <w:t xml:space="preserve">foreign demand increased </w:t>
      </w:r>
      <w:r w:rsidR="003354B5">
        <w:t xml:space="preserve">dwelling </w:t>
      </w:r>
      <w:r w:rsidRPr="004B4BB4">
        <w:t>prices by between $80 and $122 in Melbourne and Sydney in each quarter. This is modest when compared to the average quarterly</w:t>
      </w:r>
      <w:r w:rsidR="007B5E24">
        <w:t> </w:t>
      </w:r>
      <w:r w:rsidRPr="004B4BB4">
        <w:t xml:space="preserve">increase </w:t>
      </w:r>
      <w:r w:rsidR="003354B5">
        <w:t xml:space="preserve">in dwelling prices </w:t>
      </w:r>
      <w:r w:rsidRPr="004B4BB4">
        <w:t>of $12,800 in Australia’s two largest cities during the period.</w:t>
      </w:r>
    </w:p>
    <w:p w14:paraId="0672D00D" w14:textId="77777777" w:rsidR="008415B8" w:rsidRPr="00DC385A" w:rsidRDefault="008415B8" w:rsidP="00A36CBF">
      <w:pPr>
        <w:pStyle w:val="Heading3Numbered"/>
      </w:pPr>
      <w:r w:rsidRPr="00DC385A">
        <w:t>A growing population emphasises the importance of infrastructure planning, investment and demand management</w:t>
      </w:r>
    </w:p>
    <w:p w14:paraId="7DA42749" w14:textId="77777777" w:rsidR="008415B8" w:rsidRPr="00DC385A" w:rsidRDefault="008415B8" w:rsidP="0010001D">
      <w:r w:rsidRPr="00DC385A">
        <w:t xml:space="preserve">A growing population requires accompanying infrastructure — new infrastructure to service new suburbs and </w:t>
      </w:r>
      <w:r w:rsidR="006F795D">
        <w:t>better use of current</w:t>
      </w:r>
      <w:r w:rsidRPr="00DC385A">
        <w:t xml:space="preserve"> infrastructure to accommodate more people in existing suburbs.</w:t>
      </w:r>
    </w:p>
    <w:p w14:paraId="1D840DF0" w14:textId="77777777" w:rsidR="008415B8" w:rsidRDefault="00501C6E" w:rsidP="0010001D">
      <w:r>
        <w:t xml:space="preserve">Australia’s expenditure on </w:t>
      </w:r>
      <w:r w:rsidR="008415B8" w:rsidRPr="00DC385A">
        <w:t>infrastructure</w:t>
      </w:r>
      <w:r>
        <w:t xml:space="preserve"> as a percentage of GDP is relatively high compared to expenditure in other advanced economies (</w:t>
      </w:r>
      <w:r w:rsidR="00554687">
        <w:t>Figure 3</w:t>
      </w:r>
      <w:r w:rsidR="00921CB6">
        <w:t>4</w:t>
      </w:r>
      <w:r w:rsidR="008415B8">
        <w:t>)</w:t>
      </w:r>
      <w:r w:rsidR="008415B8" w:rsidRPr="00DC385A">
        <w:t>. While total investment has ris</w:t>
      </w:r>
      <w:r w:rsidR="008945BE">
        <w:t>en</w:t>
      </w:r>
      <w:r>
        <w:t xml:space="preserve"> over time</w:t>
      </w:r>
      <w:r w:rsidR="008415B8" w:rsidRPr="00DC385A">
        <w:t>, public investment has remained relatively steady</w:t>
      </w:r>
      <w:r w:rsidR="00926AFE">
        <w:t>,</w:t>
      </w:r>
      <w:r w:rsidR="008415B8" w:rsidRPr="00DC385A">
        <w:t xml:space="preserve"> consistent with trends across the OECD for greater private provision of infrastructure</w:t>
      </w:r>
      <w:r>
        <w:t xml:space="preserve"> (</w:t>
      </w:r>
      <w:r w:rsidR="005908A1">
        <w:t>Coombs &amp; Roberts</w:t>
      </w:r>
      <w:r w:rsidRPr="00B858CF">
        <w:t xml:space="preserve"> 2007</w:t>
      </w:r>
      <w:r>
        <w:t>). Australia has prioritised investment in new infrastructure, with most expenditure going towards new projects. By contrast, expenditure on maintenance of existing infrastructure is quite low by international standards (</w:t>
      </w:r>
      <w:r w:rsidRPr="00B858CF">
        <w:t>Terrill</w:t>
      </w:r>
      <w:r w:rsidR="00A27F64">
        <w:t>, Emslie &amp; Coates</w:t>
      </w:r>
      <w:r w:rsidRPr="00B858CF">
        <w:t xml:space="preserve"> 2016</w:t>
      </w:r>
      <w:r>
        <w:t>).</w:t>
      </w:r>
    </w:p>
    <w:p w14:paraId="6E1771BF" w14:textId="77777777" w:rsidR="008415B8" w:rsidRPr="00DC385A" w:rsidRDefault="008415B8" w:rsidP="000B438C">
      <w:pPr>
        <w:pStyle w:val="ChartMainHeading"/>
      </w:pPr>
      <w:bookmarkStart w:id="119" w:name="_Ref491429740"/>
      <w:r w:rsidRPr="00E81F79">
        <w:lastRenderedPageBreak/>
        <w:t>Figure</w:t>
      </w:r>
      <w:bookmarkEnd w:id="119"/>
      <w:r w:rsidR="00554687">
        <w:t xml:space="preserve"> 3</w:t>
      </w:r>
      <w:r w:rsidR="00921CB6">
        <w:t>4</w:t>
      </w:r>
      <w:r w:rsidRPr="00E81F79">
        <w:t xml:space="preserve">: </w:t>
      </w:r>
      <w:r w:rsidR="00501C6E">
        <w:t>Total inland i</w:t>
      </w:r>
      <w:r w:rsidR="009C65FE" w:rsidRPr="009C65FE">
        <w:t xml:space="preserve">nfrastructure </w:t>
      </w:r>
      <w:r w:rsidR="00AF6D19">
        <w:t>i</w:t>
      </w:r>
      <w:r w:rsidR="009C65FE" w:rsidRPr="009C65FE">
        <w:t xml:space="preserve">nvestment </w:t>
      </w:r>
      <w:r w:rsidR="00501C6E">
        <w:t xml:space="preserve">of advanced </w:t>
      </w:r>
      <w:proofErr w:type="gramStart"/>
      <w:r w:rsidR="00501C6E">
        <w:t>economies</w:t>
      </w:r>
      <w:proofErr w:type="gramEnd"/>
      <w:r w:rsidR="00C56A92">
        <w:br/>
      </w:r>
      <w:r w:rsidR="000A07A2">
        <w:t>(per cent of GDP)</w:t>
      </w:r>
    </w:p>
    <w:p w14:paraId="1473AA1F" w14:textId="627D7BD4" w:rsidR="008415B8" w:rsidRDefault="00302A39" w:rsidP="005F3E79">
      <w:pPr>
        <w:pStyle w:val="ChartGraphic"/>
      </w:pPr>
      <w:r>
        <w:rPr>
          <w:noProof/>
        </w:rPr>
        <w:pict w14:anchorId="00B95EFB">
          <v:shape id="_x0000_i1061" type="#_x0000_t75" style="width:6in;height:219.75pt">
            <v:imagedata r:id="rId96" o:title="" cropbottom="1646f" cropleft="848f"/>
          </v:shape>
        </w:pict>
      </w:r>
    </w:p>
    <w:p w14:paraId="345212CC" w14:textId="77777777" w:rsidR="00501C6E" w:rsidRDefault="00951E01" w:rsidP="00C56A92">
      <w:pPr>
        <w:pStyle w:val="ChartorTableNote"/>
      </w:pPr>
      <w:r>
        <w:t>Note:</w:t>
      </w:r>
      <w:r w:rsidR="00501C6E" w:rsidRPr="00501C6E">
        <w:t xml:space="preserve"> Inland infrastructure includes road, rail, inland waterways, maritime ports and airports and takes acco</w:t>
      </w:r>
      <w:r w:rsidR="00501C6E">
        <w:t>unt of all sources of financing, both public and private.</w:t>
      </w:r>
    </w:p>
    <w:p w14:paraId="4BA7E40A" w14:textId="77777777" w:rsidR="00C56A92" w:rsidRDefault="00B858CF" w:rsidP="00A36CBF">
      <w:pPr>
        <w:pStyle w:val="ChartorTableNote"/>
      </w:pPr>
      <w:r>
        <w:t>Source: OECD 2017.</w:t>
      </w:r>
    </w:p>
    <w:p w14:paraId="02E43BDD" w14:textId="77777777" w:rsidR="008415B8" w:rsidRPr="00DC385A" w:rsidRDefault="008415B8" w:rsidP="00155E57">
      <w:r w:rsidRPr="00DC385A">
        <w:t>While concerns are often expressed about population</w:t>
      </w:r>
      <w:r w:rsidR="00021968">
        <w:noBreakHyphen/>
      </w:r>
      <w:r w:rsidRPr="00DC385A">
        <w:t xml:space="preserve">induced infrastructure pressure in Australian cities, there are a number of benefits to population growth occurring in </w:t>
      </w:r>
      <w:r w:rsidR="00E51EA5">
        <w:t xml:space="preserve">our </w:t>
      </w:r>
      <w:r w:rsidRPr="00DC385A">
        <w:t>cities. Australia</w:t>
      </w:r>
      <w:r w:rsidR="00021968">
        <w:t>’</w:t>
      </w:r>
      <w:r w:rsidRPr="00DC385A">
        <w:t xml:space="preserve">s cities are often better placed than regional areas to plan and invest in major infrastructure as they have been required to do this for decades to accommodate population growth. </w:t>
      </w:r>
      <w:r w:rsidR="00551B42">
        <w:t xml:space="preserve">For instance, </w:t>
      </w:r>
      <w:r w:rsidR="002667AE">
        <w:t xml:space="preserve">an additional </w:t>
      </w:r>
      <w:r w:rsidR="007B55E5">
        <w:t>1.7</w:t>
      </w:r>
      <w:r w:rsidRPr="00DC385A">
        <w:t xml:space="preserve"> million people </w:t>
      </w:r>
      <w:r w:rsidR="00551B42">
        <w:t>have been accommodated</w:t>
      </w:r>
      <w:r w:rsidRPr="00DC385A">
        <w:t xml:space="preserve"> in Sydney and </w:t>
      </w:r>
      <w:r w:rsidR="002667AE">
        <w:t>an additional</w:t>
      </w:r>
      <w:r w:rsidRPr="00DC385A">
        <w:t xml:space="preserve"> </w:t>
      </w:r>
      <w:r w:rsidR="007B55E5">
        <w:t>1.9</w:t>
      </w:r>
      <w:r w:rsidRPr="00DC385A">
        <w:t xml:space="preserve"> million people </w:t>
      </w:r>
      <w:r w:rsidR="00551B42">
        <w:t xml:space="preserve">have been accommodated </w:t>
      </w:r>
      <w:r w:rsidRPr="00DC385A">
        <w:t xml:space="preserve">in Melbourne over </w:t>
      </w:r>
      <w:r w:rsidR="007B55E5">
        <w:t xml:space="preserve">the last </w:t>
      </w:r>
      <w:r w:rsidR="00047EA2">
        <w:t>30</w:t>
      </w:r>
      <w:r w:rsidR="007B55E5">
        <w:t xml:space="preserve"> years</w:t>
      </w:r>
      <w:r w:rsidR="00921CB6">
        <w:t xml:space="preserve"> (</w:t>
      </w:r>
      <w:r w:rsidR="00921CB6" w:rsidRPr="00E40B87">
        <w:t>ABS</w:t>
      </w:r>
      <w:r w:rsidR="002667AE">
        <w:t> </w:t>
      </w:r>
      <w:r w:rsidR="00BD06BD" w:rsidRPr="00E40B87">
        <w:t>1988 &amp; ABS 201</w:t>
      </w:r>
      <w:r w:rsidR="00A27F64">
        <w:t>7d</w:t>
      </w:r>
      <w:r w:rsidR="00921CB6">
        <w:t>)</w:t>
      </w:r>
      <w:r w:rsidRPr="00DC385A">
        <w:t>.</w:t>
      </w:r>
    </w:p>
    <w:p w14:paraId="08D933CD" w14:textId="77777777" w:rsidR="008415B8" w:rsidRPr="00DC385A" w:rsidRDefault="006F795D" w:rsidP="00631304">
      <w:r>
        <w:t>A</w:t>
      </w:r>
      <w:r w:rsidR="008415B8" w:rsidRPr="00DC385A">
        <w:t xml:space="preserve"> larger population in Australian cities may provide additional impetus for private investment in infrastructure or </w:t>
      </w:r>
      <w:r w:rsidR="008415B8">
        <w:t xml:space="preserve">result in </w:t>
      </w:r>
      <w:r>
        <w:t xml:space="preserve">a project’s </w:t>
      </w:r>
      <w:r w:rsidR="008415B8" w:rsidRPr="00DC385A">
        <w:t>benefit</w:t>
      </w:r>
      <w:r>
        <w:noBreakHyphen/>
        <w:t>cost ratio increasing</w:t>
      </w:r>
      <w:r w:rsidR="008415B8">
        <w:t>. This </w:t>
      </w:r>
      <w:r w:rsidR="008415B8" w:rsidRPr="00DC385A">
        <w:t>is because a higher population in the same geographical space</w:t>
      </w:r>
      <w:r>
        <w:t xml:space="preserve"> increases the number of people that would benefit from a project and </w:t>
      </w:r>
      <w:r w:rsidR="00603AFB">
        <w:t xml:space="preserve">may </w:t>
      </w:r>
      <w:r>
        <w:t xml:space="preserve">therefore make a previously </w:t>
      </w:r>
      <w:r w:rsidR="008415B8" w:rsidRPr="00DC385A">
        <w:t xml:space="preserve">unprofitable infrastructure project </w:t>
      </w:r>
      <w:r w:rsidR="008415B8">
        <w:t>viable</w:t>
      </w:r>
      <w:r w:rsidR="000A07A2">
        <w:t>.</w:t>
      </w:r>
    </w:p>
    <w:p w14:paraId="0FA500E4" w14:textId="77777777" w:rsidR="00AE210A" w:rsidRDefault="008415B8" w:rsidP="006B0D69">
      <w:r w:rsidRPr="00DC385A">
        <w:t>However, even if population growth makes new infrastructure desirable or profitable, one of the key difficulties will be retrofitting our cities to accommodate infrastructure more appropriate to a larger population. To date, one of the ways that Australia has dealt with population growth has been to increase urban sprawl. By way of example, Melbourne</w:t>
      </w:r>
      <w:r w:rsidR="00021968">
        <w:t>’</w:t>
      </w:r>
      <w:r w:rsidRPr="00DC385A">
        <w:t>s footprint is six times the size of London</w:t>
      </w:r>
      <w:r w:rsidR="00926AFE">
        <w:t>’s</w:t>
      </w:r>
      <w:r w:rsidRPr="00DC385A">
        <w:t xml:space="preserve"> </w:t>
      </w:r>
      <w:r w:rsidR="00E529E2">
        <w:t>despite having</w:t>
      </w:r>
      <w:r w:rsidR="00E529E2" w:rsidRPr="00DC385A">
        <w:t xml:space="preserve"> </w:t>
      </w:r>
      <w:r w:rsidRPr="00DC385A">
        <w:t>half its population</w:t>
      </w:r>
      <w:r w:rsidR="001165DB">
        <w:t>;</w:t>
      </w:r>
      <w:r w:rsidRPr="00DC385A">
        <w:t xml:space="preserve"> Brisbane </w:t>
      </w:r>
      <w:r w:rsidR="00E529E2">
        <w:t>has</w:t>
      </w:r>
      <w:r w:rsidR="00E529E2" w:rsidRPr="00DC385A">
        <w:t xml:space="preserve"> </w:t>
      </w:r>
      <w:r w:rsidRPr="00DC385A">
        <w:t xml:space="preserve">20 times the footprint of New York City with </w:t>
      </w:r>
      <w:r w:rsidR="00E529E2">
        <w:t xml:space="preserve">only </w:t>
      </w:r>
      <w:r w:rsidRPr="00DC385A">
        <w:t>one</w:t>
      </w:r>
      <w:r w:rsidR="00155E57">
        <w:t> </w:t>
      </w:r>
      <w:r w:rsidRPr="00DC385A">
        <w:t>quarter of its population</w:t>
      </w:r>
      <w:r w:rsidR="00A776EC">
        <w:t xml:space="preserve"> (</w:t>
      </w:r>
      <w:proofErr w:type="spellStart"/>
      <w:r w:rsidR="00E40B87">
        <w:t>Delbosc</w:t>
      </w:r>
      <w:proofErr w:type="spellEnd"/>
      <w:r w:rsidR="00E40B87">
        <w:t xml:space="preserve"> 2015</w:t>
      </w:r>
      <w:r w:rsidR="00A776EC">
        <w:t>)</w:t>
      </w:r>
      <w:r w:rsidRPr="00DC385A">
        <w:t>.</w:t>
      </w:r>
    </w:p>
    <w:p w14:paraId="481FE4E3" w14:textId="77777777" w:rsidR="00F17B86" w:rsidRDefault="004B4BB4" w:rsidP="00A36CBF">
      <w:r>
        <w:t>A conseque</w:t>
      </w:r>
      <w:r w:rsidRPr="004B4BB4">
        <w:t>nce of urban sprawl has been a decline in the number of household</w:t>
      </w:r>
      <w:r w:rsidR="00E529E2">
        <w:t>s</w:t>
      </w:r>
      <w:r w:rsidRPr="004B4BB4">
        <w:t xml:space="preserve"> </w:t>
      </w:r>
      <w:r w:rsidR="00603AFB">
        <w:t>that</w:t>
      </w:r>
      <w:r w:rsidR="00603AFB" w:rsidRPr="004B4BB4">
        <w:t xml:space="preserve"> </w:t>
      </w:r>
      <w:r w:rsidRPr="004B4BB4">
        <w:t>can easily access their job by car or public transport. For example, a worker who lives in the centre of Melbourne can access 90 per cent of jobs in the metropolitan area by car within 45 minutes</w:t>
      </w:r>
      <w:r w:rsidR="0023547A">
        <w:t>,</w:t>
      </w:r>
      <w:r w:rsidRPr="004B4BB4">
        <w:t xml:space="preserve"> compared to workers in outer suburban growth areas where just 10 per cent of all metropolitan jobs can be reached within a 45 minute drive (</w:t>
      </w:r>
      <w:r w:rsidR="00AE210A" w:rsidRPr="004B4BB4">
        <w:t>Kelly</w:t>
      </w:r>
      <w:r w:rsidR="00AE210A">
        <w:t> </w:t>
      </w:r>
      <w:r w:rsidRPr="004B4BB4">
        <w:t>et al. 2013). This has economic and liveability implications for households that cannot afford to move to areas that have better accessibility to jobs.</w:t>
      </w:r>
    </w:p>
    <w:p w14:paraId="0A9CC0A8" w14:textId="77777777" w:rsidR="008415B8" w:rsidRPr="00DC385A" w:rsidRDefault="008415B8" w:rsidP="00A36CBF">
      <w:pPr>
        <w:keepNext/>
        <w:keepLines/>
      </w:pPr>
      <w:r w:rsidRPr="001A0D8E">
        <w:lastRenderedPageBreak/>
        <w:t>Infrastructure Australia</w:t>
      </w:r>
      <w:r w:rsidR="003354B5" w:rsidRPr="001A0D8E">
        <w:t xml:space="preserve"> </w:t>
      </w:r>
      <w:r w:rsidRPr="001A0D8E">
        <w:t xml:space="preserve">summed this up </w:t>
      </w:r>
      <w:r w:rsidR="001A0D8E" w:rsidRPr="001A0D8E">
        <w:t xml:space="preserve">in </w:t>
      </w:r>
      <w:r w:rsidR="00CE1DFD">
        <w:t>its</w:t>
      </w:r>
      <w:r w:rsidR="001A0D8E" w:rsidRPr="001A0D8E">
        <w:t xml:space="preserve"> 2015 infrastructure audit </w:t>
      </w:r>
      <w:r w:rsidRPr="001A0D8E">
        <w:t>as:</w:t>
      </w:r>
    </w:p>
    <w:p w14:paraId="3A97A348" w14:textId="77777777" w:rsidR="008415B8" w:rsidRPr="00155E57" w:rsidRDefault="008415B8" w:rsidP="00A36CBF">
      <w:pPr>
        <w:pStyle w:val="Quote"/>
        <w:keepNext/>
        <w:keepLines/>
      </w:pPr>
      <w:r w:rsidRPr="00155E57">
        <w:t>…experiences of transport networks failing to keep pace with demand, water quality standards being uneven, energy costs being too high, telecommunication services being outdated, or freight corridors being neglected are now so common that they necessitate a strategic response.</w:t>
      </w:r>
    </w:p>
    <w:p w14:paraId="665FC81D" w14:textId="77777777" w:rsidR="007D571F" w:rsidRDefault="0023547A" w:rsidP="007D571F">
      <w:r>
        <w:t>B</w:t>
      </w:r>
      <w:r w:rsidR="007D571F">
        <w:t xml:space="preserve">etter use of existing infrastructure will help </w:t>
      </w:r>
      <w:r>
        <w:t xml:space="preserve">to </w:t>
      </w:r>
      <w:r w:rsidR="007D571F">
        <w:t xml:space="preserve">address these pressures.  Reforms to the structure of markets and </w:t>
      </w:r>
      <w:r>
        <w:t xml:space="preserve">the way </w:t>
      </w:r>
      <w:r w:rsidR="007D571F">
        <w:t>we pay for infrastructure can extract more value from existing infrastructure. In</w:t>
      </w:r>
      <w:r w:rsidR="001165DB">
        <w:t> </w:t>
      </w:r>
      <w:r w:rsidR="007D571F">
        <w:t>addition, planning for the right infrastructure and delivering it as efficiently as possible at the right time will also be important.</w:t>
      </w:r>
    </w:p>
    <w:p w14:paraId="038CDAE7" w14:textId="77777777" w:rsidR="007D571F" w:rsidRDefault="007D571F" w:rsidP="007D571F">
      <w:r>
        <w:t>Long-term infrastructure planning is an important means of lowering the cost of new infrastructure. Planning the right infrastructure early, timing its delivery to meet demand and ensuring it is fit for purpose enhances economic opportunity and saves money. For example, identifying and protecting infrastructure corridors reduces the future costs of delivering infrastructure using expensive tunnels.</w:t>
      </w:r>
    </w:p>
    <w:p w14:paraId="4DB685A4" w14:textId="77777777" w:rsidR="007D571F" w:rsidRDefault="007D571F" w:rsidP="00631304">
      <w:r>
        <w:t xml:space="preserve">While population growth is increasing </w:t>
      </w:r>
      <w:r w:rsidR="00047EA2">
        <w:t xml:space="preserve">existing </w:t>
      </w:r>
      <w:r>
        <w:t>pressure</w:t>
      </w:r>
      <w:r w:rsidR="00047EA2">
        <w:t>s,</w:t>
      </w:r>
      <w:r>
        <w:t xml:space="preserve"> Australia’s infrastructure </w:t>
      </w:r>
      <w:r w:rsidR="008415B8" w:rsidRPr="00DC385A">
        <w:t xml:space="preserve">is performing relatively well given the challenges of the Australian environment. </w:t>
      </w:r>
      <w:r>
        <w:t>These pressures should not only be addressed by new infrastructure. They should also include better use of existing infrastructure.</w:t>
      </w:r>
    </w:p>
    <w:p w14:paraId="6E31C77B" w14:textId="77777777" w:rsidR="008415B8" w:rsidRDefault="008415B8" w:rsidP="00631304">
      <w:r>
        <w:t xml:space="preserve">The scope of this paper does not </w:t>
      </w:r>
      <w:r w:rsidR="001165DB">
        <w:t>allow</w:t>
      </w:r>
      <w:r w:rsidR="0023547A">
        <w:t xml:space="preserve"> </w:t>
      </w:r>
      <w:r>
        <w:t>a discussion of e</w:t>
      </w:r>
      <w:r w:rsidR="000C7EEA">
        <w:t>ach type of infrastructure (for example,</w:t>
      </w:r>
      <w:r>
        <w:t xml:space="preserve"> transport, communications, </w:t>
      </w:r>
      <w:r w:rsidR="004410CE">
        <w:t xml:space="preserve">water infrastructure, </w:t>
      </w:r>
      <w:r>
        <w:t>hospitals, schools, etc</w:t>
      </w:r>
      <w:r w:rsidR="0020435F">
        <w:t>.</w:t>
      </w:r>
      <w:r>
        <w:t>). However, in many cases, infrastructure supply and demand are not driven by population growth.</w:t>
      </w:r>
      <w:r w:rsidR="007D571F">
        <w:t xml:space="preserve"> </w:t>
      </w:r>
      <w:r>
        <w:t xml:space="preserve">For instance, expenditure on hospitals has been driven by increasing quality in the delivery of services, often </w:t>
      </w:r>
      <w:r w:rsidR="0023547A">
        <w:t>due to</w:t>
      </w:r>
      <w:r>
        <w:t xml:space="preserve"> technological advancements. The effect of population growth on expenditure or demand for such services is dwarfed compared to these factors. This is not to say that population growth has no impact but, rather, to say that it is often not the key factor driving growth in demand or expenditure.</w:t>
      </w:r>
    </w:p>
    <w:p w14:paraId="06BEB0E6" w14:textId="77777777" w:rsidR="008415B8" w:rsidRPr="00DC385A" w:rsidRDefault="008415B8" w:rsidP="002427F4">
      <w:pPr>
        <w:pStyle w:val="Heading3Numbered"/>
      </w:pPr>
      <w:r w:rsidRPr="00DC385A">
        <w:t>Waste management must continue to be addressed</w:t>
      </w:r>
    </w:p>
    <w:p w14:paraId="5C951ABB" w14:textId="77777777" w:rsidR="009758FF" w:rsidRDefault="00344CCF" w:rsidP="00631304">
      <w:r>
        <w:t>Since 2007</w:t>
      </w:r>
      <w:r w:rsidR="00C72618">
        <w:t xml:space="preserve">, waste to landfill has decreased despite waste generation growing. Between 2006–07 and 2010–11, Australia’s generation of waste grew from around 44 </w:t>
      </w:r>
      <w:proofErr w:type="spellStart"/>
      <w:r w:rsidR="00C72618">
        <w:t>megatonnes</w:t>
      </w:r>
      <w:proofErr w:type="spellEnd"/>
      <w:r w:rsidR="00C72618">
        <w:t xml:space="preserve"> to around 48 </w:t>
      </w:r>
      <w:proofErr w:type="spellStart"/>
      <w:r w:rsidR="00C72618">
        <w:t>megatonnes</w:t>
      </w:r>
      <w:proofErr w:type="spellEnd"/>
      <w:r w:rsidR="00C72618">
        <w:t xml:space="preserve"> per year—an increase of just over 9 per cent while population increased by just over 7 per cent.</w:t>
      </w:r>
    </w:p>
    <w:p w14:paraId="5F2F5418" w14:textId="77777777" w:rsidR="009758FF" w:rsidRDefault="00C72618" w:rsidP="00631304">
      <w:r>
        <w:t xml:space="preserve">Despite an overall increase in waste generation, Australia’s total disposal tonnage decreased from about 21.5 </w:t>
      </w:r>
      <w:proofErr w:type="spellStart"/>
      <w:r>
        <w:t>megatonnes</w:t>
      </w:r>
      <w:proofErr w:type="spellEnd"/>
      <w:r>
        <w:t xml:space="preserve"> to about 19.5 </w:t>
      </w:r>
      <w:proofErr w:type="spellStart"/>
      <w:r>
        <w:t>megatonnes</w:t>
      </w:r>
      <w:proofErr w:type="spellEnd"/>
      <w:r>
        <w:t xml:space="preserve"> (about 9.5 per cent) between 2006–07 and</w:t>
      </w:r>
      <w:r w:rsidR="00AE210A">
        <w:br/>
      </w:r>
      <w:r>
        <w:t>2010–11. This decrease reflects increased efforts to recycle a broader range of materials. The quantity of waste generated per person in Australian jurisdictions varies</w:t>
      </w:r>
      <w:r w:rsidR="00111DB2">
        <w:t>,</w:t>
      </w:r>
      <w:r>
        <w:t xml:space="preserve"> but shows a general increase that correlates with income per person and with the level of urbanisation</w:t>
      </w:r>
      <w:r w:rsidR="00E51C68">
        <w:t xml:space="preserve"> (</w:t>
      </w:r>
      <w:r w:rsidR="001165DB">
        <w:t>Coleman </w:t>
      </w:r>
      <w:r w:rsidR="00E51C68">
        <w:t>2017)</w:t>
      </w:r>
      <w:r>
        <w:t>.</w:t>
      </w:r>
    </w:p>
    <w:p w14:paraId="35BA0698" w14:textId="77777777" w:rsidR="008415B8" w:rsidRPr="00DC385A" w:rsidRDefault="009758FF" w:rsidP="00155E57">
      <w:pPr>
        <w:spacing w:before="170" w:after="170"/>
      </w:pPr>
      <w:r>
        <w:t>Here again, population does not appear to be the driving factor</w:t>
      </w:r>
      <w:r w:rsidR="00080600">
        <w:t>. Instead, factors such as government policies, changes in community expectations, and new technologies are compensating for the negative effects of a higher population.</w:t>
      </w:r>
      <w:r w:rsidR="0069308C">
        <w:t xml:space="preserve"> Nevertheless, waste disposal is likely to become more challenging, and potentially more expensive, over time as landfill resources close to </w:t>
      </w:r>
      <w:r w:rsidR="000A07A2">
        <w:t>population bases are exhausted.</w:t>
      </w:r>
    </w:p>
    <w:p w14:paraId="3C9BC1F2" w14:textId="77777777" w:rsidR="008415B8" w:rsidRPr="00DC385A" w:rsidRDefault="008415B8" w:rsidP="002427F4">
      <w:pPr>
        <w:pStyle w:val="Heading3Numbered"/>
      </w:pPr>
      <w:r w:rsidRPr="00DC385A">
        <w:lastRenderedPageBreak/>
        <w:t>Solutions to congestion and air pollution must accompany a growing population</w:t>
      </w:r>
    </w:p>
    <w:p w14:paraId="3E6C3AC1" w14:textId="77777777" w:rsidR="00A4374D" w:rsidRDefault="00A4374D" w:rsidP="002427F4">
      <w:pPr>
        <w:pStyle w:val="Heading4"/>
      </w:pPr>
      <w:r>
        <w:t>Air pollution</w:t>
      </w:r>
    </w:p>
    <w:p w14:paraId="5916CFC9" w14:textId="77777777" w:rsidR="008415B8" w:rsidRPr="00DC385A" w:rsidRDefault="008415B8" w:rsidP="00155E57">
      <w:pPr>
        <w:spacing w:before="170" w:after="170"/>
      </w:pPr>
      <w:r w:rsidRPr="00DC385A">
        <w:t>Air quality in Australia is generally good to very good. Levels of carbon monoxide,</w:t>
      </w:r>
      <w:r>
        <w:t xml:space="preserve"> lead, nitrogen dioxide and sulph</w:t>
      </w:r>
      <w:r w:rsidRPr="00DC385A">
        <w:t>ur dioxide are generally well below the relevant standards, and continue to decr</w:t>
      </w:r>
      <w:r w:rsidR="000A07A2">
        <w:t>ease in most locations.</w:t>
      </w:r>
    </w:p>
    <w:p w14:paraId="5B2E2B68" w14:textId="77777777" w:rsidR="008415B8" w:rsidRPr="00DC385A" w:rsidRDefault="008415B8" w:rsidP="00155E57">
      <w:pPr>
        <w:spacing w:before="170" w:after="170"/>
      </w:pPr>
      <w:r w:rsidRPr="00DC385A">
        <w:t>While periods of poor air quality continue to occur in some locations across Australia, many of these are not related to population growth or density but rather to the continuation of polluting practices</w:t>
      </w:r>
      <w:r w:rsidR="00970AC6">
        <w:t xml:space="preserve">, such as </w:t>
      </w:r>
      <w:r w:rsidRPr="00DC385A">
        <w:t xml:space="preserve">smelting facilities in Mount Isa and Port Pirie or the use of wood heaters in Launceston and Armidale. More widespread exceedance of the standards has also occurred from bushfires, </w:t>
      </w:r>
      <w:r w:rsidR="00DF3C55">
        <w:t>smog</w:t>
      </w:r>
      <w:r w:rsidRPr="00DC385A">
        <w:t xml:space="preserve"> and dust storms </w:t>
      </w:r>
      <w:r w:rsidR="00603AFB">
        <w:t xml:space="preserve">that </w:t>
      </w:r>
      <w:r w:rsidRPr="00DC385A">
        <w:t>contribut</w:t>
      </w:r>
      <w:r w:rsidR="00603AFB">
        <w:t>e</w:t>
      </w:r>
      <w:r w:rsidRPr="00DC385A">
        <w:t xml:space="preserve"> to high levels of particulate matter.</w:t>
      </w:r>
    </w:p>
    <w:p w14:paraId="1544295F" w14:textId="77777777" w:rsidR="008415B8" w:rsidRPr="00DC385A" w:rsidRDefault="008415B8" w:rsidP="00155E57">
      <w:pPr>
        <w:spacing w:before="170" w:after="170"/>
        <w:rPr>
          <w:sz w:val="18"/>
        </w:rPr>
      </w:pPr>
      <w:r w:rsidRPr="00DC385A">
        <w:t>Motor vehicles are the main diffuse source of air pollution in urban areas. The tightening of vehicle emissions standards has led to a decrease in emissions</w:t>
      </w:r>
      <w:r w:rsidR="00A4374D" w:rsidRPr="00DC385A">
        <w:t xml:space="preserve">. </w:t>
      </w:r>
      <w:r w:rsidR="001165DB">
        <w:t>As a result, n</w:t>
      </w:r>
      <w:r w:rsidR="00A4374D" w:rsidRPr="00DC385A">
        <w:t>on</w:t>
      </w:r>
      <w:r w:rsidR="00A4374D">
        <w:noBreakHyphen/>
      </w:r>
      <w:r w:rsidR="00A4374D" w:rsidRPr="00DC385A">
        <w:t>tailpipe particle emissions such as brake and tyre wear are projected to become an increasing proportion of total vehicle emissions in the future</w:t>
      </w:r>
      <w:r w:rsidR="00B23893">
        <w:t xml:space="preserve"> (</w:t>
      </w:r>
      <w:proofErr w:type="spellStart"/>
      <w:r w:rsidR="00566496">
        <w:t>Keywood</w:t>
      </w:r>
      <w:proofErr w:type="spellEnd"/>
      <w:r w:rsidR="00A27F64">
        <w:t>, Hibberd &amp; Emmerson</w:t>
      </w:r>
      <w:r w:rsidR="00B23893">
        <w:t xml:space="preserve"> 2017)</w:t>
      </w:r>
      <w:r w:rsidR="000A07A2">
        <w:t>.</w:t>
      </w:r>
    </w:p>
    <w:p w14:paraId="72F3ED43" w14:textId="77777777" w:rsidR="00A4374D" w:rsidRDefault="00A4374D" w:rsidP="002427F4">
      <w:pPr>
        <w:pStyle w:val="Heading4"/>
      </w:pPr>
      <w:r>
        <w:t>Traffic congestion</w:t>
      </w:r>
    </w:p>
    <w:p w14:paraId="12E215AF" w14:textId="77777777" w:rsidR="005A29E0" w:rsidRDefault="009868DA" w:rsidP="00155E57">
      <w:pPr>
        <w:spacing w:before="170" w:after="170"/>
      </w:pPr>
      <w:r>
        <w:t xml:space="preserve">Congestion </w:t>
      </w:r>
      <w:r w:rsidR="00387260">
        <w:t>is a significant liveability issue</w:t>
      </w:r>
      <w:r>
        <w:t xml:space="preserve"> in our major cities. </w:t>
      </w:r>
      <w:r w:rsidR="00D1666E">
        <w:t xml:space="preserve">Car use was relatively low during the 1920s and 1930s but has increased consistently since the 1940s. Total passenger travel in Australian cities has grown almost ten-fold over the last </w:t>
      </w:r>
      <w:r w:rsidR="00047EA2">
        <w:t>70</w:t>
      </w:r>
      <w:r w:rsidR="00D1666E">
        <w:t xml:space="preserve"> years (</w:t>
      </w:r>
      <w:r w:rsidR="00A27F64">
        <w:t xml:space="preserve">BITRE </w:t>
      </w:r>
      <w:r w:rsidR="00D1666E">
        <w:t xml:space="preserve">2015). This has </w:t>
      </w:r>
      <w:r w:rsidR="004E1D41">
        <w:t>resulted in high levels of congestion, particularly in Sydney and Melbourne.</w:t>
      </w:r>
    </w:p>
    <w:p w14:paraId="06669519" w14:textId="77777777" w:rsidR="00DE748F" w:rsidRDefault="009868DA" w:rsidP="00155E57">
      <w:pPr>
        <w:spacing w:before="170" w:after="170"/>
      </w:pPr>
      <w:r>
        <w:t xml:space="preserve">Terrill </w:t>
      </w:r>
      <w:r w:rsidR="00B169DD">
        <w:t xml:space="preserve">et al. </w:t>
      </w:r>
      <w:r>
        <w:t xml:space="preserve">(2017) looked at 300 separate driving routes in Melbourne and Sydney. Melbourne </w:t>
      </w:r>
      <w:r w:rsidR="002B698B">
        <w:t>had congestion levels just as bad as Sydney,</w:t>
      </w:r>
      <w:r w:rsidR="00387260">
        <w:t xml:space="preserve"> despite having a lower population. </w:t>
      </w:r>
      <w:r w:rsidR="00445875">
        <w:t>Delays vary dramatically across the</w:t>
      </w:r>
      <w:r w:rsidR="00047EA2">
        <w:t xml:space="preserve"> two</w:t>
      </w:r>
      <w:r w:rsidR="00445875">
        <w:t xml:space="preserve"> cities, in some places being quite moderate and in others quite severe, but in general, delays were the most significant for trips into the CBD. </w:t>
      </w:r>
      <w:r w:rsidR="00B32534">
        <w:t>Terrill</w:t>
      </w:r>
      <w:r w:rsidR="00B169DD">
        <w:t xml:space="preserve"> et al.</w:t>
      </w:r>
      <w:r w:rsidR="00B32534">
        <w:t xml:space="preserve"> found that a trip to the CBD in </w:t>
      </w:r>
      <w:r w:rsidR="00DE748F">
        <w:t xml:space="preserve">morning </w:t>
      </w:r>
      <w:r w:rsidR="00B32534">
        <w:t xml:space="preserve">peak hour will take a commuter in Melbourne 70 per cent longer </w:t>
      </w:r>
      <w:r w:rsidR="00AA065E">
        <w:t xml:space="preserve">on average </w:t>
      </w:r>
      <w:r w:rsidR="00B32534">
        <w:t>than it does in free flowing traffic</w:t>
      </w:r>
      <w:r w:rsidR="00970AC6">
        <w:t>,</w:t>
      </w:r>
      <w:r w:rsidR="00B32534">
        <w:t xml:space="preserve"> while in Sydney it takes about 60 per cent longer</w:t>
      </w:r>
      <w:r w:rsidR="00AA065E">
        <w:t xml:space="preserve"> on average</w:t>
      </w:r>
      <w:r w:rsidR="00B32534">
        <w:t xml:space="preserve">. </w:t>
      </w:r>
      <w:r w:rsidR="00445875">
        <w:t>Sydney CBD co</w:t>
      </w:r>
      <w:r w:rsidR="00047EA2">
        <w:t>mmuters from Hurstville in the South and Balgowlah in the N</w:t>
      </w:r>
      <w:r w:rsidR="00445875">
        <w:t xml:space="preserve">orth face some of the worst delays in Sydney. Drivers into </w:t>
      </w:r>
      <w:r w:rsidR="00DE748F">
        <w:t xml:space="preserve">Melbourne’s </w:t>
      </w:r>
      <w:r w:rsidR="00445875">
        <w:t>CBD from Heidelberg, Kew and Doncaster in the North</w:t>
      </w:r>
      <w:r w:rsidR="00445875">
        <w:noBreakHyphen/>
        <w:t>East faced the longest delays</w:t>
      </w:r>
      <w:r w:rsidR="00DE748F">
        <w:t>.</w:t>
      </w:r>
    </w:p>
    <w:p w14:paraId="28728E3D" w14:textId="77777777" w:rsidR="00F17B86" w:rsidRDefault="00B32534" w:rsidP="00A36CBF">
      <w:pPr>
        <w:spacing w:before="170" w:after="170"/>
      </w:pPr>
      <w:proofErr w:type="spellStart"/>
      <w:r>
        <w:t>Austroads</w:t>
      </w:r>
      <w:proofErr w:type="spellEnd"/>
      <w:r>
        <w:t xml:space="preserve"> (2016) found similar results. </w:t>
      </w:r>
      <w:r w:rsidR="00387260">
        <w:t xml:space="preserve">In </w:t>
      </w:r>
      <w:r>
        <w:t xml:space="preserve">Sydney and Melbourne, road users need to allow an average </w:t>
      </w:r>
      <w:r w:rsidR="000462B0">
        <w:t xml:space="preserve">of </w:t>
      </w:r>
      <w:r>
        <w:t xml:space="preserve">50 per cent more time than </w:t>
      </w:r>
      <w:r w:rsidR="000462B0">
        <w:t xml:space="preserve">during </w:t>
      </w:r>
      <w:r>
        <w:t xml:space="preserve">free flow to complete their journeys during peak hours, when average speeds are as low as 29 km/hr and 34 km/hr respectively. Brisbane (52 km/hr) and Perth (58km/hr) perform better. Adelaide has the slowest average travel speed, but higher reliability, reflecting a road network with fewer motorways. Darwin and Hobart have low levels of congestion, with Canberra the best performing city overall, achieving average speeds over 60 km/hr. Despite these findings, </w:t>
      </w:r>
      <w:proofErr w:type="spellStart"/>
      <w:r>
        <w:t>Austroads</w:t>
      </w:r>
      <w:proofErr w:type="spellEnd"/>
      <w:r>
        <w:t xml:space="preserve"> found that Australian</w:t>
      </w:r>
      <w:r w:rsidRPr="00B32534">
        <w:t xml:space="preserve"> cities perform </w:t>
      </w:r>
      <w:r w:rsidR="00F00409">
        <w:t>broadly</w:t>
      </w:r>
      <w:r w:rsidRPr="00B32534">
        <w:t xml:space="preserve"> in lin</w:t>
      </w:r>
      <w:r>
        <w:t>e with international comparator cities such as Hamburg, Seattle and San Francisco</w:t>
      </w:r>
      <w:r w:rsidRPr="00B32534">
        <w:t xml:space="preserve"> on the three</w:t>
      </w:r>
      <w:r w:rsidR="00AF0916">
        <w:t> </w:t>
      </w:r>
      <w:r w:rsidRPr="00B32534">
        <w:t>key</w:t>
      </w:r>
      <w:r w:rsidR="00AF0916">
        <w:t> </w:t>
      </w:r>
      <w:r w:rsidRPr="00B32534">
        <w:t>measures of average speed, travel time delay and reliability.</w:t>
      </w:r>
    </w:p>
    <w:p w14:paraId="4DC78FCD" w14:textId="77777777" w:rsidR="00387260" w:rsidRDefault="00387260" w:rsidP="00A36CBF">
      <w:pPr>
        <w:keepNext/>
        <w:keepLines/>
      </w:pPr>
      <w:r>
        <w:lastRenderedPageBreak/>
        <w:t xml:space="preserve">Vehicle kilometres per person peaked in 2004-05 and have continued to decline since. Available literature suggests this trend may be driven by a social shift for </w:t>
      </w:r>
      <w:r w:rsidRPr="00281D90">
        <w:t xml:space="preserve">some travel </w:t>
      </w:r>
      <w:r>
        <w:t xml:space="preserve">to be replaced </w:t>
      </w:r>
      <w:r w:rsidRPr="00281D90">
        <w:t xml:space="preserve">with modern </w:t>
      </w:r>
      <w:r>
        <w:t>communication</w:t>
      </w:r>
      <w:r w:rsidRPr="00281D90">
        <w:t xml:space="preserve"> technologies; </w:t>
      </w:r>
      <w:r>
        <w:t>a preference for travel modes</w:t>
      </w:r>
      <w:r w:rsidR="00080600">
        <w:t xml:space="preserve"> </w:t>
      </w:r>
      <w:r>
        <w:t xml:space="preserve">more </w:t>
      </w:r>
      <w:r w:rsidRPr="00281D90">
        <w:t xml:space="preserve">compatible with mobile </w:t>
      </w:r>
      <w:r w:rsidR="00080600">
        <w:t>phone</w:t>
      </w:r>
      <w:r w:rsidR="009A20B9">
        <w:t xml:space="preserve"> </w:t>
      </w:r>
      <w:r w:rsidRPr="00281D90">
        <w:t xml:space="preserve">use </w:t>
      </w:r>
      <w:r w:rsidR="00080600">
        <w:t>such as public transport</w:t>
      </w:r>
      <w:r>
        <w:t xml:space="preserve">; and </w:t>
      </w:r>
      <w:r w:rsidRPr="00281D90">
        <w:t xml:space="preserve">younger people </w:t>
      </w:r>
      <w:r>
        <w:t>delaying</w:t>
      </w:r>
      <w:r w:rsidRPr="00281D90">
        <w:t xml:space="preserve"> (or even refrain</w:t>
      </w:r>
      <w:r>
        <w:t>ing</w:t>
      </w:r>
      <w:r w:rsidRPr="00281D90">
        <w:t xml:space="preserve"> from) getting a driver’s licence</w:t>
      </w:r>
      <w:r>
        <w:t xml:space="preserve"> (Goodwin 2012). </w:t>
      </w:r>
      <w:r w:rsidR="00AA065E">
        <w:t xml:space="preserve">Disruptive innovations such as </w:t>
      </w:r>
      <w:r w:rsidR="00E61207">
        <w:t>car</w:t>
      </w:r>
      <w:r w:rsidR="00AA065E">
        <w:t xml:space="preserve"> sharing services also potentially make car ownership less attractive for some groups. </w:t>
      </w:r>
      <w:r w:rsidR="009A20B9">
        <w:t>While it is possible that th</w:t>
      </w:r>
      <w:r w:rsidR="00AA065E">
        <w:t>e</w:t>
      </w:r>
      <w:r w:rsidR="009A20B9">
        <w:t xml:space="preserve"> trend </w:t>
      </w:r>
      <w:r w:rsidR="00AA065E">
        <w:t xml:space="preserve">for lower vehicle kilometres per person </w:t>
      </w:r>
      <w:r w:rsidR="009A20B9">
        <w:t xml:space="preserve">may reverse, if </w:t>
      </w:r>
      <w:r w:rsidR="00AA065E">
        <w:t>the trend continues it</w:t>
      </w:r>
      <w:r w:rsidR="009A20B9">
        <w:t xml:space="preserve"> will help </w:t>
      </w:r>
      <w:r w:rsidR="00AA065E">
        <w:t xml:space="preserve">alleviate </w:t>
      </w:r>
      <w:r w:rsidR="009A20B9">
        <w:t>some of the impacts of population growth on congestion.</w:t>
      </w:r>
      <w:r w:rsidR="00BB674D">
        <w:t xml:space="preserve"> </w:t>
      </w:r>
      <w:r w:rsidR="00AA065E">
        <w:t>Nevertheless, road network congestion is expected to continue to rise, particularly in Sydney and Melbourne (</w:t>
      </w:r>
      <w:r w:rsidR="00D1666E">
        <w:rPr>
          <w:rFonts w:asciiTheme="minorHAnsi" w:hAnsiTheme="minorHAnsi"/>
          <w:lang w:val="en-US"/>
        </w:rPr>
        <w:t>BITRE</w:t>
      </w:r>
      <w:r w:rsidR="00655BB8" w:rsidRPr="00204264">
        <w:rPr>
          <w:rFonts w:asciiTheme="minorHAnsi" w:hAnsiTheme="minorHAnsi"/>
          <w:lang w:val="en-US"/>
        </w:rPr>
        <w:t xml:space="preserve"> </w:t>
      </w:r>
      <w:r w:rsidR="00AA065E">
        <w:t>2015). This points to a likely increase in congestion costs and a possible role for traffic management measures to help moderate some of these impacts.</w:t>
      </w:r>
    </w:p>
    <w:p w14:paraId="7BE49CE9" w14:textId="77777777" w:rsidR="008415B8" w:rsidRPr="00DC385A" w:rsidRDefault="008415B8" w:rsidP="002427F4">
      <w:pPr>
        <w:pStyle w:val="Heading3Numbered"/>
      </w:pPr>
      <w:r w:rsidRPr="00DC385A">
        <w:t>Australians largely continue to support a multicultural nation</w:t>
      </w:r>
    </w:p>
    <w:p w14:paraId="0C649700" w14:textId="77777777" w:rsidR="008415B8" w:rsidRDefault="008415B8" w:rsidP="00631304">
      <w:r w:rsidRPr="00812D48">
        <w:t xml:space="preserve">A socially cohesive society is </w:t>
      </w:r>
      <w:r w:rsidR="00021968">
        <w:t>‘</w:t>
      </w:r>
      <w:r w:rsidRPr="00812D48">
        <w:t>one that works towards the wellbeing of all its members, fights exclusion and marginalisation, creates a sense of belonging, promotes trust, and offers its members the opportunity of upward mobility</w:t>
      </w:r>
      <w:r w:rsidR="00021968">
        <w:t>’</w:t>
      </w:r>
      <w:r w:rsidR="00C32B7B">
        <w:t xml:space="preserve"> (OECD </w:t>
      </w:r>
      <w:r w:rsidR="00B858CF">
        <w:t>201</w:t>
      </w:r>
      <w:r w:rsidR="00655BB8">
        <w:t>1</w:t>
      </w:r>
      <w:r w:rsidR="00C32B7B">
        <w:t>)</w:t>
      </w:r>
      <w:r>
        <w:t>.</w:t>
      </w:r>
      <w:r w:rsidR="00021968">
        <w:t xml:space="preserve"> </w:t>
      </w:r>
      <w:r w:rsidRPr="00812D48">
        <w:t xml:space="preserve">In particular, immigration policy needs to be sensitive to its social cohesion impact so that it maintains public support and </w:t>
      </w:r>
      <w:r w:rsidR="00C32B7B">
        <w:t>remains a useful tool with which</w:t>
      </w:r>
      <w:r w:rsidRPr="00812D48">
        <w:t xml:space="preserve"> to respond to the country</w:t>
      </w:r>
      <w:r w:rsidR="00021968">
        <w:t>’</w:t>
      </w:r>
      <w:r w:rsidRPr="00812D48">
        <w:t>s economic imperatives.</w:t>
      </w:r>
    </w:p>
    <w:p w14:paraId="0A019453" w14:textId="77777777" w:rsidR="008415B8" w:rsidRPr="005C625F" w:rsidRDefault="008415B8" w:rsidP="002427F4">
      <w:pPr>
        <w:pStyle w:val="Heading4"/>
      </w:pPr>
      <w:r>
        <w:t>Surveys of social cohesion continue to show positive results</w:t>
      </w:r>
    </w:p>
    <w:p w14:paraId="79A3E5E7" w14:textId="77777777" w:rsidR="008415B8" w:rsidRDefault="008415B8" w:rsidP="00631304">
      <w:r>
        <w:t>Australia is one of the most culturally diverse and socially cohesive nations in the world (Markus 2016a).</w:t>
      </w:r>
      <w:r w:rsidR="00C32B7B">
        <w:t xml:space="preserve"> </w:t>
      </w:r>
      <w:r>
        <w:t>Since 2007, the Scanlon Foundation has conducted nine detailed national surveys, together with a further seven local area and sub</w:t>
      </w:r>
      <w:r w:rsidR="00021968">
        <w:noBreakHyphen/>
      </w:r>
      <w:r>
        <w:t xml:space="preserve">national surveys, on social cohesion, immigration and population issues. </w:t>
      </w:r>
      <w:r w:rsidR="00C32B7B">
        <w:t>These surveys have consistently found that Australia is a stable</w:t>
      </w:r>
      <w:r w:rsidR="00047EA2">
        <w:t>,</w:t>
      </w:r>
      <w:r w:rsidR="00C32B7B">
        <w:t xml:space="preserve"> highly cohesive society. Australians tend to be supportive of immigration and the benefits it has brought to the Australian economy.</w:t>
      </w:r>
    </w:p>
    <w:p w14:paraId="1FB7C023" w14:textId="77777777" w:rsidR="008415B8" w:rsidRDefault="00C32B7B" w:rsidP="00C32B7B">
      <w:r>
        <w:t>However, t</w:t>
      </w:r>
      <w:r w:rsidR="008415B8">
        <w:t xml:space="preserve">here are </w:t>
      </w:r>
      <w:r>
        <w:t xml:space="preserve">also </w:t>
      </w:r>
      <w:r w:rsidR="008415B8">
        <w:t>some contrasting views, with relatively high levels of negativity towards Muslims and an increase in the proportion of people experiencing discrimination on the basis of skin</w:t>
      </w:r>
      <w:r w:rsidR="000A07A2">
        <w:t xml:space="preserve"> colour, ethnicity or religion.</w:t>
      </w:r>
    </w:p>
    <w:p w14:paraId="6752C3DF" w14:textId="77777777" w:rsidR="008415B8" w:rsidRDefault="00C32B7B" w:rsidP="00631304">
      <w:r>
        <w:t>Nonetheless</w:t>
      </w:r>
      <w:r w:rsidR="008415B8">
        <w:t xml:space="preserve">, a key finding </w:t>
      </w:r>
      <w:r>
        <w:t xml:space="preserve">of the 2016 Scanlon Foundation survey </w:t>
      </w:r>
      <w:r w:rsidR="008415B8">
        <w:t>was that concern</w:t>
      </w:r>
      <w:r w:rsidR="00DE0B2E">
        <w:t xml:space="preserve">s about </w:t>
      </w:r>
      <w:r w:rsidR="00683F2F">
        <w:t>immigration remain low: 34 </w:t>
      </w:r>
      <w:r w:rsidR="008415B8">
        <w:t>per</w:t>
      </w:r>
      <w:r w:rsidR="00683F2F">
        <w:t> </w:t>
      </w:r>
      <w:r w:rsidR="008415B8">
        <w:t>cent</w:t>
      </w:r>
      <w:r>
        <w:t xml:space="preserve"> of respond</w:t>
      </w:r>
      <w:r w:rsidR="000462B0">
        <w:t>e</w:t>
      </w:r>
      <w:r>
        <w:t>nts</w:t>
      </w:r>
      <w:r w:rsidR="008415B8">
        <w:t xml:space="preserve"> considered that the immigration intake was </w:t>
      </w:r>
      <w:r w:rsidR="00021968">
        <w:t>‘</w:t>
      </w:r>
      <w:r w:rsidR="008415B8">
        <w:t>too</w:t>
      </w:r>
      <w:r w:rsidR="0006527A">
        <w:t> </w:t>
      </w:r>
      <w:r w:rsidR="008415B8">
        <w:t>high</w:t>
      </w:r>
      <w:r w:rsidR="00021968">
        <w:t>’</w:t>
      </w:r>
      <w:r>
        <w:t>, which is</w:t>
      </w:r>
      <w:r w:rsidR="008415B8">
        <w:t xml:space="preserve"> the lowest </w:t>
      </w:r>
      <w:r w:rsidR="00DE0B2E">
        <w:t>percentage ever</w:t>
      </w:r>
      <w:r w:rsidR="000462B0">
        <w:t xml:space="preserve"> </w:t>
      </w:r>
      <w:r w:rsidR="008415B8">
        <w:t>recorded in the Scanlon surveys</w:t>
      </w:r>
      <w:r w:rsidR="008415B8" w:rsidRPr="00117062">
        <w:t xml:space="preserve"> </w:t>
      </w:r>
      <w:r w:rsidR="008415B8">
        <w:t>and consistent with the findings of recent ANU, Lowy Institute and Roy Morgan polls (</w:t>
      </w:r>
      <w:r w:rsidR="008415B8" w:rsidRPr="00325BC2">
        <w:t>Markus</w:t>
      </w:r>
      <w:r w:rsidR="008415B8">
        <w:t> </w:t>
      </w:r>
      <w:r w:rsidR="008415B8" w:rsidRPr="00325BC2">
        <w:t>2016b</w:t>
      </w:r>
      <w:r w:rsidR="008415B8">
        <w:t>)</w:t>
      </w:r>
      <w:r w:rsidR="00021968">
        <w:t xml:space="preserve">. </w:t>
      </w:r>
      <w:r>
        <w:t>The survey</w:t>
      </w:r>
      <w:r w:rsidR="008415B8">
        <w:t xml:space="preserve"> also showed high levels of support </w:t>
      </w:r>
      <w:r w:rsidR="00861A23">
        <w:t xml:space="preserve">(80 per cent) </w:t>
      </w:r>
      <w:r w:rsidR="008415B8">
        <w:t xml:space="preserve">for refugees resettled under the Humanitarian Program. </w:t>
      </w:r>
      <w:r w:rsidR="00861A23">
        <w:t>Further, t</w:t>
      </w:r>
      <w:r w:rsidR="008415B8">
        <w:t xml:space="preserve">here was a high level of agreement with the proposition that </w:t>
      </w:r>
      <w:r w:rsidR="00021968">
        <w:t>‘</w:t>
      </w:r>
      <w:r w:rsidR="008415B8">
        <w:t>multiculturalism has been good for Australia</w:t>
      </w:r>
      <w:r w:rsidR="00021968">
        <w:t>’</w:t>
      </w:r>
      <w:r w:rsidR="00861A23">
        <w:t xml:space="preserve"> – a</w:t>
      </w:r>
      <w:r w:rsidR="008415B8">
        <w:t xml:space="preserve"> consistent</w:t>
      </w:r>
      <w:r w:rsidR="00861A23">
        <w:t xml:space="preserve"> finding</w:t>
      </w:r>
      <w:r w:rsidR="008415B8">
        <w:t xml:space="preserve"> </w:t>
      </w:r>
      <w:r w:rsidR="00861A23">
        <w:t>over time</w:t>
      </w:r>
      <w:r w:rsidR="008415B8">
        <w:t xml:space="preserve">. Australians generally report high levels of life satisfaction and </w:t>
      </w:r>
      <w:r w:rsidR="00DE0B2E">
        <w:t xml:space="preserve">a </w:t>
      </w:r>
      <w:r w:rsidR="008415B8">
        <w:t xml:space="preserve">sense of belonging and pride in Australia and the Australian way of </w:t>
      </w:r>
      <w:proofErr w:type="gramStart"/>
      <w:r w:rsidR="008415B8">
        <w:t>life</w:t>
      </w:r>
      <w:proofErr w:type="gramEnd"/>
      <w:r w:rsidR="0006527A">
        <w:br/>
      </w:r>
      <w:r w:rsidR="008415B8">
        <w:t xml:space="preserve">(Dandy &amp; </w:t>
      </w:r>
      <w:proofErr w:type="spellStart"/>
      <w:r w:rsidR="008415B8">
        <w:t>Pe</w:t>
      </w:r>
      <w:r w:rsidR="00021968">
        <w:noBreakHyphen/>
      </w:r>
      <w:r w:rsidR="008415B8">
        <w:t>Pua</w:t>
      </w:r>
      <w:proofErr w:type="spellEnd"/>
      <w:r w:rsidR="008415B8" w:rsidRPr="00325BC2">
        <w:t xml:space="preserve"> 2013</w:t>
      </w:r>
      <w:r w:rsidR="008415B8">
        <w:t>).</w:t>
      </w:r>
    </w:p>
    <w:p w14:paraId="6D3134F3" w14:textId="77777777" w:rsidR="008415B8" w:rsidRDefault="008415B8" w:rsidP="002427F4">
      <w:pPr>
        <w:pStyle w:val="Heading4"/>
      </w:pPr>
      <w:r>
        <w:t>A number of factors influence public views on immigration</w:t>
      </w:r>
    </w:p>
    <w:p w14:paraId="13C9408C" w14:textId="77777777" w:rsidR="008415B8" w:rsidRPr="00E66742" w:rsidRDefault="008415B8">
      <w:pPr>
        <w:pStyle w:val="Heading5"/>
      </w:pPr>
      <w:r w:rsidRPr="00E66742">
        <w:t>Economy</w:t>
      </w:r>
    </w:p>
    <w:p w14:paraId="2ABDEE7D" w14:textId="77777777" w:rsidR="008415B8" w:rsidRDefault="008415B8" w:rsidP="00631304">
      <w:r>
        <w:t xml:space="preserve">Although community support for immigration has been consistently high over the past 15 years — even as migration levels have increased — the performance of the Australian economy, and particularly </w:t>
      </w:r>
      <w:r w:rsidR="00861A23">
        <w:t xml:space="preserve">the </w:t>
      </w:r>
      <w:r>
        <w:t>unemployment</w:t>
      </w:r>
      <w:r w:rsidR="00861A23">
        <w:t xml:space="preserve"> rate</w:t>
      </w:r>
      <w:r>
        <w:t>, appears to influence community attitudes towards migration levels (</w:t>
      </w:r>
      <w:r w:rsidR="00554687">
        <w:t>Figure 3</w:t>
      </w:r>
      <w:r w:rsidR="00921CB6">
        <w:t>5</w:t>
      </w:r>
      <w:r>
        <w:t>)</w:t>
      </w:r>
      <w:r w:rsidR="000A07A2">
        <w:t>.</w:t>
      </w:r>
    </w:p>
    <w:p w14:paraId="5372EAA8" w14:textId="77777777" w:rsidR="008415B8" w:rsidRPr="00142E9B" w:rsidRDefault="008415B8" w:rsidP="000B438C">
      <w:pPr>
        <w:pStyle w:val="ChartMainHeading"/>
      </w:pPr>
      <w:bookmarkStart w:id="120" w:name="_Ref489970415"/>
      <w:r w:rsidRPr="00142E9B">
        <w:lastRenderedPageBreak/>
        <w:t>Figure</w:t>
      </w:r>
      <w:bookmarkEnd w:id="120"/>
      <w:r w:rsidR="00554687">
        <w:t xml:space="preserve"> 3</w:t>
      </w:r>
      <w:r w:rsidR="00921CB6">
        <w:t>5</w:t>
      </w:r>
      <w:r w:rsidRPr="00142E9B">
        <w:t>: Concerns over migration rise and fall with unemployment levels</w:t>
      </w:r>
    </w:p>
    <w:p w14:paraId="7AA1002D" w14:textId="77777777" w:rsidR="008415B8" w:rsidRDefault="008415B8" w:rsidP="005F3E79">
      <w:pPr>
        <w:pStyle w:val="ChartGraphic"/>
      </w:pPr>
      <w:r w:rsidRPr="008415B8">
        <w:rPr>
          <w:noProof/>
        </w:rPr>
        <w:drawing>
          <wp:inline distT="0" distB="0" distL="0" distR="0" wp14:anchorId="29EEEC8D" wp14:editId="4DF5A7C7">
            <wp:extent cx="5427740" cy="3036498"/>
            <wp:effectExtent l="0" t="0" r="1905"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anlon survey.png"/>
                    <pic:cNvPicPr/>
                  </pic:nvPicPr>
                  <pic:blipFill rotWithShape="1">
                    <a:blip r:embed="rId97" cstate="print">
                      <a:extLst>
                        <a:ext uri="{28A0092B-C50C-407E-A947-70E740481C1C}">
                          <a14:useLocalDpi xmlns:a14="http://schemas.microsoft.com/office/drawing/2010/main" val="0"/>
                        </a:ext>
                      </a:extLst>
                    </a:blip>
                    <a:srcRect l="1197" t="2129" r="1497" b="1797"/>
                    <a:stretch/>
                  </pic:blipFill>
                  <pic:spPr bwMode="auto">
                    <a:xfrm>
                      <a:off x="0" y="0"/>
                      <a:ext cx="5425664" cy="3035336"/>
                    </a:xfrm>
                    <a:prstGeom prst="rect">
                      <a:avLst/>
                    </a:prstGeom>
                    <a:ln>
                      <a:noFill/>
                    </a:ln>
                    <a:extLst>
                      <a:ext uri="{53640926-AAD7-44D8-BBD7-CCE9431645EC}">
                        <a14:shadowObscured xmlns:a14="http://schemas.microsoft.com/office/drawing/2010/main"/>
                      </a:ext>
                    </a:extLst>
                  </pic:spPr>
                </pic:pic>
              </a:graphicData>
            </a:graphic>
          </wp:inline>
        </w:drawing>
      </w:r>
    </w:p>
    <w:p w14:paraId="0D90B3B0" w14:textId="77777777" w:rsidR="00936BD2" w:rsidRPr="00155E57" w:rsidRDefault="00936BD2" w:rsidP="00155E57">
      <w:pPr>
        <w:pStyle w:val="ChartorTableNote"/>
      </w:pPr>
      <w:r w:rsidRPr="00155E57">
        <w:t>Note: Breaks in this chart represent non</w:t>
      </w:r>
      <w:r w:rsidRPr="00155E57">
        <w:noBreakHyphen/>
        <w:t>continuous data sources.</w:t>
      </w:r>
    </w:p>
    <w:p w14:paraId="034A2BA7" w14:textId="77777777" w:rsidR="00155E57" w:rsidRPr="00155E57" w:rsidRDefault="008415B8" w:rsidP="00A36CBF">
      <w:pPr>
        <w:pStyle w:val="ChartorTableNote"/>
      </w:pPr>
      <w:r w:rsidRPr="00155E57">
        <w:t>Source: Markus 2016b (drawing on the Scanlon Foundation surveys and e</w:t>
      </w:r>
      <w:r w:rsidR="00A36CBF">
        <w:t>arlier social surveys).</w:t>
      </w:r>
    </w:p>
    <w:p w14:paraId="4F79486F" w14:textId="77777777" w:rsidR="008415B8" w:rsidRPr="00325EAE" w:rsidRDefault="008415B8" w:rsidP="008415B8">
      <w:pPr>
        <w:pStyle w:val="Heading5"/>
      </w:pPr>
      <w:r w:rsidRPr="008415B8">
        <w:t>Local</w:t>
      </w:r>
      <w:r w:rsidRPr="00325EAE">
        <w:t xml:space="preserve"> factors</w:t>
      </w:r>
    </w:p>
    <w:p w14:paraId="7ADCAEF4" w14:textId="77777777" w:rsidR="008415B8" w:rsidRDefault="008415B8" w:rsidP="00155E57">
      <w:r>
        <w:t>Migrants are largely drawn to settle in large metropolitan areas where there are more job opportunities and where their family members and co</w:t>
      </w:r>
      <w:r w:rsidR="00021968">
        <w:noBreakHyphen/>
      </w:r>
      <w:r>
        <w:t>ethnic communities are already settled. This can be beneficial if jobs are available and communities are supportive, as community and social networks can assist in orientation, adapting to local market conditions and finding employment</w:t>
      </w:r>
      <w:r w:rsidR="00021968">
        <w:t xml:space="preserve">. </w:t>
      </w:r>
      <w:r>
        <w:t>However, ethnic co</w:t>
      </w:r>
      <w:r w:rsidR="00021968">
        <w:noBreakHyphen/>
      </w:r>
      <w:r>
        <w:t>location can be less positive if the local areas are of low socio</w:t>
      </w:r>
      <w:r w:rsidR="00021968">
        <w:noBreakHyphen/>
      </w:r>
      <w:r>
        <w:t>economic status and high unemployment. While pockets of such disadvantage coupled with high migrant populations</w:t>
      </w:r>
      <w:r w:rsidR="00861A23">
        <w:t xml:space="preserve"> do exist</w:t>
      </w:r>
      <w:r>
        <w:t xml:space="preserve">, Australia has to date avoided the </w:t>
      </w:r>
      <w:r w:rsidR="00AA065E">
        <w:t>isolated migrant communities</w:t>
      </w:r>
      <w:r>
        <w:t xml:space="preserve"> </w:t>
      </w:r>
      <w:r w:rsidR="00861A23">
        <w:t xml:space="preserve">that exist </w:t>
      </w:r>
      <w:r>
        <w:t>in many other countries.</w:t>
      </w:r>
    </w:p>
    <w:p w14:paraId="7F30B54E" w14:textId="77777777" w:rsidR="00861A23" w:rsidRPr="000A07A2" w:rsidRDefault="008415B8" w:rsidP="00155E57">
      <w:r>
        <w:t xml:space="preserve">Scanlon </w:t>
      </w:r>
      <w:r w:rsidR="00861A23">
        <w:t>Foundation surveys of</w:t>
      </w:r>
      <w:r w:rsidRPr="0017701E">
        <w:t xml:space="preserve"> selected </w:t>
      </w:r>
      <w:r w:rsidR="00A36A2C">
        <w:t>L</w:t>
      </w:r>
      <w:r w:rsidRPr="0017701E">
        <w:t xml:space="preserve">ocal </w:t>
      </w:r>
      <w:r>
        <w:t>government</w:t>
      </w:r>
      <w:r w:rsidRPr="0017701E">
        <w:t xml:space="preserve"> areas</w:t>
      </w:r>
      <w:r w:rsidR="00861A23">
        <w:t xml:space="preserve"> have consistently found</w:t>
      </w:r>
      <w:r w:rsidRPr="0017701E">
        <w:t xml:space="preserve"> lower levels of social cohesion in regions </w:t>
      </w:r>
      <w:r w:rsidR="00861A23">
        <w:t>with both a</w:t>
      </w:r>
      <w:r w:rsidRPr="0017701E">
        <w:t xml:space="preserve"> high immigrant concentration and low socio</w:t>
      </w:r>
      <w:r w:rsidR="00021968">
        <w:noBreakHyphen/>
      </w:r>
      <w:r w:rsidRPr="0017701E">
        <w:t>economic status</w:t>
      </w:r>
      <w:r w:rsidR="00861A23">
        <w:t xml:space="preserve">. This is reflected in </w:t>
      </w:r>
      <w:r w:rsidRPr="0017701E">
        <w:t>survey findings on trust, sense of safety, experience of discrimination, political participation and involvement i</w:t>
      </w:r>
      <w:r>
        <w:t xml:space="preserve">n voluntary work. </w:t>
      </w:r>
      <w:r w:rsidRPr="0017701E">
        <w:t xml:space="preserve">A relatively high proportion of </w:t>
      </w:r>
      <w:r w:rsidR="00021968">
        <w:t>‘</w:t>
      </w:r>
      <w:r w:rsidRPr="0017701E">
        <w:t>long</w:t>
      </w:r>
      <w:r w:rsidR="00ED300D">
        <w:t>-</w:t>
      </w:r>
      <w:r w:rsidRPr="0017701E">
        <w:t>term</w:t>
      </w:r>
      <w:r w:rsidR="00021968">
        <w:t>’</w:t>
      </w:r>
      <w:r w:rsidRPr="0017701E">
        <w:t xml:space="preserve"> (third</w:t>
      </w:r>
      <w:r w:rsidR="00021968">
        <w:noBreakHyphen/>
      </w:r>
      <w:r w:rsidRPr="0017701E">
        <w:t>generation or longer) Australians in these areas indicate dissatisfaction with their neighbourhoods</w:t>
      </w:r>
      <w:r w:rsidR="00FD0A8E">
        <w:t xml:space="preserve"> (Markus 2012)</w:t>
      </w:r>
      <w:r w:rsidRPr="0017701E">
        <w:t>.</w:t>
      </w:r>
      <w:r>
        <w:t xml:space="preserve"> However, </w:t>
      </w:r>
      <w:r w:rsidRPr="0017701E">
        <w:t xml:space="preserve">it </w:t>
      </w:r>
      <w:r w:rsidR="00861A23">
        <w:t>has been</w:t>
      </w:r>
      <w:r w:rsidRPr="0017701E">
        <w:t xml:space="preserve"> argued that </w:t>
      </w:r>
      <w:r>
        <w:t xml:space="preserve">it is </w:t>
      </w:r>
      <w:r w:rsidRPr="008E78AA">
        <w:rPr>
          <w:i/>
        </w:rPr>
        <w:t>segregation</w:t>
      </w:r>
      <w:r w:rsidRPr="0017701E">
        <w:t xml:space="preserve"> </w:t>
      </w:r>
      <w:r>
        <w:t xml:space="preserve">that </w:t>
      </w:r>
      <w:r w:rsidRPr="0017701E">
        <w:t xml:space="preserve">reduces trust, rather than </w:t>
      </w:r>
      <w:r w:rsidRPr="008E78AA">
        <w:rPr>
          <w:i/>
        </w:rPr>
        <w:t>diversity</w:t>
      </w:r>
      <w:r w:rsidRPr="0017701E">
        <w:t xml:space="preserve"> in itself</w:t>
      </w:r>
      <w:r>
        <w:t>,</w:t>
      </w:r>
      <w:r w:rsidRPr="0017701E">
        <w:t xml:space="preserve"> and that diverse but integrated neighbourhoods</w:t>
      </w:r>
      <w:r>
        <w:t xml:space="preserve"> (whose members have diverse social networks)</w:t>
      </w:r>
      <w:r w:rsidRPr="0017701E">
        <w:t xml:space="preserve"> </w:t>
      </w:r>
      <w:r>
        <w:t xml:space="preserve">actually </w:t>
      </w:r>
      <w:r w:rsidRPr="0017701E">
        <w:t>hav</w:t>
      </w:r>
      <w:r w:rsidRPr="008C694B">
        <w:t>e higher le</w:t>
      </w:r>
      <w:r w:rsidRPr="0017701E">
        <w:t>vels of trust</w:t>
      </w:r>
      <w:r w:rsidR="00FD0A8E">
        <w:t xml:space="preserve"> (</w:t>
      </w:r>
      <w:proofErr w:type="spellStart"/>
      <w:r w:rsidR="00FD0A8E">
        <w:t>Uslaner</w:t>
      </w:r>
      <w:proofErr w:type="spellEnd"/>
      <w:r w:rsidR="00FD0A8E">
        <w:t xml:space="preserve"> 2012)</w:t>
      </w:r>
      <w:r w:rsidRPr="0017701E">
        <w:t>.</w:t>
      </w:r>
      <w:r>
        <w:t xml:space="preserve"> Studies have shown that more diverse communities are, in general, more accepting of difference</w:t>
      </w:r>
      <w:r w:rsidR="00FD0A8E">
        <w:t xml:space="preserve"> (</w:t>
      </w:r>
      <w:proofErr w:type="spellStart"/>
      <w:r w:rsidR="00FD0A8E">
        <w:t>Allport</w:t>
      </w:r>
      <w:proofErr w:type="spellEnd"/>
      <w:r w:rsidR="00FD0A8E">
        <w:t xml:space="preserve"> 1954</w:t>
      </w:r>
      <w:r w:rsidR="00C53E88">
        <w:t>;</w:t>
      </w:r>
      <w:r w:rsidR="00FD0A8E">
        <w:t xml:space="preserve"> </w:t>
      </w:r>
      <w:r w:rsidR="00C53E88">
        <w:t xml:space="preserve">Christ et </w:t>
      </w:r>
      <w:r w:rsidR="00C53E88" w:rsidRPr="000A07A2">
        <w:t xml:space="preserve">al. </w:t>
      </w:r>
      <w:r w:rsidR="00FD0A8E" w:rsidRPr="000A07A2">
        <w:t>2014)</w:t>
      </w:r>
      <w:r w:rsidRPr="000A07A2">
        <w:t>.</w:t>
      </w:r>
    </w:p>
    <w:p w14:paraId="0AA87C7B" w14:textId="77777777" w:rsidR="00155E57" w:rsidRDefault="00861A23" w:rsidP="00A36CBF">
      <w:r w:rsidRPr="00DC385A">
        <w:t xml:space="preserve">Among skilled migrants, highest priority is given to those seeking </w:t>
      </w:r>
      <w:r w:rsidR="00DE0B2E">
        <w:t xml:space="preserve">to </w:t>
      </w:r>
      <w:r w:rsidRPr="00DC385A">
        <w:t>migrat</w:t>
      </w:r>
      <w:r w:rsidR="00DE0B2E">
        <w:t>e</w:t>
      </w:r>
      <w:r w:rsidRPr="00DC385A">
        <w:t xml:space="preserve"> to</w:t>
      </w:r>
      <w:r>
        <w:t xml:space="preserve"> a regional area (PC </w:t>
      </w:r>
      <w:r w:rsidRPr="00DC385A">
        <w:t>2016). This policy is designed to address skill shortages in regional Australia and has helped attract skilled migrants to areas where they are needed (</w:t>
      </w:r>
      <w:r w:rsidR="0015743F">
        <w:t>Wright et al.</w:t>
      </w:r>
      <w:r w:rsidR="0015743F" w:rsidRPr="00DC385A">
        <w:t xml:space="preserve"> </w:t>
      </w:r>
      <w:r w:rsidRPr="00DC385A">
        <w:t>2016). However, retaining skilled migrants</w:t>
      </w:r>
      <w:r w:rsidR="000E2767">
        <w:t>, just like retaining skilled Australian</w:t>
      </w:r>
      <w:r w:rsidR="000E2767">
        <w:noBreakHyphen/>
        <w:t>born residents,</w:t>
      </w:r>
      <w:r w:rsidRPr="00DC385A">
        <w:t xml:space="preserve"> in regional and remote locations remains a challenge</w:t>
      </w:r>
      <w:r w:rsidR="000E2767">
        <w:t>. M</w:t>
      </w:r>
      <w:r w:rsidRPr="00DC385A">
        <w:t>any migrants move to larger cities once their visa requirements for permanent residency are met (Taylor</w:t>
      </w:r>
      <w:r w:rsidR="00C53E88">
        <w:t xml:space="preserve">, Bell &amp; </w:t>
      </w:r>
      <w:proofErr w:type="spellStart"/>
      <w:r w:rsidR="00C53E88">
        <w:t>Gerritsen</w:t>
      </w:r>
      <w:proofErr w:type="spellEnd"/>
      <w:r w:rsidRPr="00DC385A">
        <w:t xml:space="preserve"> 2014).</w:t>
      </w:r>
    </w:p>
    <w:p w14:paraId="7CBC39FF" w14:textId="77777777" w:rsidR="000462B0" w:rsidRDefault="000462B0" w:rsidP="00A36CBF">
      <w:pPr>
        <w:keepNext/>
        <w:keepLines/>
      </w:pPr>
      <w:r>
        <w:lastRenderedPageBreak/>
        <w:t>R</w:t>
      </w:r>
      <w:r w:rsidRPr="001434B3">
        <w:t xml:space="preserve">egional settlement locations have proved successful over time, in particular for Humanitarian </w:t>
      </w:r>
      <w:r>
        <w:t xml:space="preserve">Program </w:t>
      </w:r>
      <w:r w:rsidRPr="001434B3">
        <w:t>entrants with no direct family or community links in Australia. This is particularly the case where there are employment opportunities, sufficient support services and the local community is welcoming.</w:t>
      </w:r>
    </w:p>
    <w:p w14:paraId="5C09D822" w14:textId="77777777" w:rsidR="008415B8" w:rsidRPr="00F85C74" w:rsidRDefault="008415B8" w:rsidP="008415B8">
      <w:pPr>
        <w:pStyle w:val="Heading5"/>
        <w:rPr>
          <w:shd w:val="clear" w:color="auto" w:fill="FFFFFF"/>
        </w:rPr>
      </w:pPr>
      <w:r w:rsidRPr="00F85C74">
        <w:rPr>
          <w:shd w:val="clear" w:color="auto" w:fill="FFFFFF"/>
        </w:rPr>
        <w:t>Settlement services</w:t>
      </w:r>
    </w:p>
    <w:p w14:paraId="00B56ACB" w14:textId="77777777" w:rsidR="008415B8" w:rsidRDefault="008415B8" w:rsidP="00304D25">
      <w:r>
        <w:t xml:space="preserve">Effective settlement services and multicultural policies have assisted migrants to gain employment, learn English </w:t>
      </w:r>
      <w:r w:rsidR="00861A23">
        <w:t>if needed</w:t>
      </w:r>
      <w:r>
        <w:t>, improve their skills, and participate in the community</w:t>
      </w:r>
      <w:r w:rsidR="00021968">
        <w:t xml:space="preserve">. </w:t>
      </w:r>
      <w:r>
        <w:t xml:space="preserve">This helps </w:t>
      </w:r>
      <w:r w:rsidR="00861A23">
        <w:t>migrants</w:t>
      </w:r>
      <w:r>
        <w:t>, their families</w:t>
      </w:r>
      <w:r w:rsidR="00861A23">
        <w:t>,</w:t>
      </w:r>
      <w:r>
        <w:t xml:space="preserve"> and </w:t>
      </w:r>
      <w:r w:rsidR="00861A23">
        <w:t xml:space="preserve">the broader </w:t>
      </w:r>
      <w:r>
        <w:t>Australian society.</w:t>
      </w:r>
    </w:p>
    <w:p w14:paraId="4ACEAA70" w14:textId="77777777" w:rsidR="00896AD2" w:rsidRDefault="008415B8" w:rsidP="00304D25">
      <w:r>
        <w:t>Australia</w:t>
      </w:r>
      <w:r w:rsidR="00021968">
        <w:t>’</w:t>
      </w:r>
      <w:r>
        <w:t>s</w:t>
      </w:r>
      <w:r w:rsidRPr="008F572D">
        <w:t xml:space="preserve"> focus on skilled migration means that </w:t>
      </w:r>
      <w:r w:rsidR="00A24E28">
        <w:t>primary s</w:t>
      </w:r>
      <w:r>
        <w:t>kill stream migrants</w:t>
      </w:r>
      <w:r w:rsidRPr="008F572D">
        <w:t xml:space="preserve"> are often well</w:t>
      </w:r>
      <w:r w:rsidR="00021968">
        <w:noBreakHyphen/>
      </w:r>
      <w:r w:rsidRPr="008F572D">
        <w:t xml:space="preserve">equipped to settle into Australian life and quickly begin contributing to the economy. Other cohorts, such as </w:t>
      </w:r>
      <w:r w:rsidR="00A24E28">
        <w:t>f</w:t>
      </w:r>
      <w:r w:rsidRPr="008F572D">
        <w:t>amily stream migrants, secondary visa holders and humanitarian entrants, are not selected on an economic basis</w:t>
      </w:r>
      <w:r w:rsidR="00A24E28">
        <w:t>,</w:t>
      </w:r>
      <w:r w:rsidRPr="008F572D">
        <w:t xml:space="preserve"> </w:t>
      </w:r>
      <w:r>
        <w:t>generally</w:t>
      </w:r>
      <w:r w:rsidRPr="008F572D">
        <w:t xml:space="preserve"> </w:t>
      </w:r>
      <w:r w:rsidR="00A24E28">
        <w:t xml:space="preserve">require more assistance, and </w:t>
      </w:r>
      <w:r w:rsidRPr="008F572D">
        <w:t>take longer t</w:t>
      </w:r>
      <w:r w:rsidR="000A07A2">
        <w:t>o become economic contributors.</w:t>
      </w:r>
    </w:p>
    <w:p w14:paraId="756D6978" w14:textId="77777777" w:rsidR="008415B8" w:rsidRPr="008F572D" w:rsidRDefault="008415B8" w:rsidP="00304D25">
      <w:r w:rsidRPr="008F572D">
        <w:t>However, these cohorts contribute to positive settlement outcomes in other ways</w:t>
      </w:r>
      <w:r w:rsidR="00A24E28">
        <w:t>. F</w:t>
      </w:r>
      <w:r w:rsidRPr="008F572D">
        <w:t xml:space="preserve">or example, families bring a youthful demographic balance to the general population; humanitarian entrants have high rates of entrepreneurship; and second generation migrants have </w:t>
      </w:r>
      <w:r>
        <w:t>outcomes</w:t>
      </w:r>
      <w:r w:rsidRPr="008F572D">
        <w:t xml:space="preserve"> equal or superior to the children of </w:t>
      </w:r>
      <w:r>
        <w:t xml:space="preserve">the </w:t>
      </w:r>
      <w:r w:rsidRPr="008F572D">
        <w:t>Australia</w:t>
      </w:r>
      <w:r>
        <w:t>n</w:t>
      </w:r>
      <w:r w:rsidR="00021968">
        <w:noBreakHyphen/>
      </w:r>
      <w:r w:rsidRPr="008F572D">
        <w:t xml:space="preserve">born population, particularly in terms of </w:t>
      </w:r>
      <w:r>
        <w:t>educational achievement</w:t>
      </w:r>
      <w:r w:rsidRPr="008F572D">
        <w:t xml:space="preserve">. </w:t>
      </w:r>
      <w:r w:rsidR="00896AD2" w:rsidRPr="00896AD2">
        <w:t>2012 data from the Program for International Student Assessment shows that in Australia, first</w:t>
      </w:r>
      <w:r w:rsidR="00155E57">
        <w:t> </w:t>
      </w:r>
      <w:r w:rsidR="00896AD2" w:rsidRPr="00896AD2">
        <w:t>generation immigrant students perform as well as non-immigrant students in computer-based problem solving, and outperform non-immigrant students in mathematics and reading. Second</w:t>
      </w:r>
      <w:r w:rsidR="00155E57">
        <w:t> </w:t>
      </w:r>
      <w:r w:rsidR="00896AD2" w:rsidRPr="00896AD2">
        <w:t>generation immigrant students go on to outperform non-immigrant st</w:t>
      </w:r>
      <w:r w:rsidR="00896AD2">
        <w:t>udents in all three</w:t>
      </w:r>
      <w:r w:rsidR="00155E57">
        <w:t> </w:t>
      </w:r>
      <w:r w:rsidR="00896AD2">
        <w:t>areas (OECD </w:t>
      </w:r>
      <w:r w:rsidR="00896AD2" w:rsidRPr="00896AD2">
        <w:t>2015).</w:t>
      </w:r>
    </w:p>
    <w:p w14:paraId="017423A6" w14:textId="77777777" w:rsidR="008415B8" w:rsidRPr="00F85C74" w:rsidRDefault="00A24E28" w:rsidP="00501C6E">
      <w:r>
        <w:t>International i</w:t>
      </w:r>
      <w:r w:rsidR="008415B8" w:rsidRPr="00F72722">
        <w:t>ndicators of migrant integration</w:t>
      </w:r>
      <w:r>
        <w:t xml:space="preserve"> </w:t>
      </w:r>
      <w:r w:rsidR="008415B8" w:rsidRPr="00F72722">
        <w:t>(OECD</w:t>
      </w:r>
      <w:r w:rsidR="00FD0A8E">
        <w:t xml:space="preserve"> </w:t>
      </w:r>
      <w:r w:rsidR="00C53E88">
        <w:t xml:space="preserve">&amp; European Union </w:t>
      </w:r>
      <w:r w:rsidR="00FD0A8E">
        <w:t>2015</w:t>
      </w:r>
      <w:r w:rsidR="00C53E88">
        <w:t>;</w:t>
      </w:r>
      <w:r>
        <w:t xml:space="preserve"> </w:t>
      </w:r>
      <w:r w:rsidR="00C53E88" w:rsidRPr="004B72A0">
        <w:rPr>
          <w:rFonts w:asciiTheme="minorHAnsi" w:hAnsiTheme="minorHAnsi" w:cs="Arial"/>
          <w:szCs w:val="22"/>
        </w:rPr>
        <w:t>Barcelona Centre for International Affairs &amp; Migration Policy Group 2015</w:t>
      </w:r>
      <w:r w:rsidR="008415B8" w:rsidRPr="00F72722">
        <w:t xml:space="preserve">) confirm that Australia performs favourably in </w:t>
      </w:r>
      <w:r w:rsidR="008415B8">
        <w:t xml:space="preserve">both </w:t>
      </w:r>
      <w:r w:rsidR="008415B8" w:rsidRPr="00F72722">
        <w:t xml:space="preserve">migrant settlement </w:t>
      </w:r>
      <w:r w:rsidR="008415B8">
        <w:t xml:space="preserve">policies and outcomes </w:t>
      </w:r>
      <w:r>
        <w:t>relative</w:t>
      </w:r>
      <w:r w:rsidRPr="00F72722">
        <w:t xml:space="preserve"> </w:t>
      </w:r>
      <w:r w:rsidR="008415B8" w:rsidRPr="00F72722">
        <w:t>to many other OECD countries.</w:t>
      </w:r>
      <w:r>
        <w:t xml:space="preserve"> </w:t>
      </w:r>
      <w:r w:rsidR="008415B8">
        <w:t xml:space="preserve">The Productivity Commission </w:t>
      </w:r>
      <w:r w:rsidR="00FD0A8E">
        <w:t>(2016)</w:t>
      </w:r>
      <w:r w:rsidR="00CD2EA3">
        <w:t xml:space="preserve"> ha</w:t>
      </w:r>
      <w:r>
        <w:t>s</w:t>
      </w:r>
      <w:r w:rsidR="00CD2EA3">
        <w:t xml:space="preserve"> </w:t>
      </w:r>
      <w:r w:rsidR="008415B8">
        <w:t>noted that settlement services in Australia are generally commendable and have supported the settlement and integration of new immigrants</w:t>
      </w:r>
      <w:r w:rsidR="007C633E">
        <w:t xml:space="preserve">. </w:t>
      </w:r>
      <w:r>
        <w:t>The P</w:t>
      </w:r>
      <w:r w:rsidR="00E51EA5">
        <w:t>roductivity Commission</w:t>
      </w:r>
      <w:r>
        <w:t xml:space="preserve"> has also noted that</w:t>
      </w:r>
      <w:r w:rsidR="008415B8">
        <w:t xml:space="preserve"> Australia</w:t>
      </w:r>
      <w:r w:rsidR="00021968">
        <w:t>’</w:t>
      </w:r>
      <w:r w:rsidR="008415B8">
        <w:t>s current immigration system works well by international standards</w:t>
      </w:r>
      <w:r w:rsidR="00E51EA5">
        <w:t xml:space="preserve">, despite </w:t>
      </w:r>
      <w:r w:rsidR="008415B8">
        <w:t>scope for improvement</w:t>
      </w:r>
      <w:r w:rsidR="008415B8" w:rsidRPr="001C6DBB">
        <w:t>.</w:t>
      </w:r>
    </w:p>
    <w:p w14:paraId="5F883EF1" w14:textId="77777777" w:rsidR="008415B8" w:rsidRDefault="008415B8" w:rsidP="002427F4">
      <w:pPr>
        <w:pStyle w:val="Heading3Numbered"/>
      </w:pPr>
      <w:r>
        <w:t>More research on population pressures would be beneficial</w:t>
      </w:r>
    </w:p>
    <w:p w14:paraId="08E380C4" w14:textId="77777777" w:rsidR="008415B8" w:rsidRDefault="003354B5" w:rsidP="00304D25">
      <w:r>
        <w:t>Section 8</w:t>
      </w:r>
      <w:r w:rsidR="008415B8" w:rsidRPr="002911D0">
        <w:t xml:space="preserve"> only briefly touch</w:t>
      </w:r>
      <w:r>
        <w:t>es</w:t>
      </w:r>
      <w:r w:rsidR="008415B8" w:rsidRPr="002911D0">
        <w:t xml:space="preserve"> on </w:t>
      </w:r>
      <w:r w:rsidR="008415B8">
        <w:t>issues</w:t>
      </w:r>
      <w:r w:rsidR="008415B8" w:rsidRPr="002911D0">
        <w:t xml:space="preserve"> such as </w:t>
      </w:r>
      <w:r w:rsidR="008415B8">
        <w:t xml:space="preserve">employment, housing, </w:t>
      </w:r>
      <w:r w:rsidR="008415B8" w:rsidRPr="002911D0">
        <w:t>infrastructure, and social cohesion.</w:t>
      </w:r>
      <w:r w:rsidR="008415B8">
        <w:t xml:space="preserve"> </w:t>
      </w:r>
      <w:r w:rsidR="008415B8" w:rsidRPr="002911D0">
        <w:t xml:space="preserve">There is a wealth of literature and research on each of these topics which helps inform understanding of these </w:t>
      </w:r>
      <w:r w:rsidR="008415B8">
        <w:t>issues</w:t>
      </w:r>
      <w:r w:rsidR="008415B8" w:rsidRPr="002911D0">
        <w:t>.</w:t>
      </w:r>
      <w:r w:rsidR="008415B8">
        <w:t xml:space="preserve"> </w:t>
      </w:r>
      <w:r w:rsidR="008415B8" w:rsidRPr="002911D0">
        <w:t>This paper is not intended to cover these topics in detail but to provide an illustration of the</w:t>
      </w:r>
      <w:r w:rsidR="008415B8">
        <w:t xml:space="preserve"> possible</w:t>
      </w:r>
      <w:r w:rsidR="008415B8" w:rsidRPr="002911D0">
        <w:t xml:space="preserve"> implications of population growth and immigration alongside other material.</w:t>
      </w:r>
    </w:p>
    <w:p w14:paraId="1ACF9CA6" w14:textId="77777777" w:rsidR="00E66742" w:rsidRPr="00E66742" w:rsidRDefault="008415B8">
      <w:r>
        <w:t xml:space="preserve">The </w:t>
      </w:r>
      <w:r w:rsidR="00047EA2">
        <w:t xml:space="preserve">Treasury and the Department of </w:t>
      </w:r>
      <w:r w:rsidR="00AF71EE">
        <w:t>Home Affairs</w:t>
      </w:r>
      <w:r>
        <w:t xml:space="preserve"> </w:t>
      </w:r>
      <w:r w:rsidRPr="002911D0">
        <w:t>would be interested to see further work on the implications of population growth and immigration.</w:t>
      </w:r>
      <w:r>
        <w:t xml:space="preserve"> </w:t>
      </w:r>
      <w:r w:rsidRPr="002911D0">
        <w:t>With this in mind, Treasury Research Institute questions have been included at the end of the paper to encourage further exploration of these complex issues.</w:t>
      </w:r>
    </w:p>
    <w:p w14:paraId="29B93DAF" w14:textId="77777777" w:rsidR="00726E98" w:rsidRDefault="00726E98">
      <w:pPr>
        <w:sectPr w:rsidR="00726E98" w:rsidSect="005D0DBA">
          <w:headerReference w:type="even" r:id="rId98"/>
          <w:headerReference w:type="default" r:id="rId99"/>
          <w:footerReference w:type="even" r:id="rId100"/>
          <w:footerReference w:type="default" r:id="rId101"/>
          <w:headerReference w:type="first" r:id="rId102"/>
          <w:footerReference w:type="first" r:id="rId103"/>
          <w:pgSz w:w="11906" w:h="16838" w:code="277"/>
          <w:pgMar w:top="1418" w:right="1418" w:bottom="1418" w:left="1418" w:header="709" w:footer="709" w:gutter="0"/>
          <w:cols w:space="708"/>
          <w:titlePg/>
          <w:docGrid w:linePitch="360"/>
        </w:sectPr>
      </w:pPr>
    </w:p>
    <w:p w14:paraId="428030F3" w14:textId="77777777" w:rsidR="008415B8" w:rsidRDefault="008415B8" w:rsidP="000102F5">
      <w:pPr>
        <w:pStyle w:val="Heading1"/>
      </w:pPr>
      <w:bookmarkStart w:id="124" w:name="_Toc495402486"/>
      <w:r>
        <w:lastRenderedPageBreak/>
        <w:t>Conclusion</w:t>
      </w:r>
      <w:bookmarkEnd w:id="124"/>
    </w:p>
    <w:p w14:paraId="4AE2B3F7" w14:textId="77777777" w:rsidR="00D26C0E" w:rsidRDefault="00B422F8" w:rsidP="008415B8">
      <w:r>
        <w:t>The history of Australia is the history of its population. In particular, Australia has been shaped by successive waves of migration.</w:t>
      </w:r>
    </w:p>
    <w:p w14:paraId="761EF4D3" w14:textId="77777777" w:rsidR="00200C8B" w:rsidRDefault="00E00970" w:rsidP="008415B8">
      <w:r>
        <w:t>Following World War II, Australia opened its doors, and in the name of nation building, or ‘populate or perish’, welcomed in the first major wave of migrants, many from the war</w:t>
      </w:r>
      <w:r w:rsidR="007C633E">
        <w:t>-</w:t>
      </w:r>
      <w:r>
        <w:t>torn countries of Europe.</w:t>
      </w:r>
      <w:r w:rsidR="00D26C0E">
        <w:t xml:space="preserve"> </w:t>
      </w:r>
      <w:r>
        <w:t xml:space="preserve">Over time, </w:t>
      </w:r>
      <w:r w:rsidR="00D26C0E">
        <w:t xml:space="preserve">the focus of migration shifted, and instead of targeting a growing population, the goal </w:t>
      </w:r>
      <w:r w:rsidR="007C633E">
        <w:t xml:space="preserve">became </w:t>
      </w:r>
      <w:r w:rsidR="00D26C0E">
        <w:t>to support a growing economy.  In the mid</w:t>
      </w:r>
      <w:r w:rsidR="00E51EA5">
        <w:noBreakHyphen/>
      </w:r>
      <w:r w:rsidR="00D26C0E">
        <w:t xml:space="preserve">1990s, the migration program was significantly expanded and the focus on attracting highly skilled migrants was strengthened. Since that time, migration has comprised more than half of Australia’s population growth, similar to some of </w:t>
      </w:r>
      <w:r w:rsidR="00200C8B">
        <w:t xml:space="preserve">the previous peaks in migration in the </w:t>
      </w:r>
      <w:r w:rsidR="00A36A2C">
        <w:t>19</w:t>
      </w:r>
      <w:r w:rsidR="000E77F4">
        <w:t xml:space="preserve">40s, </w:t>
      </w:r>
      <w:r w:rsidR="00A36A2C">
        <w:t>19</w:t>
      </w:r>
      <w:r w:rsidR="000E77F4">
        <w:t xml:space="preserve">60s and </w:t>
      </w:r>
      <w:r w:rsidR="00A36A2C">
        <w:t>19</w:t>
      </w:r>
      <w:r w:rsidR="000E77F4">
        <w:t>80s</w:t>
      </w:r>
      <w:r w:rsidR="000A07A2">
        <w:t>.</w:t>
      </w:r>
    </w:p>
    <w:p w14:paraId="1CA34AA6" w14:textId="77777777" w:rsidR="008415B8" w:rsidRDefault="00E00970" w:rsidP="008415B8">
      <w:r>
        <w:t xml:space="preserve">Migration has, in many ways, shaped </w:t>
      </w:r>
      <w:r w:rsidR="00E51EA5">
        <w:t xml:space="preserve">Australia’s </w:t>
      </w:r>
      <w:r>
        <w:t>culture and economy.</w:t>
      </w:r>
    </w:p>
    <w:p w14:paraId="3F738FDB" w14:textId="77777777" w:rsidR="009653A9" w:rsidRDefault="009653A9" w:rsidP="008415B8">
      <w:r>
        <w:t>Australia’s focus on skilled migration has demonstrated positive effects for economic growth, because our migrants on average lift potential GDP and GDP per capita through all of the three Ps of population, participation and productivity. In particular, migration has played an important role in ameliorating and delaying the adverse effects of our ageing population. Further, migrants generate jobs and economic opportunities for the population more broadly, because they lift aggregate demand through consumption and investment. Temporary migrants also lift our exports, particularly in the education sector.</w:t>
      </w:r>
    </w:p>
    <w:p w14:paraId="4F629E52" w14:textId="77777777" w:rsidR="009653A9" w:rsidRDefault="009653A9" w:rsidP="008415B8">
      <w:r>
        <w:t>The movement of people (migration) mirrors trade in goods and services in the benefits it can bring to an economy. In general, migrants bring with them productive skills and preferences for goods and services that are different to those of the local</w:t>
      </w:r>
      <w:r w:rsidR="00A0303E">
        <w:t>-</w:t>
      </w:r>
      <w:r>
        <w:t>born population. These differences generate wealth that would otherwise not exist by enabling specialisation. In contrast to international trade, migration realises these benefits onshore rather than being conducted across borders. As such, the gains f</w:t>
      </w:r>
      <w:r w:rsidR="00437625">
        <w:t>ro</w:t>
      </w:r>
      <w:r>
        <w:t>m migration will be greater than the gain</w:t>
      </w:r>
      <w:r w:rsidR="00A0303E">
        <w:t>s</w:t>
      </w:r>
      <w:r>
        <w:t xml:space="preserve"> from international trade in goods and services when the migrant has access to more opportunities or resources in Australian than in their home country.</w:t>
      </w:r>
    </w:p>
    <w:p w14:paraId="1560A0DC" w14:textId="77777777" w:rsidR="00200C8B" w:rsidRDefault="007C633E" w:rsidP="008415B8">
      <w:r>
        <w:t xml:space="preserve">A bigger </w:t>
      </w:r>
      <w:r w:rsidR="00200C8B">
        <w:t>population brings challenges, in the form of congestion, pressure on the environment</w:t>
      </w:r>
      <w:r w:rsidR="00A36A2C">
        <w:t>,</w:t>
      </w:r>
      <w:r w:rsidR="00341608">
        <w:t xml:space="preserve"> and</w:t>
      </w:r>
      <w:r w:rsidR="00200C8B">
        <w:t xml:space="preserve"> additional demand in key markets like housing. These pressures exist regardless o</w:t>
      </w:r>
      <w:r w:rsidR="00341608">
        <w:t>f</w:t>
      </w:r>
      <w:r w:rsidR="00200C8B">
        <w:t xml:space="preserve"> migration, but </w:t>
      </w:r>
      <w:r w:rsidR="00341608">
        <w:t>a growing population exacerbates existing pressure</w:t>
      </w:r>
      <w:r w:rsidR="00DD6988">
        <w:t>s</w:t>
      </w:r>
      <w:r w:rsidR="0030272C">
        <w:t>, particularly</w:t>
      </w:r>
      <w:r w:rsidR="00DD6988">
        <w:t xml:space="preserve"> if policy and planning efforts by Commonwealth, State and </w:t>
      </w:r>
      <w:r w:rsidR="00E51EA5">
        <w:t>Local G</w:t>
      </w:r>
      <w:r w:rsidR="00DD6988">
        <w:t>overnments do not keep pace</w:t>
      </w:r>
      <w:r w:rsidR="00341608">
        <w:t>.</w:t>
      </w:r>
    </w:p>
    <w:p w14:paraId="3707CF12" w14:textId="77777777" w:rsidR="00341608" w:rsidRDefault="00341608" w:rsidP="008415B8">
      <w:r>
        <w:t>Migration has also shaped the nature of our society, with</w:t>
      </w:r>
      <w:r w:rsidR="00DD6988">
        <w:t xml:space="preserve"> 49</w:t>
      </w:r>
      <w:r>
        <w:t xml:space="preserve"> </w:t>
      </w:r>
      <w:r w:rsidR="005C1CF5">
        <w:t xml:space="preserve">per cent </w:t>
      </w:r>
      <w:r>
        <w:t xml:space="preserve">of Australia’s population either a migrant or the child of a migrant. Australians have consistently shown high levels of support for migration, and </w:t>
      </w:r>
      <w:r w:rsidR="00E51EA5">
        <w:t xml:space="preserve">the </w:t>
      </w:r>
      <w:r>
        <w:t>benefits it has brought.</w:t>
      </w:r>
    </w:p>
    <w:p w14:paraId="419FB364" w14:textId="77777777" w:rsidR="008415B8" w:rsidRDefault="00E00970" w:rsidP="008415B8">
      <w:r>
        <w:t>Treasury and</w:t>
      </w:r>
      <w:r w:rsidR="00200C8B">
        <w:t xml:space="preserve"> the Department of </w:t>
      </w:r>
      <w:r w:rsidR="00AF71EE">
        <w:t>Home Affairs</w:t>
      </w:r>
      <w:r>
        <w:t xml:space="preserve"> would welcome further analysis of the issues considered in this paper. </w:t>
      </w:r>
      <w:r w:rsidR="007C633E">
        <w:t>S</w:t>
      </w:r>
      <w:r>
        <w:t>uggest</w:t>
      </w:r>
      <w:r w:rsidR="007C633E">
        <w:t>ions</w:t>
      </w:r>
      <w:r>
        <w:t xml:space="preserve"> </w:t>
      </w:r>
      <w:r w:rsidR="007C633E">
        <w:t xml:space="preserve">of </w:t>
      </w:r>
      <w:r>
        <w:t>topics that would benefit from further research</w:t>
      </w:r>
      <w:r w:rsidR="007C633E">
        <w:t xml:space="preserve"> have been included on the </w:t>
      </w:r>
      <w:r w:rsidR="00E51EA5">
        <w:t>following</w:t>
      </w:r>
      <w:r w:rsidR="007C633E">
        <w:t xml:space="preserve"> page</w:t>
      </w:r>
      <w:r w:rsidR="00A36CBF">
        <w:t>.</w:t>
      </w:r>
    </w:p>
    <w:p w14:paraId="26B1D29B" w14:textId="77777777" w:rsidR="008415B8" w:rsidRDefault="008415B8" w:rsidP="008415B8">
      <w:pPr>
        <w:sectPr w:rsidR="008415B8" w:rsidSect="005D0DBA">
          <w:headerReference w:type="even" r:id="rId104"/>
          <w:footerReference w:type="first" r:id="rId105"/>
          <w:pgSz w:w="11906" w:h="16838" w:code="277"/>
          <w:pgMar w:top="1418" w:right="1418" w:bottom="1418" w:left="1418" w:header="709" w:footer="709" w:gutter="0"/>
          <w:cols w:space="708"/>
          <w:titlePg/>
          <w:docGrid w:linePitch="360"/>
        </w:sectPr>
      </w:pPr>
    </w:p>
    <w:p w14:paraId="0EE93E88" w14:textId="77777777" w:rsidR="00A1101C" w:rsidRPr="00040F44" w:rsidRDefault="00A1101C" w:rsidP="000102F5">
      <w:pPr>
        <w:pStyle w:val="Heading1"/>
      </w:pPr>
      <w:bookmarkStart w:id="125" w:name="_Toc474766586"/>
      <w:bookmarkStart w:id="126" w:name="_Toc474941069"/>
      <w:bookmarkStart w:id="127" w:name="_Toc475014923"/>
      <w:bookmarkStart w:id="128" w:name="_Toc495402487"/>
      <w:r>
        <w:lastRenderedPageBreak/>
        <w:t>Treasury Research Institute —</w:t>
      </w:r>
      <w:r w:rsidRPr="00040F44">
        <w:br/>
        <w:t>possible questions for further research</w:t>
      </w:r>
      <w:bookmarkEnd w:id="125"/>
      <w:bookmarkEnd w:id="126"/>
      <w:bookmarkEnd w:id="127"/>
      <w:bookmarkEnd w:id="128"/>
    </w:p>
    <w:p w14:paraId="2510A00E" w14:textId="77777777" w:rsidR="00A0303E" w:rsidRPr="00C41011" w:rsidRDefault="00A0303E" w:rsidP="00A0303E">
      <w:r>
        <w:t xml:space="preserve">This paper has considered the trends and implications of Australia’s population growth over the last century. Looking forward, it will be important </w:t>
      </w:r>
      <w:r w:rsidRPr="00C41011">
        <w:t xml:space="preserve">to </w:t>
      </w:r>
      <w:r>
        <w:t xml:space="preserve">continue </w:t>
      </w:r>
      <w:r w:rsidR="00DD20CE">
        <w:t xml:space="preserve">to </w:t>
      </w:r>
      <w:r w:rsidRPr="00C41011">
        <w:t xml:space="preserve">deepen our understanding of the </w:t>
      </w:r>
      <w:r>
        <w:t>contribution of immigration to population growth, the distribution of the population and of migrants</w:t>
      </w:r>
      <w:r w:rsidRPr="00C41011">
        <w:t xml:space="preserve">, and the opportunities and challenges </w:t>
      </w:r>
      <w:r>
        <w:t>that population growth and immigration</w:t>
      </w:r>
      <w:r w:rsidRPr="00C41011">
        <w:t xml:space="preserve"> will present to governments and policy makers.</w:t>
      </w:r>
    </w:p>
    <w:p w14:paraId="09D8F8DB" w14:textId="77777777" w:rsidR="00A0303E" w:rsidRPr="00C41011" w:rsidRDefault="00A0303E" w:rsidP="00A0303E">
      <w:r w:rsidRPr="00C41011">
        <w:t xml:space="preserve">The following are some areas </w:t>
      </w:r>
      <w:r>
        <w:t>of</w:t>
      </w:r>
      <w:r w:rsidRPr="00C41011">
        <w:t xml:space="preserve"> particular interest</w:t>
      </w:r>
      <w:r>
        <w:t xml:space="preserve"> to </w:t>
      </w:r>
      <w:r w:rsidRPr="00C41011">
        <w:t xml:space="preserve">Treasury and the Department of </w:t>
      </w:r>
      <w:r w:rsidR="00AF71EE">
        <w:t>Home Affairs</w:t>
      </w:r>
      <w:r w:rsidRPr="00C41011">
        <w:t>, but do not represent an exhaustive list of issues that would benefit from further research.</w:t>
      </w:r>
    </w:p>
    <w:p w14:paraId="63CF8CC6" w14:textId="77777777" w:rsidR="00A0303E" w:rsidRPr="00155E57" w:rsidRDefault="00A0303E" w:rsidP="00155E57">
      <w:pPr>
        <w:pStyle w:val="Bullet"/>
      </w:pPr>
      <w:r w:rsidRPr="00155E57">
        <w:t>What are the benefits and challenges associated with population growth?</w:t>
      </w:r>
    </w:p>
    <w:p w14:paraId="2C587002" w14:textId="77777777" w:rsidR="00A0303E" w:rsidRPr="00155E57" w:rsidRDefault="00A0303E" w:rsidP="00155E57">
      <w:pPr>
        <w:pStyle w:val="Dash"/>
      </w:pPr>
      <w:r w:rsidRPr="00155E57">
        <w:t>What might the effect of a larger population be on the distribution of wages and incomes?</w:t>
      </w:r>
    </w:p>
    <w:p w14:paraId="57CDBBAA" w14:textId="77777777" w:rsidR="00A0303E" w:rsidRPr="00155E57" w:rsidRDefault="00A0303E" w:rsidP="00155E57">
      <w:pPr>
        <w:pStyle w:val="Dash"/>
      </w:pPr>
      <w:r w:rsidRPr="00155E57">
        <w:t>Are there other challenges of a larger population that governments should explore?</w:t>
      </w:r>
    </w:p>
    <w:p w14:paraId="0AA558C7" w14:textId="77777777" w:rsidR="00A0303E" w:rsidRPr="00C41011" w:rsidRDefault="00A0303E" w:rsidP="00155E57">
      <w:pPr>
        <w:pStyle w:val="Bullet"/>
      </w:pPr>
      <w:r w:rsidRPr="00C41011">
        <w:t xml:space="preserve">Are the </w:t>
      </w:r>
      <w:r w:rsidRPr="00782678">
        <w:t>current patterns of spatial distribution of population</w:t>
      </w:r>
      <w:r w:rsidRPr="00C41011">
        <w:t xml:space="preserve"> in Australia sustainable?</w:t>
      </w:r>
    </w:p>
    <w:p w14:paraId="044B92FA" w14:textId="77777777" w:rsidR="00A0303E" w:rsidRPr="00155E57" w:rsidRDefault="00A0303E" w:rsidP="00155E57">
      <w:pPr>
        <w:pStyle w:val="Dash"/>
      </w:pPr>
      <w:r w:rsidRPr="00155E57">
        <w:t>If not, what levers are available to Government to alter the spatial distribution of the Australian population, and how should these be used?</w:t>
      </w:r>
    </w:p>
    <w:p w14:paraId="62523BA3" w14:textId="77777777" w:rsidR="00A0303E" w:rsidRPr="00155E57" w:rsidRDefault="00A0303E" w:rsidP="00155E57">
      <w:pPr>
        <w:pStyle w:val="Dash"/>
      </w:pPr>
      <w:r w:rsidRPr="00155E57">
        <w:t>What would be the efficacy and implications of using these levers?</w:t>
      </w:r>
    </w:p>
    <w:p w14:paraId="07C6CC9C" w14:textId="77777777" w:rsidR="00A0303E" w:rsidRPr="00155E57" w:rsidRDefault="00A0303E" w:rsidP="00155E57">
      <w:pPr>
        <w:pStyle w:val="Dash"/>
      </w:pPr>
      <w:r w:rsidRPr="00155E57">
        <w:t>How will structural, demographic and technological change alter existing trends?</w:t>
      </w:r>
    </w:p>
    <w:p w14:paraId="70A441D4" w14:textId="77777777" w:rsidR="003905E4" w:rsidRDefault="00B5312B" w:rsidP="00A36CBF">
      <w:pPr>
        <w:pStyle w:val="Bullet"/>
      </w:pPr>
      <w:r>
        <w:t>What is the role of migrants in filling skill gaps and complementing the Australian</w:t>
      </w:r>
      <w:r>
        <w:noBreakHyphen/>
        <w:t>born labour force, including in emerging industries likely to undergo significant growth such as the care workforce?</w:t>
      </w:r>
    </w:p>
    <w:p w14:paraId="687E54F4" w14:textId="77777777" w:rsidR="003905E4" w:rsidRDefault="003905E4">
      <w:pPr>
        <w:spacing w:before="0" w:after="160" w:line="259" w:lineRule="auto"/>
        <w:sectPr w:rsidR="003905E4" w:rsidSect="005D0DBA">
          <w:footerReference w:type="first" r:id="rId106"/>
          <w:pgSz w:w="11906" w:h="16838" w:code="277"/>
          <w:pgMar w:top="1418" w:right="1418" w:bottom="1418" w:left="1418" w:header="709" w:footer="709" w:gutter="0"/>
          <w:cols w:space="708"/>
          <w:titlePg/>
          <w:docGrid w:linePitch="360"/>
        </w:sectPr>
      </w:pPr>
    </w:p>
    <w:p w14:paraId="518E06E8" w14:textId="77777777" w:rsidR="008415B8" w:rsidRPr="00204264" w:rsidRDefault="008415B8" w:rsidP="000102F5">
      <w:pPr>
        <w:pStyle w:val="Heading1"/>
      </w:pPr>
      <w:bookmarkStart w:id="129" w:name="_Toc495402488"/>
      <w:r w:rsidRPr="00204264">
        <w:lastRenderedPageBreak/>
        <w:t>References</w:t>
      </w:r>
      <w:bookmarkEnd w:id="129"/>
    </w:p>
    <w:p w14:paraId="50ABCC32" w14:textId="77777777" w:rsidR="00BD06BD" w:rsidRPr="00BF09BA" w:rsidRDefault="0059098E" w:rsidP="00325F5E">
      <w:pPr>
        <w:pStyle w:val="References"/>
        <w:jc w:val="left"/>
        <w:rPr>
          <w:rFonts w:asciiTheme="minorHAnsi" w:hAnsiTheme="minorHAnsi"/>
          <w:color w:val="auto"/>
          <w:sz w:val="22"/>
        </w:rPr>
      </w:pPr>
      <w:r w:rsidRPr="00BF09BA">
        <w:rPr>
          <w:rFonts w:asciiTheme="minorHAnsi" w:hAnsiTheme="minorHAnsi"/>
          <w:color w:val="auto"/>
          <w:sz w:val="22"/>
        </w:rPr>
        <w:t xml:space="preserve">Australian Bureau of Statistics (ABS) </w:t>
      </w:r>
      <w:r w:rsidR="00BD06BD" w:rsidRPr="00BF09BA">
        <w:rPr>
          <w:rFonts w:asciiTheme="minorHAnsi" w:hAnsiTheme="minorHAnsi"/>
          <w:color w:val="auto"/>
          <w:sz w:val="22"/>
        </w:rPr>
        <w:t xml:space="preserve">1988, </w:t>
      </w:r>
      <w:r w:rsidR="00BD06BD" w:rsidRPr="00BF09BA">
        <w:rPr>
          <w:rFonts w:asciiTheme="minorHAnsi" w:hAnsiTheme="minorHAnsi"/>
          <w:i/>
          <w:color w:val="auto"/>
          <w:sz w:val="22"/>
        </w:rPr>
        <w:t>Census of Population and Housing, 1986</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0D14B5">
        <w:rPr>
          <w:rFonts w:asciiTheme="minorHAnsi" w:hAnsiTheme="minorHAnsi"/>
          <w:color w:val="auto"/>
          <w:sz w:val="22"/>
        </w:rPr>
        <w:t>2102.0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000A07A2">
        <w:rPr>
          <w:rFonts w:asciiTheme="minorHAnsi" w:hAnsiTheme="minorHAnsi"/>
          <w:color w:val="auto"/>
          <w:sz w:val="22"/>
        </w:rPr>
        <w:t>.</w:t>
      </w:r>
    </w:p>
    <w:p w14:paraId="69C572CD"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2014</w:t>
      </w:r>
      <w:r w:rsidR="00763A97">
        <w:rPr>
          <w:rFonts w:asciiTheme="minorHAnsi" w:hAnsiTheme="minorHAnsi"/>
          <w:color w:val="auto"/>
          <w:sz w:val="22"/>
        </w:rPr>
        <w:t>a</w:t>
      </w:r>
      <w:r w:rsidRPr="00BF09BA">
        <w:rPr>
          <w:rFonts w:asciiTheme="minorHAnsi" w:hAnsiTheme="minorHAnsi"/>
          <w:color w:val="auto"/>
          <w:sz w:val="22"/>
        </w:rPr>
        <w:t xml:space="preserve">, </w:t>
      </w:r>
      <w:r w:rsidRPr="00BF09BA">
        <w:rPr>
          <w:rFonts w:asciiTheme="minorHAnsi" w:hAnsiTheme="minorHAnsi"/>
          <w:i/>
          <w:color w:val="auto"/>
          <w:sz w:val="22"/>
        </w:rPr>
        <w:t>Australian Historical Population Statistics</w:t>
      </w:r>
      <w:r w:rsidR="00763A97">
        <w:rPr>
          <w:rFonts w:asciiTheme="minorHAnsi" w:hAnsiTheme="minorHAnsi"/>
          <w:i/>
          <w:color w:val="auto"/>
          <w:sz w:val="22"/>
        </w:rPr>
        <w:t>, 2014</w:t>
      </w:r>
      <w:r w:rsidR="00C067AD" w:rsidRPr="00BF09BA">
        <w:rPr>
          <w:rFonts w:asciiTheme="minorHAnsi" w:hAnsiTheme="minorHAnsi"/>
          <w:color w:val="auto"/>
          <w:sz w:val="22"/>
        </w:rPr>
        <w:t>,</w:t>
      </w:r>
      <w:r w:rsidR="00C067AD" w:rsidRPr="002206C5">
        <w:rPr>
          <w:rFonts w:asciiTheme="minorHAnsi" w:hAnsiTheme="minorHAnsi"/>
          <w:color w:val="auto"/>
          <w:sz w:val="22"/>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r w:rsidR="00C067AD" w:rsidRPr="00BF09BA">
        <w:rPr>
          <w:rFonts w:asciiTheme="minorHAnsi" w:hAnsiTheme="minorHAnsi"/>
          <w:i/>
          <w:color w:val="auto"/>
          <w:sz w:val="22"/>
        </w:rPr>
        <w:t xml:space="preserve"> </w:t>
      </w:r>
      <w:r w:rsidR="002206C5" w:rsidRPr="000D14B5">
        <w:rPr>
          <w:rFonts w:asciiTheme="minorHAnsi" w:hAnsiTheme="minorHAnsi"/>
          <w:color w:val="auto"/>
          <w:sz w:val="22"/>
        </w:rPr>
        <w:t>3105.0.65.001</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roofErr w:type="gramEnd"/>
    </w:p>
    <w:p w14:paraId="56D21E1A"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w:t>
      </w:r>
      <w:r>
        <w:rPr>
          <w:rFonts w:asciiTheme="minorHAnsi" w:hAnsiTheme="minorHAnsi"/>
          <w:color w:val="auto"/>
          <w:sz w:val="22"/>
        </w:rPr>
        <w:t>4b</w:t>
      </w:r>
      <w:r w:rsidRPr="00BF09BA">
        <w:rPr>
          <w:rFonts w:asciiTheme="minorHAnsi" w:hAnsiTheme="minorHAnsi"/>
          <w:color w:val="auto"/>
          <w:sz w:val="22"/>
        </w:rPr>
        <w:t xml:space="preserve">, </w:t>
      </w:r>
      <w:r w:rsidRPr="00BF09BA">
        <w:rPr>
          <w:rFonts w:asciiTheme="minorHAnsi" w:hAnsiTheme="minorHAnsi"/>
          <w:i/>
          <w:color w:val="auto"/>
          <w:sz w:val="22"/>
        </w:rPr>
        <w:t>Microdata: Australian Census and Migrants Integrated Dataset</w:t>
      </w:r>
      <w:r>
        <w:rPr>
          <w:rFonts w:asciiTheme="minorHAnsi" w:hAnsiTheme="minorHAnsi"/>
          <w:i/>
          <w:color w:val="auto"/>
          <w:sz w:val="22"/>
        </w:rPr>
        <w:t>, 2011</w:t>
      </w:r>
      <w:r w:rsidRPr="00BF09BA">
        <w:rPr>
          <w:rFonts w:asciiTheme="minorHAnsi" w:hAnsiTheme="minorHAnsi"/>
          <w:color w:val="auto"/>
          <w:sz w:val="22"/>
        </w:rPr>
        <w:t xml:space="preserve">, </w:t>
      </w:r>
      <w:r>
        <w:rPr>
          <w:rFonts w:asciiTheme="minorHAnsi" w:hAnsiTheme="minorHAnsi"/>
          <w:color w:val="auto"/>
          <w:sz w:val="22"/>
        </w:rPr>
        <w:t xml:space="preserve">cat. </w:t>
      </w:r>
      <w:proofErr w:type="gramStart"/>
      <w:r>
        <w:rPr>
          <w:rFonts w:asciiTheme="minorHAnsi" w:hAnsiTheme="minorHAnsi"/>
          <w:color w:val="auto"/>
          <w:sz w:val="22"/>
        </w:rPr>
        <w:t xml:space="preserve">no. </w:t>
      </w:r>
      <w:r w:rsidRPr="000D14B5">
        <w:rPr>
          <w:rFonts w:asciiTheme="minorHAnsi" w:hAnsiTheme="minorHAnsi"/>
          <w:color w:val="auto"/>
          <w:sz w:val="22"/>
        </w:rPr>
        <w:t>3417.0.55.001</w:t>
      </w:r>
      <w:r>
        <w:rPr>
          <w:rFonts w:asciiTheme="minorHAnsi" w:hAnsiTheme="minorHAnsi"/>
          <w:color w:val="auto"/>
          <w:sz w:val="22"/>
        </w:rPr>
        <w:t>,</w:t>
      </w:r>
      <w:r w:rsidRPr="000D14B5">
        <w:rPr>
          <w:rFonts w:asciiTheme="minorHAnsi" w:hAnsiTheme="minorHAnsi"/>
          <w:color w:val="auto"/>
          <w:sz w:val="22"/>
        </w:rPr>
        <w:t xml:space="preserve"> </w:t>
      </w:r>
      <w:r w:rsidR="000A07A2">
        <w:rPr>
          <w:rFonts w:asciiTheme="minorHAnsi" w:hAnsiTheme="minorHAnsi"/>
          <w:color w:val="auto"/>
          <w:sz w:val="22"/>
        </w:rPr>
        <w:t>Canberra.</w:t>
      </w:r>
      <w:proofErr w:type="gramEnd"/>
    </w:p>
    <w:p w14:paraId="55D9C068" w14:textId="77777777" w:rsidR="00603AFB" w:rsidRPr="00BF09BA" w:rsidRDefault="00603AFB">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w:t>
      </w:r>
      <w:r w:rsidR="00763A97">
        <w:rPr>
          <w:rFonts w:asciiTheme="minorHAnsi" w:hAnsiTheme="minorHAnsi"/>
          <w:color w:val="auto"/>
          <w:sz w:val="22"/>
          <w:lang w:val="en-GB"/>
        </w:rPr>
        <w:t>6a</w:t>
      </w:r>
      <w:r w:rsidRPr="00BF09BA">
        <w:rPr>
          <w:rFonts w:asciiTheme="minorHAnsi" w:hAnsiTheme="minorHAnsi"/>
          <w:color w:val="auto"/>
          <w:sz w:val="22"/>
          <w:lang w:val="en-GB"/>
        </w:rPr>
        <w:t xml:space="preserve">, </w:t>
      </w:r>
      <w:r w:rsidRPr="00BF09BA">
        <w:rPr>
          <w:rFonts w:asciiTheme="minorHAnsi" w:hAnsiTheme="minorHAnsi"/>
          <w:i/>
          <w:color w:val="auto"/>
          <w:sz w:val="22"/>
          <w:lang w:val="en-GB"/>
        </w:rPr>
        <w:t>Births, Australia</w:t>
      </w:r>
      <w:r w:rsidR="00763A97">
        <w:rPr>
          <w:rFonts w:asciiTheme="minorHAnsi" w:hAnsiTheme="minorHAnsi"/>
          <w:i/>
          <w:color w:val="auto"/>
          <w:sz w:val="22"/>
          <w:lang w:val="en-GB"/>
        </w:rPr>
        <w:t>, 2015</w:t>
      </w:r>
      <w:r w:rsidR="00C067AD" w:rsidRPr="00BF09BA">
        <w:rPr>
          <w:rFonts w:asciiTheme="minorHAnsi" w:hAnsiTheme="minorHAnsi"/>
          <w:color w:val="auto"/>
          <w:sz w:val="22"/>
          <w:lang w:val="en-GB"/>
        </w:rPr>
        <w:t>,</w:t>
      </w:r>
      <w:r w:rsidR="00C067AD" w:rsidRPr="00BF09BA">
        <w:rPr>
          <w:rFonts w:asciiTheme="minorHAnsi" w:hAnsiTheme="minorHAnsi"/>
          <w:i/>
          <w:color w:val="auto"/>
          <w:sz w:val="22"/>
          <w:lang w:val="en-GB"/>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0D14B5">
        <w:rPr>
          <w:rFonts w:asciiTheme="minorHAnsi" w:hAnsiTheme="minorHAnsi"/>
          <w:color w:val="auto"/>
          <w:sz w:val="22"/>
          <w:lang w:val="en-GB"/>
        </w:rPr>
        <w:t>3301.0</w:t>
      </w:r>
      <w:r w:rsidR="002206C5">
        <w:rPr>
          <w:rFonts w:asciiTheme="minorHAnsi" w:hAnsiTheme="minorHAnsi"/>
          <w:color w:val="auto"/>
          <w:sz w:val="22"/>
          <w:lang w:val="en-GB"/>
        </w:rPr>
        <w:t>,</w:t>
      </w:r>
      <w:r w:rsidR="002206C5" w:rsidRPr="000D14B5">
        <w:rPr>
          <w:rFonts w:asciiTheme="minorHAnsi" w:hAnsiTheme="minorHAnsi"/>
          <w:color w:val="auto"/>
          <w:sz w:val="22"/>
          <w:lang w:val="en-GB"/>
        </w:rPr>
        <w:t xml:space="preserve"> </w:t>
      </w:r>
      <w:r w:rsidR="00C067AD" w:rsidRPr="00BF09BA">
        <w:rPr>
          <w:rFonts w:asciiTheme="minorHAnsi" w:hAnsiTheme="minorHAnsi"/>
          <w:color w:val="auto"/>
          <w:sz w:val="22"/>
        </w:rPr>
        <w:t>Canberra</w:t>
      </w:r>
      <w:r w:rsidRPr="00BF09BA">
        <w:rPr>
          <w:rFonts w:asciiTheme="minorHAnsi" w:hAnsiTheme="minorHAnsi"/>
          <w:i/>
          <w:color w:val="auto"/>
          <w:sz w:val="22"/>
          <w:lang w:val="en-GB"/>
        </w:rPr>
        <w:t>.</w:t>
      </w:r>
    </w:p>
    <w:p w14:paraId="1DB74461" w14:textId="77777777" w:rsidR="00763A97" w:rsidRPr="00BF09BA" w:rsidRDefault="00763A97">
      <w:pPr>
        <w:pStyle w:val="References"/>
        <w:jc w:val="left"/>
        <w:rPr>
          <w:rFonts w:asciiTheme="minorHAnsi" w:hAnsiTheme="minorHAnsi"/>
          <w:color w:val="auto"/>
          <w:sz w:val="22"/>
        </w:rPr>
      </w:pPr>
      <w:proofErr w:type="gramStart"/>
      <w:r>
        <w:rPr>
          <w:rFonts w:asciiTheme="minorHAnsi" w:hAnsiTheme="minorHAnsi"/>
          <w:color w:val="auto"/>
          <w:sz w:val="22"/>
        </w:rPr>
        <w:t xml:space="preserve">ABS 2016b, </w:t>
      </w:r>
      <w:r w:rsidRPr="00381B16">
        <w:rPr>
          <w:rFonts w:asciiTheme="minorHAnsi" w:hAnsiTheme="minorHAnsi"/>
          <w:i/>
          <w:color w:val="auto"/>
          <w:sz w:val="22"/>
        </w:rPr>
        <w:t>Life Tables, States, Territories and Australia, 2013</w:t>
      </w:r>
      <w:r w:rsidRPr="00381B16">
        <w:rPr>
          <w:rFonts w:asciiTheme="minorHAnsi" w:hAnsiTheme="minorHAnsi"/>
          <w:i/>
          <w:color w:val="auto"/>
          <w:sz w:val="22"/>
        </w:rPr>
        <w:noBreakHyphen/>
        <w:t>2015</w:t>
      </w:r>
      <w:r>
        <w:rPr>
          <w:rFonts w:asciiTheme="minorHAnsi" w:hAnsiTheme="minorHAnsi"/>
          <w:color w:val="auto"/>
          <w:sz w:val="22"/>
        </w:rPr>
        <w:t>, cat.</w:t>
      </w:r>
      <w:proofErr w:type="gramEnd"/>
      <w:r>
        <w:rPr>
          <w:rFonts w:asciiTheme="minorHAnsi" w:hAnsiTheme="minorHAnsi"/>
          <w:color w:val="auto"/>
          <w:sz w:val="22"/>
        </w:rPr>
        <w:t xml:space="preserve"> </w:t>
      </w:r>
      <w:proofErr w:type="gramStart"/>
      <w:r>
        <w:rPr>
          <w:rFonts w:asciiTheme="minorHAnsi" w:hAnsiTheme="minorHAnsi"/>
          <w:color w:val="auto"/>
          <w:sz w:val="22"/>
        </w:rPr>
        <w:t>no. 3302.0.55.001, Canberra.</w:t>
      </w:r>
      <w:proofErr w:type="gramEnd"/>
    </w:p>
    <w:p w14:paraId="1AC6F49D"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2016</w:t>
      </w:r>
      <w:r>
        <w:rPr>
          <w:rFonts w:asciiTheme="minorHAnsi" w:hAnsiTheme="minorHAnsi"/>
          <w:color w:val="auto"/>
          <w:sz w:val="22"/>
        </w:rPr>
        <w:t>c</w:t>
      </w:r>
      <w:r w:rsidRPr="00BF09BA">
        <w:rPr>
          <w:rFonts w:asciiTheme="minorHAnsi" w:hAnsiTheme="minorHAnsi"/>
          <w:color w:val="auto"/>
          <w:sz w:val="22"/>
        </w:rPr>
        <w:t xml:space="preserve">, </w:t>
      </w:r>
      <w:r w:rsidRPr="00BF09BA">
        <w:rPr>
          <w:rFonts w:asciiTheme="minorHAnsi" w:hAnsiTheme="minorHAnsi"/>
          <w:i/>
          <w:color w:val="auto"/>
          <w:sz w:val="22"/>
        </w:rPr>
        <w:t>Australian System of National Accounts</w:t>
      </w:r>
      <w:r>
        <w:rPr>
          <w:rFonts w:asciiTheme="minorHAnsi" w:hAnsiTheme="minorHAnsi"/>
          <w:i/>
          <w:color w:val="auto"/>
          <w:sz w:val="22"/>
        </w:rPr>
        <w:t>, 2015-16</w:t>
      </w:r>
      <w:r w:rsidRPr="00BF09BA">
        <w:rPr>
          <w:rFonts w:asciiTheme="minorHAnsi" w:hAnsiTheme="minorHAnsi"/>
          <w:color w:val="auto"/>
          <w:sz w:val="22"/>
        </w:rPr>
        <w:t xml:space="preserve">, </w:t>
      </w:r>
      <w:r>
        <w:rPr>
          <w:rFonts w:asciiTheme="minorHAnsi" w:hAnsiTheme="minorHAnsi"/>
          <w:color w:val="auto"/>
          <w:sz w:val="22"/>
        </w:rPr>
        <w:t xml:space="preserve">cat. </w:t>
      </w:r>
      <w:proofErr w:type="gramStart"/>
      <w:r>
        <w:rPr>
          <w:rFonts w:asciiTheme="minorHAnsi" w:hAnsiTheme="minorHAnsi"/>
          <w:color w:val="auto"/>
          <w:sz w:val="22"/>
        </w:rPr>
        <w:t>no</w:t>
      </w:r>
      <w:proofErr w:type="gramEnd"/>
      <w:r>
        <w:rPr>
          <w:rFonts w:asciiTheme="minorHAnsi" w:hAnsiTheme="minorHAnsi"/>
          <w:color w:val="auto"/>
          <w:sz w:val="22"/>
        </w:rPr>
        <w:t xml:space="preserve">. </w:t>
      </w:r>
      <w:r w:rsidRPr="000D14B5">
        <w:rPr>
          <w:rFonts w:asciiTheme="minorHAnsi" w:hAnsiTheme="minorHAnsi"/>
          <w:color w:val="auto"/>
          <w:sz w:val="22"/>
        </w:rPr>
        <w:t>5204.0</w:t>
      </w:r>
      <w:r>
        <w:rPr>
          <w:rFonts w:asciiTheme="minorHAnsi" w:hAnsiTheme="minorHAnsi"/>
          <w:color w:val="auto"/>
          <w:sz w:val="22"/>
        </w:rPr>
        <w:t>,</w:t>
      </w:r>
      <w:r w:rsidRPr="00100147">
        <w:rPr>
          <w:rFonts w:asciiTheme="minorHAnsi" w:hAnsiTheme="minorHAnsi"/>
          <w:color w:val="auto"/>
          <w:sz w:val="22"/>
        </w:rPr>
        <w:t xml:space="preserve"> </w:t>
      </w:r>
      <w:r w:rsidR="000A07A2">
        <w:rPr>
          <w:rFonts w:asciiTheme="minorHAnsi" w:hAnsiTheme="minorHAnsi"/>
          <w:color w:val="auto"/>
          <w:sz w:val="22"/>
        </w:rPr>
        <w:t>Canberra.</w:t>
      </w:r>
    </w:p>
    <w:p w14:paraId="5DA2E76D" w14:textId="77777777" w:rsidR="00763A97" w:rsidRPr="00381B16" w:rsidRDefault="00763A97">
      <w:pPr>
        <w:pStyle w:val="References"/>
        <w:jc w:val="left"/>
        <w:rPr>
          <w:rFonts w:asciiTheme="minorHAnsi" w:hAnsiTheme="minorHAnsi"/>
          <w:color w:val="auto"/>
          <w:sz w:val="22"/>
        </w:rPr>
      </w:pPr>
      <w:r>
        <w:rPr>
          <w:rFonts w:asciiTheme="minorHAnsi" w:hAnsiTheme="minorHAnsi"/>
          <w:color w:val="auto"/>
          <w:sz w:val="22"/>
        </w:rPr>
        <w:t xml:space="preserve">ABS 2016d, </w:t>
      </w:r>
      <w:r>
        <w:rPr>
          <w:rFonts w:asciiTheme="minorHAnsi" w:hAnsiTheme="minorHAnsi"/>
          <w:i/>
          <w:color w:val="auto"/>
          <w:sz w:val="22"/>
        </w:rPr>
        <w:t>Counting Persons, Place of Usual Residence: Total Personal Income (Weekly)</w:t>
      </w:r>
      <w:r>
        <w:rPr>
          <w:rFonts w:asciiTheme="minorHAnsi" w:hAnsiTheme="minorHAnsi"/>
          <w:color w:val="auto"/>
          <w:sz w:val="22"/>
        </w:rPr>
        <w:t xml:space="preserve">, 2011 Census </w:t>
      </w:r>
      <w:proofErr w:type="spellStart"/>
      <w:r>
        <w:rPr>
          <w:rFonts w:asciiTheme="minorHAnsi" w:hAnsiTheme="minorHAnsi"/>
          <w:color w:val="auto"/>
          <w:sz w:val="22"/>
        </w:rPr>
        <w:t>TableBuilder</w:t>
      </w:r>
      <w:proofErr w:type="spellEnd"/>
      <w:r>
        <w:rPr>
          <w:rFonts w:asciiTheme="minorHAnsi" w:hAnsiTheme="minorHAnsi"/>
          <w:color w:val="auto"/>
          <w:sz w:val="22"/>
        </w:rPr>
        <w:t>, Canberra.</w:t>
      </w:r>
    </w:p>
    <w:p w14:paraId="4D9529DF" w14:textId="77777777" w:rsidR="0015507F" w:rsidRPr="00BF09BA" w:rsidRDefault="0059098E">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w:t>
      </w:r>
      <w:r w:rsidR="00763A97">
        <w:rPr>
          <w:rFonts w:asciiTheme="minorHAnsi" w:hAnsiTheme="minorHAnsi"/>
          <w:color w:val="auto"/>
          <w:sz w:val="22"/>
          <w:lang w:val="en-GB"/>
        </w:rPr>
        <w:t>7</w:t>
      </w:r>
      <w:r w:rsidRPr="00BF09BA">
        <w:rPr>
          <w:rFonts w:asciiTheme="minorHAnsi" w:hAnsiTheme="minorHAnsi"/>
          <w:color w:val="auto"/>
          <w:sz w:val="22"/>
          <w:lang w:val="en-GB"/>
        </w:rPr>
        <w:t xml:space="preserve">a, </w:t>
      </w:r>
      <w:r w:rsidRPr="00BF09BA">
        <w:rPr>
          <w:rFonts w:asciiTheme="minorHAnsi" w:hAnsiTheme="minorHAnsi"/>
          <w:i/>
          <w:color w:val="auto"/>
          <w:sz w:val="22"/>
          <w:lang w:val="en-GB"/>
        </w:rPr>
        <w:t>Australian Demographic Statistics</w:t>
      </w:r>
      <w:r w:rsidR="00C067AD" w:rsidRPr="00BF09BA">
        <w:rPr>
          <w:rFonts w:asciiTheme="minorHAnsi" w:hAnsiTheme="minorHAnsi"/>
          <w:color w:val="auto"/>
          <w:sz w:val="22"/>
          <w:lang w:val="en-GB"/>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E67329">
        <w:rPr>
          <w:rFonts w:asciiTheme="minorHAnsi" w:hAnsiTheme="minorHAnsi"/>
          <w:color w:val="auto"/>
          <w:sz w:val="22"/>
          <w:lang w:val="en-GB"/>
        </w:rPr>
        <w:t>3101.0</w:t>
      </w:r>
      <w:r w:rsidR="002206C5">
        <w:rPr>
          <w:rFonts w:asciiTheme="minorHAnsi" w:hAnsiTheme="minorHAnsi"/>
          <w:color w:val="auto"/>
          <w:sz w:val="22"/>
          <w:lang w:val="en-GB"/>
        </w:rPr>
        <w:t>,</w:t>
      </w:r>
      <w:r w:rsidR="002206C5" w:rsidRPr="00E67329">
        <w:rPr>
          <w:rFonts w:asciiTheme="minorHAnsi" w:hAnsiTheme="minorHAnsi"/>
          <w:color w:val="auto"/>
          <w:sz w:val="22"/>
          <w:lang w:val="en-GB"/>
        </w:rPr>
        <w:t xml:space="preserve"> </w:t>
      </w:r>
      <w:r w:rsidR="00C067AD" w:rsidRPr="00BF09BA">
        <w:rPr>
          <w:rFonts w:asciiTheme="minorHAnsi" w:hAnsiTheme="minorHAnsi"/>
          <w:color w:val="auto"/>
          <w:sz w:val="22"/>
        </w:rPr>
        <w:t>Canberra</w:t>
      </w:r>
      <w:hyperlink w:history="1"/>
      <w:r w:rsidRPr="00BF09BA">
        <w:rPr>
          <w:rFonts w:asciiTheme="minorHAnsi" w:hAnsiTheme="minorHAnsi"/>
          <w:color w:val="auto"/>
          <w:sz w:val="22"/>
          <w:lang w:val="en-GB"/>
        </w:rPr>
        <w:t>.</w:t>
      </w:r>
    </w:p>
    <w:p w14:paraId="6E7431B7" w14:textId="77777777" w:rsidR="00763A97" w:rsidRPr="00BF09BA" w:rsidRDefault="00763A97">
      <w:pPr>
        <w:pStyle w:val="References"/>
        <w:jc w:val="left"/>
        <w:rPr>
          <w:rFonts w:asciiTheme="minorHAnsi" w:hAnsiTheme="minorHAnsi"/>
          <w:color w:val="auto"/>
          <w:sz w:val="22"/>
        </w:rPr>
      </w:pPr>
      <w:proofErr w:type="gramStart"/>
      <w:r w:rsidRPr="00BF09BA">
        <w:rPr>
          <w:rFonts w:asciiTheme="minorHAnsi" w:hAnsiTheme="minorHAnsi"/>
          <w:color w:val="auto"/>
          <w:sz w:val="22"/>
        </w:rPr>
        <w:t>ABS 201</w:t>
      </w:r>
      <w:r>
        <w:rPr>
          <w:rFonts w:asciiTheme="minorHAnsi" w:hAnsiTheme="minorHAnsi"/>
          <w:color w:val="auto"/>
          <w:sz w:val="22"/>
        </w:rPr>
        <w:t>7b</w:t>
      </w:r>
      <w:r w:rsidRPr="00BF09BA">
        <w:rPr>
          <w:rFonts w:asciiTheme="minorHAnsi" w:hAnsiTheme="minorHAnsi"/>
          <w:color w:val="auto"/>
          <w:sz w:val="22"/>
        </w:rPr>
        <w:t xml:space="preserve">, </w:t>
      </w:r>
      <w:r w:rsidRPr="00BF09BA">
        <w:rPr>
          <w:rFonts w:asciiTheme="minorHAnsi" w:hAnsiTheme="minorHAnsi"/>
          <w:i/>
          <w:color w:val="auto"/>
          <w:sz w:val="22"/>
        </w:rPr>
        <w:t>Migration, Australia</w:t>
      </w:r>
      <w:r>
        <w:rPr>
          <w:rFonts w:asciiTheme="minorHAnsi" w:hAnsiTheme="minorHAnsi"/>
          <w:i/>
          <w:color w:val="auto"/>
          <w:sz w:val="22"/>
        </w:rPr>
        <w:t>, 2015-16</w:t>
      </w:r>
      <w:r w:rsidRPr="00BF09BA">
        <w:rPr>
          <w:rFonts w:asciiTheme="minorHAnsi" w:hAnsiTheme="minorHAnsi"/>
          <w:i/>
          <w:color w:val="auto"/>
          <w:sz w:val="22"/>
        </w:rPr>
        <w:t xml:space="preserve"> – Technical Note: ‘12/16 Month Rule’ Methodology for Calculating Net Overseas Migration from September Quarter 2006 Onwards</w:t>
      </w:r>
      <w:r w:rsidRPr="00BF09BA">
        <w:rPr>
          <w:rFonts w:asciiTheme="minorHAnsi" w:hAnsiTheme="minorHAnsi"/>
          <w:color w:val="auto"/>
          <w:sz w:val="22"/>
        </w:rPr>
        <w:t>,</w:t>
      </w:r>
      <w:r w:rsidRPr="00BF09BA">
        <w:rPr>
          <w:rFonts w:asciiTheme="minorHAnsi" w:hAnsiTheme="minorHAnsi"/>
          <w:i/>
          <w:color w:val="auto"/>
          <w:sz w:val="22"/>
        </w:rPr>
        <w:t xml:space="preserve"> </w:t>
      </w:r>
      <w:r>
        <w:rPr>
          <w:rFonts w:asciiTheme="minorHAnsi" w:hAnsiTheme="minorHAnsi"/>
          <w:color w:val="auto"/>
          <w:sz w:val="22"/>
        </w:rPr>
        <w:t>cat.</w:t>
      </w:r>
      <w:proofErr w:type="gramEnd"/>
      <w:r>
        <w:rPr>
          <w:rFonts w:asciiTheme="minorHAnsi" w:hAnsiTheme="minorHAnsi"/>
          <w:color w:val="auto"/>
          <w:sz w:val="22"/>
        </w:rPr>
        <w:t xml:space="preserve"> </w:t>
      </w:r>
      <w:proofErr w:type="gramStart"/>
      <w:r>
        <w:rPr>
          <w:rFonts w:asciiTheme="minorHAnsi" w:hAnsiTheme="minorHAnsi"/>
          <w:color w:val="auto"/>
          <w:sz w:val="22"/>
        </w:rPr>
        <w:t>no</w:t>
      </w:r>
      <w:proofErr w:type="gramEnd"/>
      <w:r>
        <w:rPr>
          <w:rFonts w:asciiTheme="minorHAnsi" w:hAnsiTheme="minorHAnsi"/>
          <w:color w:val="auto"/>
          <w:sz w:val="22"/>
        </w:rPr>
        <w:t xml:space="preserve">. </w:t>
      </w:r>
      <w:r w:rsidRPr="000D14B5">
        <w:rPr>
          <w:rFonts w:asciiTheme="minorHAnsi" w:hAnsiTheme="minorHAnsi"/>
          <w:color w:val="auto"/>
          <w:sz w:val="22"/>
        </w:rPr>
        <w:t>3412.0</w:t>
      </w:r>
      <w:r>
        <w:rPr>
          <w:rFonts w:asciiTheme="minorHAnsi" w:hAnsiTheme="minorHAnsi"/>
          <w:color w:val="auto"/>
          <w:sz w:val="22"/>
        </w:rPr>
        <w:t>,</w:t>
      </w:r>
      <w:r w:rsidRPr="000D14B5">
        <w:rPr>
          <w:rFonts w:asciiTheme="minorHAnsi" w:hAnsiTheme="minorHAnsi"/>
          <w:color w:val="auto"/>
          <w:sz w:val="22"/>
        </w:rPr>
        <w:t xml:space="preserve"> </w:t>
      </w:r>
      <w:r w:rsidR="000A07A2">
        <w:rPr>
          <w:rFonts w:asciiTheme="minorHAnsi" w:hAnsiTheme="minorHAnsi"/>
          <w:color w:val="auto"/>
          <w:sz w:val="22"/>
        </w:rPr>
        <w:t>Canberra.</w:t>
      </w:r>
    </w:p>
    <w:p w14:paraId="7AA43449" w14:textId="77777777" w:rsidR="00763A97" w:rsidRDefault="00763A97">
      <w:pPr>
        <w:pStyle w:val="References"/>
        <w:jc w:val="left"/>
        <w:rPr>
          <w:rFonts w:asciiTheme="minorHAnsi" w:hAnsiTheme="minorHAnsi"/>
          <w:color w:val="auto"/>
          <w:sz w:val="22"/>
        </w:rPr>
      </w:pPr>
      <w:r w:rsidRPr="00BF09BA">
        <w:rPr>
          <w:rFonts w:asciiTheme="minorHAnsi" w:hAnsiTheme="minorHAnsi"/>
          <w:color w:val="auto"/>
          <w:sz w:val="22"/>
        </w:rPr>
        <w:t>ABS 201</w:t>
      </w:r>
      <w:r>
        <w:rPr>
          <w:rFonts w:asciiTheme="minorHAnsi" w:hAnsiTheme="minorHAnsi"/>
          <w:color w:val="auto"/>
          <w:sz w:val="22"/>
        </w:rPr>
        <w:t>7c</w:t>
      </w:r>
      <w:r w:rsidRPr="00BF09BA">
        <w:rPr>
          <w:rFonts w:asciiTheme="minorHAnsi" w:hAnsiTheme="minorHAnsi"/>
          <w:color w:val="auto"/>
          <w:sz w:val="22"/>
        </w:rPr>
        <w:t xml:space="preserve">, </w:t>
      </w:r>
      <w:r w:rsidRPr="00BF09BA">
        <w:rPr>
          <w:rFonts w:asciiTheme="minorHAnsi" w:hAnsiTheme="minorHAnsi"/>
          <w:i/>
          <w:color w:val="auto"/>
          <w:sz w:val="22"/>
        </w:rPr>
        <w:t>Migration, Australia, 2015-16</w:t>
      </w:r>
      <w:r w:rsidRPr="00BF09BA">
        <w:rPr>
          <w:rFonts w:asciiTheme="minorHAnsi" w:hAnsiTheme="minorHAnsi"/>
          <w:color w:val="auto"/>
          <w:sz w:val="22"/>
        </w:rPr>
        <w:t xml:space="preserve">, </w:t>
      </w:r>
      <w:r>
        <w:rPr>
          <w:rFonts w:asciiTheme="minorHAnsi" w:hAnsiTheme="minorHAnsi"/>
          <w:color w:val="auto"/>
          <w:sz w:val="22"/>
        </w:rPr>
        <w:t xml:space="preserve">cat. </w:t>
      </w:r>
      <w:proofErr w:type="gramStart"/>
      <w:r>
        <w:rPr>
          <w:rFonts w:asciiTheme="minorHAnsi" w:hAnsiTheme="minorHAnsi"/>
          <w:color w:val="auto"/>
          <w:sz w:val="22"/>
        </w:rPr>
        <w:t>no</w:t>
      </w:r>
      <w:proofErr w:type="gramEnd"/>
      <w:r>
        <w:rPr>
          <w:rFonts w:asciiTheme="minorHAnsi" w:hAnsiTheme="minorHAnsi"/>
          <w:color w:val="auto"/>
          <w:sz w:val="22"/>
        </w:rPr>
        <w:t xml:space="preserve">. </w:t>
      </w:r>
      <w:r w:rsidRPr="000D14B5">
        <w:rPr>
          <w:rFonts w:asciiTheme="minorHAnsi" w:hAnsiTheme="minorHAnsi"/>
          <w:color w:val="auto"/>
          <w:sz w:val="22"/>
        </w:rPr>
        <w:t>3412.0</w:t>
      </w:r>
      <w:r>
        <w:rPr>
          <w:rFonts w:asciiTheme="minorHAnsi" w:hAnsiTheme="minorHAnsi"/>
          <w:color w:val="auto"/>
          <w:sz w:val="22"/>
        </w:rPr>
        <w:t>,</w:t>
      </w:r>
      <w:r w:rsidRPr="000D14B5">
        <w:rPr>
          <w:rFonts w:asciiTheme="minorHAnsi" w:hAnsiTheme="minorHAnsi"/>
          <w:color w:val="auto"/>
          <w:sz w:val="22"/>
        </w:rPr>
        <w:t xml:space="preserve"> </w:t>
      </w:r>
      <w:r w:rsidRPr="00BF09BA">
        <w:rPr>
          <w:rFonts w:asciiTheme="minorHAnsi" w:hAnsiTheme="minorHAnsi"/>
          <w:color w:val="auto"/>
          <w:sz w:val="22"/>
        </w:rPr>
        <w:t>Canberra.</w:t>
      </w:r>
    </w:p>
    <w:p w14:paraId="0876C9A3" w14:textId="77777777" w:rsidR="00BD06BD" w:rsidRPr="00BF09BA" w:rsidRDefault="00BD06BD">
      <w:pPr>
        <w:pStyle w:val="References"/>
        <w:jc w:val="left"/>
        <w:rPr>
          <w:rFonts w:asciiTheme="minorHAnsi" w:hAnsiTheme="minorHAnsi"/>
          <w:color w:val="auto"/>
          <w:sz w:val="22"/>
        </w:rPr>
      </w:pPr>
      <w:r w:rsidRPr="00BF09BA">
        <w:rPr>
          <w:rFonts w:asciiTheme="minorHAnsi" w:hAnsiTheme="minorHAnsi"/>
          <w:color w:val="auto"/>
          <w:sz w:val="22"/>
        </w:rPr>
        <w:t>ABS 201</w:t>
      </w:r>
      <w:r w:rsidR="00763A97">
        <w:rPr>
          <w:rFonts w:asciiTheme="minorHAnsi" w:hAnsiTheme="minorHAnsi"/>
          <w:color w:val="auto"/>
          <w:sz w:val="22"/>
        </w:rPr>
        <w:t>7d</w:t>
      </w:r>
      <w:r w:rsidRPr="00BF09BA">
        <w:rPr>
          <w:rFonts w:asciiTheme="minorHAnsi" w:hAnsiTheme="minorHAnsi"/>
          <w:color w:val="auto"/>
          <w:sz w:val="22"/>
        </w:rPr>
        <w:t xml:space="preserve">, </w:t>
      </w:r>
      <w:r w:rsidRPr="00BF09BA">
        <w:rPr>
          <w:rFonts w:asciiTheme="minorHAnsi" w:hAnsiTheme="minorHAnsi"/>
          <w:i/>
          <w:color w:val="auto"/>
          <w:sz w:val="22"/>
        </w:rPr>
        <w:t>Regional Population Growth, Australia</w:t>
      </w:r>
      <w:r w:rsidR="00763A97">
        <w:rPr>
          <w:rFonts w:asciiTheme="minorHAnsi" w:hAnsiTheme="minorHAnsi"/>
          <w:i/>
          <w:color w:val="auto"/>
          <w:sz w:val="22"/>
        </w:rPr>
        <w:t>, 2016</w:t>
      </w:r>
      <w:r w:rsidR="00C067AD" w:rsidRPr="00BF09BA">
        <w:rPr>
          <w:rFonts w:asciiTheme="minorHAnsi" w:hAnsiTheme="minorHAnsi"/>
          <w:i/>
          <w:color w:val="auto"/>
          <w:sz w:val="22"/>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0D14B5">
        <w:rPr>
          <w:rFonts w:asciiTheme="minorHAnsi" w:hAnsiTheme="minorHAnsi"/>
          <w:color w:val="auto"/>
          <w:sz w:val="22"/>
        </w:rPr>
        <w:t>3218.0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50222218" w14:textId="77777777" w:rsidR="00574347" w:rsidRDefault="00574347">
      <w:pPr>
        <w:pStyle w:val="References"/>
        <w:jc w:val="left"/>
        <w:rPr>
          <w:rFonts w:asciiTheme="minorHAnsi" w:hAnsiTheme="minorHAnsi"/>
          <w:color w:val="auto"/>
          <w:sz w:val="22"/>
        </w:rPr>
      </w:pPr>
      <w:r w:rsidRPr="00574347">
        <w:rPr>
          <w:rFonts w:asciiTheme="minorHAnsi" w:hAnsiTheme="minorHAnsi"/>
          <w:color w:val="auto"/>
          <w:sz w:val="22"/>
        </w:rPr>
        <w:t xml:space="preserve">ABS 2017e, </w:t>
      </w:r>
      <w:r w:rsidRPr="00574347">
        <w:rPr>
          <w:rFonts w:asciiTheme="minorHAnsi" w:hAnsiTheme="minorHAnsi"/>
          <w:i/>
          <w:color w:val="auto"/>
          <w:sz w:val="22"/>
        </w:rPr>
        <w:t>Estimated Resident Population by SA2 and Above (ASGS 2011)</w:t>
      </w:r>
      <w:r w:rsidRPr="00574347">
        <w:rPr>
          <w:rFonts w:asciiTheme="minorHAnsi" w:hAnsiTheme="minorHAnsi"/>
          <w:color w:val="auto"/>
          <w:sz w:val="22"/>
        </w:rPr>
        <w:t xml:space="preserve">, 1991-2016, data extract from </w:t>
      </w:r>
      <w:proofErr w:type="spellStart"/>
      <w:r w:rsidRPr="00574347">
        <w:rPr>
          <w:rFonts w:asciiTheme="minorHAnsi" w:hAnsiTheme="minorHAnsi"/>
          <w:color w:val="auto"/>
          <w:sz w:val="22"/>
        </w:rPr>
        <w:t>ABS.Stat</w:t>
      </w:r>
      <w:proofErr w:type="spellEnd"/>
      <w:r w:rsidRPr="00574347">
        <w:rPr>
          <w:rFonts w:asciiTheme="minorHAnsi" w:hAnsiTheme="minorHAnsi"/>
          <w:color w:val="auto"/>
          <w:sz w:val="22"/>
        </w:rPr>
        <w:t>, Canberra.</w:t>
      </w:r>
    </w:p>
    <w:p w14:paraId="4882CF2E" w14:textId="77777777" w:rsidR="00AD5DEF" w:rsidRPr="00BF09BA" w:rsidRDefault="00AD5DEF">
      <w:pPr>
        <w:pStyle w:val="References"/>
        <w:jc w:val="left"/>
        <w:rPr>
          <w:rFonts w:asciiTheme="minorHAnsi" w:hAnsiTheme="minorHAnsi"/>
          <w:color w:val="auto"/>
          <w:sz w:val="22"/>
        </w:rPr>
      </w:pPr>
      <w:proofErr w:type="gramStart"/>
      <w:r w:rsidRPr="00BF09BA">
        <w:rPr>
          <w:rFonts w:asciiTheme="minorHAnsi" w:hAnsiTheme="minorHAnsi"/>
          <w:color w:val="auto"/>
          <w:sz w:val="22"/>
        </w:rPr>
        <w:t>ABS 2017</w:t>
      </w:r>
      <w:r w:rsidR="00763A97">
        <w:rPr>
          <w:rFonts w:asciiTheme="minorHAnsi" w:hAnsiTheme="minorHAnsi"/>
          <w:color w:val="auto"/>
          <w:sz w:val="22"/>
        </w:rPr>
        <w:t>f</w:t>
      </w:r>
      <w:r w:rsidRPr="00BF09BA">
        <w:rPr>
          <w:rFonts w:asciiTheme="minorHAnsi" w:hAnsiTheme="minorHAnsi"/>
          <w:color w:val="auto"/>
          <w:sz w:val="22"/>
        </w:rPr>
        <w:t xml:space="preserve">, </w:t>
      </w:r>
      <w:r w:rsidRPr="00BF09BA">
        <w:rPr>
          <w:rFonts w:asciiTheme="minorHAnsi" w:hAnsiTheme="minorHAnsi"/>
          <w:i/>
          <w:color w:val="auto"/>
          <w:sz w:val="22"/>
        </w:rPr>
        <w:t xml:space="preserve">1996 Census </w:t>
      </w:r>
      <w:r w:rsidR="00F51AB1">
        <w:rPr>
          <w:rFonts w:asciiTheme="minorHAnsi" w:hAnsiTheme="minorHAnsi"/>
          <w:i/>
          <w:color w:val="auto"/>
          <w:sz w:val="22"/>
        </w:rPr>
        <w:t>D</w:t>
      </w:r>
      <w:r w:rsidRPr="00BF09BA">
        <w:rPr>
          <w:rFonts w:asciiTheme="minorHAnsi" w:hAnsiTheme="minorHAnsi"/>
          <w:i/>
          <w:color w:val="auto"/>
          <w:sz w:val="22"/>
        </w:rPr>
        <w:t>ata</w:t>
      </w:r>
      <w:r w:rsidR="00B66800" w:rsidRPr="00BF09BA">
        <w:rPr>
          <w:rFonts w:asciiTheme="minorHAnsi" w:hAnsiTheme="minorHAnsi"/>
          <w:i/>
          <w:color w:val="auto"/>
          <w:sz w:val="22"/>
        </w:rPr>
        <w:t xml:space="preserve"> - customised report</w:t>
      </w:r>
      <w:r w:rsidR="00C067AD" w:rsidRPr="00BF09BA">
        <w:rPr>
          <w:rFonts w:asciiTheme="minorHAnsi" w:hAnsiTheme="minorHAnsi"/>
          <w:color w:val="auto"/>
          <w:sz w:val="22"/>
        </w:rPr>
        <w:t>,</w:t>
      </w:r>
      <w:r w:rsidR="00C067AD" w:rsidRPr="00BF09BA">
        <w:rPr>
          <w:rFonts w:asciiTheme="minorHAnsi" w:hAnsiTheme="minorHAnsi"/>
          <w:i/>
          <w:color w:val="auto"/>
          <w:sz w:val="22"/>
        </w:rPr>
        <w:t xml:space="preserve"> </w:t>
      </w:r>
      <w:r w:rsidR="00C067AD" w:rsidRPr="00BF09BA">
        <w:rPr>
          <w:rFonts w:asciiTheme="minorHAnsi" w:hAnsiTheme="minorHAnsi"/>
          <w:color w:val="auto"/>
          <w:sz w:val="22"/>
        </w:rPr>
        <w:t>Canberra</w:t>
      </w:r>
      <w:r w:rsidR="000A07A2">
        <w:rPr>
          <w:rFonts w:asciiTheme="minorHAnsi" w:hAnsiTheme="minorHAnsi"/>
          <w:color w:val="auto"/>
          <w:sz w:val="22"/>
        </w:rPr>
        <w:t>.</w:t>
      </w:r>
      <w:proofErr w:type="gramEnd"/>
    </w:p>
    <w:p w14:paraId="5D52F718" w14:textId="77777777" w:rsidR="00763A97" w:rsidRPr="00FF3489" w:rsidRDefault="00763A97">
      <w:pPr>
        <w:pStyle w:val="References"/>
        <w:jc w:val="left"/>
        <w:rPr>
          <w:rFonts w:asciiTheme="minorHAnsi" w:hAnsiTheme="minorHAnsi"/>
          <w:color w:val="auto"/>
          <w:sz w:val="22"/>
          <w:lang w:val="en-GB"/>
        </w:rPr>
      </w:pPr>
      <w:r>
        <w:rPr>
          <w:rFonts w:asciiTheme="minorHAnsi" w:hAnsiTheme="minorHAnsi"/>
          <w:color w:val="auto"/>
          <w:sz w:val="22"/>
          <w:lang w:val="en-GB"/>
        </w:rPr>
        <w:t>ABS 2017g</w:t>
      </w:r>
      <w:r w:rsidRPr="00BF09BA">
        <w:rPr>
          <w:rFonts w:asciiTheme="minorHAnsi" w:hAnsiTheme="minorHAnsi"/>
          <w:color w:val="auto"/>
          <w:sz w:val="22"/>
          <w:lang w:val="en-GB"/>
        </w:rPr>
        <w:t xml:space="preserve">, </w:t>
      </w:r>
      <w:r>
        <w:rPr>
          <w:rFonts w:asciiTheme="minorHAnsi" w:hAnsiTheme="minorHAnsi"/>
          <w:i/>
          <w:color w:val="auto"/>
          <w:sz w:val="22"/>
          <w:lang w:val="en-GB"/>
        </w:rPr>
        <w:t>Counting Persons, Place of Usual Residence by Country of Birth</w:t>
      </w:r>
      <w:r>
        <w:rPr>
          <w:rFonts w:asciiTheme="minorHAnsi" w:hAnsiTheme="minorHAnsi"/>
          <w:color w:val="auto"/>
          <w:sz w:val="22"/>
          <w:lang w:val="en-GB"/>
        </w:rPr>
        <w:t>,</w:t>
      </w:r>
      <w:r>
        <w:rPr>
          <w:rFonts w:asciiTheme="minorHAnsi" w:hAnsiTheme="minorHAnsi"/>
          <w:i/>
          <w:color w:val="auto"/>
          <w:sz w:val="22"/>
          <w:lang w:val="en-GB"/>
        </w:rPr>
        <w:t xml:space="preserve"> </w:t>
      </w:r>
      <w:r w:rsidRPr="00381B16">
        <w:rPr>
          <w:rFonts w:asciiTheme="minorHAnsi" w:hAnsiTheme="minorHAnsi"/>
          <w:color w:val="auto"/>
          <w:sz w:val="22"/>
          <w:lang w:val="en-GB"/>
        </w:rPr>
        <w:t>2016 Census</w:t>
      </w:r>
      <w:r>
        <w:rPr>
          <w:rFonts w:asciiTheme="minorHAnsi" w:hAnsiTheme="minorHAnsi"/>
          <w:color w:val="auto"/>
          <w:sz w:val="22"/>
          <w:lang w:val="en-GB"/>
        </w:rPr>
        <w:t xml:space="preserve"> </w:t>
      </w:r>
      <w:proofErr w:type="spellStart"/>
      <w:r>
        <w:rPr>
          <w:rFonts w:asciiTheme="minorHAnsi" w:hAnsiTheme="minorHAnsi"/>
          <w:color w:val="auto"/>
          <w:sz w:val="22"/>
          <w:lang w:val="en-GB"/>
        </w:rPr>
        <w:t>TableBuilder</w:t>
      </w:r>
      <w:proofErr w:type="spellEnd"/>
      <w:r>
        <w:rPr>
          <w:rFonts w:asciiTheme="minorHAnsi" w:hAnsiTheme="minorHAnsi"/>
          <w:color w:val="auto"/>
          <w:sz w:val="22"/>
          <w:lang w:val="en-GB"/>
        </w:rPr>
        <w:t>, Canberra.</w:t>
      </w:r>
    </w:p>
    <w:p w14:paraId="52DE3653"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2017</w:t>
      </w:r>
      <w:r w:rsidR="00763A97">
        <w:rPr>
          <w:rFonts w:asciiTheme="minorHAnsi" w:hAnsiTheme="minorHAnsi"/>
          <w:color w:val="auto"/>
          <w:sz w:val="22"/>
        </w:rPr>
        <w:t>h</w:t>
      </w:r>
      <w:r w:rsidRPr="00BF09BA">
        <w:rPr>
          <w:rFonts w:asciiTheme="minorHAnsi" w:hAnsiTheme="minorHAnsi"/>
          <w:color w:val="auto"/>
          <w:sz w:val="22"/>
        </w:rPr>
        <w:t xml:space="preserve">, </w:t>
      </w:r>
      <w:r w:rsidRPr="00BF09BA">
        <w:rPr>
          <w:rFonts w:asciiTheme="minorHAnsi" w:hAnsiTheme="minorHAnsi"/>
          <w:i/>
          <w:color w:val="auto"/>
          <w:sz w:val="22"/>
        </w:rPr>
        <w:t>Australian National Accounts: National Income, Expenditure and Product</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0D14B5">
        <w:rPr>
          <w:rFonts w:asciiTheme="minorHAnsi" w:hAnsiTheme="minorHAnsi"/>
          <w:color w:val="auto"/>
          <w:sz w:val="22"/>
        </w:rPr>
        <w:t>5206.0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31D6E97E"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2017</w:t>
      </w:r>
      <w:r w:rsidR="00763A97">
        <w:rPr>
          <w:rFonts w:asciiTheme="minorHAnsi" w:hAnsiTheme="minorHAnsi"/>
          <w:color w:val="auto"/>
          <w:sz w:val="22"/>
        </w:rPr>
        <w:t>i</w:t>
      </w:r>
      <w:r w:rsidRPr="00BF09BA">
        <w:rPr>
          <w:rFonts w:asciiTheme="minorHAnsi" w:hAnsiTheme="minorHAnsi"/>
          <w:color w:val="auto"/>
          <w:sz w:val="22"/>
        </w:rPr>
        <w:t xml:space="preserve">, </w:t>
      </w:r>
      <w:r w:rsidRPr="00BF09BA">
        <w:rPr>
          <w:rFonts w:asciiTheme="minorHAnsi" w:hAnsiTheme="minorHAnsi"/>
          <w:i/>
          <w:color w:val="auto"/>
          <w:sz w:val="22"/>
        </w:rPr>
        <w:t>Labour Force, Australia</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0D14B5">
        <w:rPr>
          <w:rFonts w:asciiTheme="minorHAnsi" w:hAnsiTheme="minorHAnsi"/>
          <w:color w:val="auto"/>
          <w:sz w:val="22"/>
        </w:rPr>
        <w:t>6202.0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hyperlink w:history="1"/>
      <w:r w:rsidRPr="00BF09BA">
        <w:rPr>
          <w:rFonts w:asciiTheme="minorHAnsi" w:hAnsiTheme="minorHAnsi"/>
          <w:color w:val="auto"/>
          <w:sz w:val="22"/>
        </w:rPr>
        <w:t>.</w:t>
      </w:r>
    </w:p>
    <w:p w14:paraId="1CC84A5C"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2017</w:t>
      </w:r>
      <w:r>
        <w:rPr>
          <w:rFonts w:asciiTheme="minorHAnsi" w:hAnsiTheme="minorHAnsi"/>
          <w:color w:val="auto"/>
          <w:sz w:val="22"/>
        </w:rPr>
        <w:t>j</w:t>
      </w:r>
      <w:r w:rsidRPr="00BF09BA">
        <w:rPr>
          <w:rFonts w:asciiTheme="minorHAnsi" w:hAnsiTheme="minorHAnsi"/>
          <w:color w:val="auto"/>
          <w:sz w:val="22"/>
        </w:rPr>
        <w:t xml:space="preserve">, </w:t>
      </w:r>
      <w:r w:rsidRPr="00BF09BA">
        <w:rPr>
          <w:rFonts w:asciiTheme="minorHAnsi" w:hAnsiTheme="minorHAnsi"/>
          <w:i/>
          <w:color w:val="auto"/>
          <w:sz w:val="22"/>
        </w:rPr>
        <w:t>Labour Force, Australia, Detailed – Electronic Delivery</w:t>
      </w:r>
      <w:r w:rsidRPr="00BF09BA">
        <w:rPr>
          <w:rFonts w:asciiTheme="minorHAnsi" w:hAnsiTheme="minorHAnsi"/>
          <w:color w:val="auto"/>
          <w:sz w:val="22"/>
        </w:rPr>
        <w:t xml:space="preserve">, </w:t>
      </w:r>
      <w:r>
        <w:rPr>
          <w:rFonts w:asciiTheme="minorHAnsi" w:hAnsiTheme="minorHAnsi"/>
          <w:color w:val="auto"/>
          <w:sz w:val="22"/>
        </w:rPr>
        <w:t xml:space="preserve">cat. </w:t>
      </w:r>
      <w:proofErr w:type="gramStart"/>
      <w:r>
        <w:rPr>
          <w:rFonts w:asciiTheme="minorHAnsi" w:hAnsiTheme="minorHAnsi"/>
          <w:color w:val="auto"/>
          <w:sz w:val="22"/>
        </w:rPr>
        <w:t xml:space="preserve">no. </w:t>
      </w:r>
      <w:r w:rsidRPr="000D14B5">
        <w:rPr>
          <w:rFonts w:asciiTheme="minorHAnsi" w:hAnsiTheme="minorHAnsi"/>
          <w:color w:val="auto"/>
          <w:sz w:val="22"/>
        </w:rPr>
        <w:t>6291.0.55.001</w:t>
      </w:r>
      <w:r>
        <w:rPr>
          <w:rFonts w:asciiTheme="minorHAnsi" w:hAnsiTheme="minorHAnsi"/>
          <w:color w:val="auto"/>
          <w:sz w:val="22"/>
        </w:rPr>
        <w:t>,</w:t>
      </w:r>
      <w:r w:rsidRPr="000D14B5">
        <w:rPr>
          <w:rFonts w:asciiTheme="minorHAnsi" w:hAnsiTheme="minorHAnsi"/>
          <w:color w:val="auto"/>
          <w:sz w:val="22"/>
        </w:rPr>
        <w:t xml:space="preserve"> </w:t>
      </w:r>
      <w:r w:rsidRPr="00BF09BA">
        <w:rPr>
          <w:rFonts w:asciiTheme="minorHAnsi" w:hAnsiTheme="minorHAnsi"/>
          <w:color w:val="auto"/>
          <w:sz w:val="22"/>
        </w:rPr>
        <w:t>Canberra.</w:t>
      </w:r>
      <w:proofErr w:type="gramEnd"/>
    </w:p>
    <w:p w14:paraId="4AD97F1E" w14:textId="77777777" w:rsidR="00603AFB" w:rsidRPr="00BF09BA" w:rsidRDefault="00603AFB">
      <w:pPr>
        <w:pStyle w:val="References"/>
        <w:jc w:val="left"/>
        <w:rPr>
          <w:rFonts w:asciiTheme="minorHAnsi" w:hAnsiTheme="minorHAnsi"/>
          <w:color w:val="auto"/>
          <w:sz w:val="22"/>
        </w:rPr>
      </w:pPr>
      <w:proofErr w:type="gramStart"/>
      <w:r w:rsidRPr="00BF09BA">
        <w:rPr>
          <w:rFonts w:asciiTheme="minorHAnsi" w:hAnsiTheme="minorHAnsi"/>
          <w:color w:val="auto"/>
          <w:sz w:val="22"/>
        </w:rPr>
        <w:t xml:space="preserve">ABS </w:t>
      </w:r>
      <w:r w:rsidR="003E4AD9" w:rsidRPr="00BF09BA">
        <w:rPr>
          <w:rFonts w:asciiTheme="minorHAnsi" w:hAnsiTheme="minorHAnsi"/>
          <w:color w:val="auto"/>
          <w:sz w:val="22"/>
        </w:rPr>
        <w:t>2017</w:t>
      </w:r>
      <w:r w:rsidR="00763A97">
        <w:rPr>
          <w:rFonts w:asciiTheme="minorHAnsi" w:hAnsiTheme="minorHAnsi"/>
          <w:color w:val="auto"/>
          <w:sz w:val="22"/>
        </w:rPr>
        <w:t>k</w:t>
      </w:r>
      <w:r w:rsidRPr="00BF09BA">
        <w:rPr>
          <w:rFonts w:asciiTheme="minorHAnsi" w:hAnsiTheme="minorHAnsi"/>
          <w:color w:val="auto"/>
          <w:sz w:val="22"/>
        </w:rPr>
        <w:t xml:space="preserve">, </w:t>
      </w:r>
      <w:r w:rsidRPr="00BF09BA">
        <w:rPr>
          <w:rFonts w:asciiTheme="minorHAnsi" w:hAnsiTheme="minorHAnsi"/>
          <w:i/>
          <w:color w:val="auto"/>
          <w:sz w:val="22"/>
        </w:rPr>
        <w:t xml:space="preserve">Labour Force, Australia, Detailed, Quarterly, </w:t>
      </w:r>
      <w:r w:rsidR="002206C5">
        <w:rPr>
          <w:rFonts w:asciiTheme="minorHAnsi" w:hAnsiTheme="minorHAnsi"/>
          <w:color w:val="auto"/>
          <w:sz w:val="22"/>
        </w:rPr>
        <w:t>cat.</w:t>
      </w:r>
      <w:proofErr w:type="gramEnd"/>
      <w:r w:rsidR="002206C5">
        <w:rPr>
          <w:rFonts w:asciiTheme="minorHAnsi" w:hAnsiTheme="minorHAnsi"/>
          <w:color w:val="auto"/>
          <w:sz w:val="22"/>
        </w:rPr>
        <w:t xml:space="preserve"> </w:t>
      </w:r>
      <w:proofErr w:type="gramStart"/>
      <w:r w:rsidR="002206C5">
        <w:rPr>
          <w:rFonts w:asciiTheme="minorHAnsi" w:hAnsiTheme="minorHAnsi"/>
          <w:color w:val="auto"/>
          <w:sz w:val="22"/>
        </w:rPr>
        <w:t xml:space="preserve">no. </w:t>
      </w:r>
      <w:r w:rsidR="002206C5" w:rsidRPr="000D14B5">
        <w:rPr>
          <w:rFonts w:asciiTheme="minorHAnsi" w:hAnsiTheme="minorHAnsi"/>
          <w:color w:val="auto"/>
          <w:sz w:val="22"/>
        </w:rPr>
        <w:t>6291.0.55.003</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roofErr w:type="gramEnd"/>
    </w:p>
    <w:p w14:paraId="14EE779F" w14:textId="77777777" w:rsidR="002206C5" w:rsidRPr="00BF09BA" w:rsidRDefault="00954C1A">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2017</w:t>
      </w:r>
      <w:r w:rsidR="00763A97">
        <w:rPr>
          <w:rFonts w:asciiTheme="minorHAnsi" w:hAnsiTheme="minorHAnsi"/>
          <w:color w:val="auto"/>
          <w:sz w:val="22"/>
          <w:lang w:val="en-GB"/>
        </w:rPr>
        <w:t>l</w:t>
      </w:r>
      <w:r w:rsidRPr="00BF09BA">
        <w:rPr>
          <w:rFonts w:asciiTheme="minorHAnsi" w:hAnsiTheme="minorHAnsi"/>
          <w:color w:val="auto"/>
          <w:sz w:val="22"/>
          <w:lang w:val="en-GB"/>
        </w:rPr>
        <w:t xml:space="preserve">, </w:t>
      </w:r>
      <w:r w:rsidRPr="00BF09BA">
        <w:rPr>
          <w:rFonts w:asciiTheme="minorHAnsi" w:hAnsiTheme="minorHAnsi"/>
          <w:i/>
          <w:color w:val="auto"/>
          <w:sz w:val="22"/>
          <w:lang w:val="en-GB"/>
        </w:rPr>
        <w:t>Building Activity, Australia</w:t>
      </w:r>
      <w:r w:rsidR="00C067AD" w:rsidRPr="00BF09BA">
        <w:rPr>
          <w:rFonts w:asciiTheme="minorHAnsi" w:hAnsiTheme="minorHAnsi"/>
          <w:color w:val="auto"/>
          <w:sz w:val="22"/>
          <w:lang w:val="en-GB"/>
        </w:rPr>
        <w:t>,</w:t>
      </w:r>
      <w:r w:rsidR="00C067AD" w:rsidRPr="00BF09BA">
        <w:rPr>
          <w:rFonts w:asciiTheme="minorHAnsi" w:hAnsiTheme="minorHAnsi"/>
          <w:i/>
          <w:color w:val="auto"/>
          <w:sz w:val="22"/>
          <w:lang w:val="en-GB"/>
        </w:rPr>
        <w:t xml:space="preserve"> </w:t>
      </w:r>
      <w:r w:rsidR="002206C5">
        <w:rPr>
          <w:rFonts w:asciiTheme="minorHAnsi" w:hAnsiTheme="minorHAnsi"/>
          <w:color w:val="auto"/>
          <w:sz w:val="22"/>
        </w:rPr>
        <w:t xml:space="preserve">cat. </w:t>
      </w:r>
      <w:proofErr w:type="gramStart"/>
      <w:r w:rsidR="002206C5">
        <w:rPr>
          <w:rFonts w:asciiTheme="minorHAnsi" w:hAnsiTheme="minorHAnsi"/>
          <w:color w:val="auto"/>
          <w:sz w:val="22"/>
        </w:rPr>
        <w:t>no</w:t>
      </w:r>
      <w:proofErr w:type="gramEnd"/>
      <w:r w:rsidR="002206C5">
        <w:rPr>
          <w:rFonts w:asciiTheme="minorHAnsi" w:hAnsiTheme="minorHAnsi"/>
          <w:color w:val="auto"/>
          <w:sz w:val="22"/>
        </w:rPr>
        <w:t xml:space="preserve">. </w:t>
      </w:r>
      <w:r w:rsidR="002206C5" w:rsidRPr="00E67329">
        <w:rPr>
          <w:rFonts w:asciiTheme="minorHAnsi" w:hAnsiTheme="minorHAnsi"/>
          <w:color w:val="auto"/>
          <w:sz w:val="22"/>
          <w:lang w:val="en-GB"/>
        </w:rPr>
        <w:t>8752.0</w:t>
      </w:r>
      <w:r w:rsidR="002206C5">
        <w:rPr>
          <w:rFonts w:asciiTheme="minorHAnsi" w:hAnsiTheme="minorHAnsi"/>
          <w:color w:val="auto"/>
          <w:sz w:val="22"/>
          <w:lang w:val="en-GB"/>
        </w:rPr>
        <w:t>,</w:t>
      </w:r>
      <w:r w:rsidR="002206C5" w:rsidRPr="00E67329">
        <w:rPr>
          <w:rFonts w:asciiTheme="minorHAnsi" w:hAnsiTheme="minorHAnsi"/>
          <w:color w:val="auto"/>
          <w:sz w:val="22"/>
          <w:lang w:val="en-GB"/>
        </w:rPr>
        <w:t xml:space="preserve"> </w:t>
      </w:r>
      <w:r w:rsidR="00C067AD" w:rsidRPr="00BF09BA">
        <w:rPr>
          <w:rFonts w:asciiTheme="minorHAnsi" w:hAnsiTheme="minorHAnsi"/>
          <w:color w:val="auto"/>
          <w:sz w:val="22"/>
        </w:rPr>
        <w:t>Canberra</w:t>
      </w:r>
      <w:r w:rsidRPr="00BF09BA">
        <w:rPr>
          <w:rFonts w:asciiTheme="minorHAnsi" w:hAnsiTheme="minorHAnsi"/>
          <w:color w:val="auto"/>
          <w:sz w:val="22"/>
          <w:lang w:val="en-GB"/>
        </w:rPr>
        <w:t>.</w:t>
      </w:r>
    </w:p>
    <w:p w14:paraId="1B6FBA73" w14:textId="77777777" w:rsidR="003501E6" w:rsidRDefault="0059098E">
      <w:pPr>
        <w:pStyle w:val="References"/>
        <w:jc w:val="left"/>
        <w:rPr>
          <w:rFonts w:asciiTheme="minorHAnsi" w:hAnsiTheme="minorHAnsi"/>
          <w:color w:val="auto"/>
          <w:sz w:val="22"/>
          <w:lang w:eastAsia="en-AU"/>
        </w:rPr>
        <w:sectPr w:rsidR="003501E6" w:rsidSect="005D0DBA">
          <w:headerReference w:type="default" r:id="rId107"/>
          <w:footerReference w:type="first" r:id="rId108"/>
          <w:pgSz w:w="11906" w:h="16838" w:code="277"/>
          <w:pgMar w:top="1418" w:right="1418" w:bottom="1418" w:left="1418" w:header="709" w:footer="709" w:gutter="0"/>
          <w:cols w:space="708"/>
          <w:titlePg/>
          <w:docGrid w:linePitch="360"/>
        </w:sectPr>
      </w:pPr>
      <w:proofErr w:type="spellStart"/>
      <w:r w:rsidRPr="00BF09BA">
        <w:rPr>
          <w:rFonts w:asciiTheme="minorHAnsi" w:hAnsiTheme="minorHAnsi"/>
          <w:color w:val="auto"/>
          <w:sz w:val="22"/>
          <w:lang w:eastAsia="en-AU"/>
        </w:rPr>
        <w:t>Allport</w:t>
      </w:r>
      <w:proofErr w:type="spellEnd"/>
      <w:r w:rsidRPr="00BF09BA">
        <w:rPr>
          <w:rFonts w:asciiTheme="minorHAnsi" w:hAnsiTheme="minorHAnsi"/>
          <w:color w:val="auto"/>
          <w:sz w:val="22"/>
          <w:lang w:eastAsia="en-AU"/>
        </w:rPr>
        <w:t xml:space="preserve">, GW 1954, </w:t>
      </w:r>
      <w:proofErr w:type="gramStart"/>
      <w:r w:rsidRPr="00BF09BA">
        <w:rPr>
          <w:rFonts w:asciiTheme="minorHAnsi" w:hAnsiTheme="minorHAnsi"/>
          <w:i/>
          <w:color w:val="auto"/>
          <w:sz w:val="22"/>
          <w:lang w:eastAsia="en-AU"/>
        </w:rPr>
        <w:t>The</w:t>
      </w:r>
      <w:proofErr w:type="gramEnd"/>
      <w:r w:rsidRPr="00BF09BA">
        <w:rPr>
          <w:rFonts w:asciiTheme="minorHAnsi" w:hAnsiTheme="minorHAnsi"/>
          <w:i/>
          <w:color w:val="auto"/>
          <w:sz w:val="22"/>
          <w:lang w:eastAsia="en-AU"/>
        </w:rPr>
        <w:t xml:space="preserve"> </w:t>
      </w:r>
      <w:r w:rsidR="0048563F">
        <w:rPr>
          <w:rFonts w:asciiTheme="minorHAnsi" w:hAnsiTheme="minorHAnsi"/>
          <w:i/>
          <w:color w:val="auto"/>
          <w:sz w:val="22"/>
          <w:lang w:eastAsia="en-AU"/>
        </w:rPr>
        <w:t>N</w:t>
      </w:r>
      <w:r w:rsidRPr="00BF09BA">
        <w:rPr>
          <w:rFonts w:asciiTheme="minorHAnsi" w:hAnsiTheme="minorHAnsi"/>
          <w:i/>
          <w:color w:val="auto"/>
          <w:sz w:val="22"/>
          <w:lang w:eastAsia="en-AU"/>
        </w:rPr>
        <w:t xml:space="preserve">ature of </w:t>
      </w:r>
      <w:r w:rsidR="00F51AB1">
        <w:rPr>
          <w:rFonts w:asciiTheme="minorHAnsi" w:hAnsiTheme="minorHAnsi"/>
          <w:i/>
          <w:color w:val="auto"/>
          <w:sz w:val="22"/>
          <w:lang w:eastAsia="en-AU"/>
        </w:rPr>
        <w:t>P</w:t>
      </w:r>
      <w:r w:rsidRPr="00BF09BA">
        <w:rPr>
          <w:rFonts w:asciiTheme="minorHAnsi" w:hAnsiTheme="minorHAnsi"/>
          <w:i/>
          <w:color w:val="auto"/>
          <w:sz w:val="22"/>
          <w:lang w:eastAsia="en-AU"/>
        </w:rPr>
        <w:t xml:space="preserve">rejudice, </w:t>
      </w:r>
      <w:r w:rsidR="000A07A2">
        <w:rPr>
          <w:rFonts w:asciiTheme="minorHAnsi" w:hAnsiTheme="minorHAnsi"/>
          <w:color w:val="auto"/>
          <w:sz w:val="22"/>
          <w:lang w:eastAsia="en-AU"/>
        </w:rPr>
        <w:t>Perseus Books, Cambridge, MA.</w:t>
      </w:r>
    </w:p>
    <w:p w14:paraId="28507D49" w14:textId="77777777" w:rsidR="0059098E" w:rsidRPr="00BF09BA" w:rsidRDefault="0059098E">
      <w:pPr>
        <w:pStyle w:val="References"/>
        <w:jc w:val="left"/>
        <w:rPr>
          <w:rFonts w:asciiTheme="minorHAnsi" w:hAnsiTheme="minorHAnsi"/>
          <w:color w:val="auto"/>
          <w:sz w:val="22"/>
        </w:rPr>
      </w:pPr>
      <w:proofErr w:type="gramStart"/>
      <w:r w:rsidRPr="00BF09BA">
        <w:rPr>
          <w:rFonts w:asciiTheme="minorHAnsi" w:hAnsiTheme="minorHAnsi"/>
          <w:color w:val="auto"/>
          <w:sz w:val="22"/>
        </w:rPr>
        <w:lastRenderedPageBreak/>
        <w:t xml:space="preserve">Australian Government 2015, </w:t>
      </w:r>
      <w:r w:rsidRPr="00BF09BA">
        <w:rPr>
          <w:rFonts w:asciiTheme="minorHAnsi" w:hAnsiTheme="minorHAnsi"/>
          <w:i/>
          <w:color w:val="auto"/>
          <w:sz w:val="22"/>
        </w:rPr>
        <w:t>2015 Intergenerational Report – Australia in 2055</w:t>
      </w:r>
      <w:r w:rsidRPr="00BF09BA">
        <w:rPr>
          <w:rFonts w:asciiTheme="minorHAnsi" w:hAnsiTheme="minorHAnsi"/>
          <w:color w:val="auto"/>
          <w:sz w:val="22"/>
        </w:rPr>
        <w:t>,</w:t>
      </w:r>
      <w:r w:rsidR="00C067AD" w:rsidRPr="00BF09BA">
        <w:rPr>
          <w:rStyle w:val="Hyperlink"/>
          <w:rFonts w:asciiTheme="minorHAnsi" w:hAnsiTheme="minorHAnsi"/>
          <w:b w:val="0"/>
          <w:color w:val="auto"/>
          <w:sz w:val="22"/>
        </w:rPr>
        <w:t xml:space="preserve"> </w:t>
      </w:r>
      <w:r w:rsidR="00DD3E40">
        <w:rPr>
          <w:rStyle w:val="Hyperlink"/>
          <w:rFonts w:asciiTheme="minorHAnsi" w:hAnsiTheme="minorHAnsi"/>
          <w:b w:val="0"/>
          <w:color w:val="auto"/>
          <w:sz w:val="22"/>
        </w:rPr>
        <w:t xml:space="preserve">report, </w:t>
      </w:r>
      <w:r w:rsidR="00C067AD" w:rsidRPr="00BF09BA">
        <w:rPr>
          <w:rStyle w:val="Hyperlink"/>
          <w:rFonts w:asciiTheme="minorHAnsi" w:hAnsiTheme="minorHAnsi"/>
          <w:b w:val="0"/>
          <w:color w:val="auto"/>
          <w:sz w:val="22"/>
        </w:rPr>
        <w:t>Canberra</w:t>
      </w:r>
      <w:r w:rsidR="000A07A2">
        <w:rPr>
          <w:rFonts w:asciiTheme="minorHAnsi" w:hAnsiTheme="minorHAnsi"/>
          <w:color w:val="auto"/>
          <w:sz w:val="22"/>
        </w:rPr>
        <w:t>.</w:t>
      </w:r>
      <w:proofErr w:type="gramEnd"/>
    </w:p>
    <w:p w14:paraId="32E31324" w14:textId="77777777" w:rsidR="00EF5A72" w:rsidRDefault="00EF5A72">
      <w:pPr>
        <w:pStyle w:val="References"/>
        <w:jc w:val="left"/>
        <w:rPr>
          <w:rFonts w:asciiTheme="minorHAnsi" w:hAnsiTheme="minorHAnsi"/>
          <w:color w:val="auto"/>
          <w:sz w:val="22"/>
        </w:rPr>
      </w:pPr>
      <w:r w:rsidRPr="00EF5A72">
        <w:rPr>
          <w:rFonts w:asciiTheme="minorHAnsi" w:hAnsiTheme="minorHAnsi"/>
          <w:color w:val="auto"/>
          <w:sz w:val="22"/>
        </w:rPr>
        <w:t xml:space="preserve">Australian National Audit Office 2011, </w:t>
      </w:r>
      <w:r w:rsidRPr="00381B16">
        <w:rPr>
          <w:rFonts w:asciiTheme="minorHAnsi" w:hAnsiTheme="minorHAnsi"/>
          <w:i/>
          <w:color w:val="auto"/>
          <w:sz w:val="22"/>
        </w:rPr>
        <w:t>Management of Student Visas</w:t>
      </w:r>
      <w:r>
        <w:rPr>
          <w:rFonts w:asciiTheme="minorHAnsi" w:hAnsiTheme="minorHAnsi"/>
          <w:color w:val="auto"/>
          <w:sz w:val="22"/>
        </w:rPr>
        <w:t xml:space="preserve">, ANAO </w:t>
      </w:r>
      <w:r w:rsidR="00AE410B">
        <w:rPr>
          <w:rFonts w:asciiTheme="minorHAnsi" w:hAnsiTheme="minorHAnsi"/>
          <w:color w:val="auto"/>
          <w:sz w:val="22"/>
        </w:rPr>
        <w:t>a</w:t>
      </w:r>
      <w:r>
        <w:rPr>
          <w:rFonts w:asciiTheme="minorHAnsi" w:hAnsiTheme="minorHAnsi"/>
          <w:color w:val="auto"/>
          <w:sz w:val="22"/>
        </w:rPr>
        <w:t xml:space="preserve">udit </w:t>
      </w:r>
      <w:r w:rsidR="00AE410B">
        <w:rPr>
          <w:rFonts w:asciiTheme="minorHAnsi" w:hAnsiTheme="minorHAnsi"/>
          <w:color w:val="auto"/>
          <w:sz w:val="22"/>
        </w:rPr>
        <w:t>r</w:t>
      </w:r>
      <w:r>
        <w:rPr>
          <w:rFonts w:asciiTheme="minorHAnsi" w:hAnsiTheme="minorHAnsi"/>
          <w:color w:val="auto"/>
          <w:sz w:val="22"/>
        </w:rPr>
        <w:t>eport</w:t>
      </w:r>
      <w:r w:rsidR="00155E57">
        <w:rPr>
          <w:rFonts w:asciiTheme="minorHAnsi" w:hAnsiTheme="minorHAnsi"/>
          <w:color w:val="auto"/>
          <w:sz w:val="22"/>
        </w:rPr>
        <w:br/>
      </w:r>
      <w:r w:rsidR="00AE410B">
        <w:rPr>
          <w:rFonts w:asciiTheme="minorHAnsi" w:hAnsiTheme="minorHAnsi"/>
          <w:color w:val="auto"/>
          <w:sz w:val="22"/>
        </w:rPr>
        <w:t>n</w:t>
      </w:r>
      <w:r>
        <w:rPr>
          <w:rFonts w:asciiTheme="minorHAnsi" w:hAnsiTheme="minorHAnsi"/>
          <w:color w:val="auto"/>
          <w:sz w:val="22"/>
        </w:rPr>
        <w:t>o. </w:t>
      </w:r>
      <w:r w:rsidRPr="00EF5A72">
        <w:rPr>
          <w:rFonts w:asciiTheme="minorHAnsi" w:hAnsiTheme="minorHAnsi"/>
          <w:color w:val="auto"/>
          <w:sz w:val="22"/>
        </w:rPr>
        <w:t>46 2010-11, Canberra.</w:t>
      </w:r>
    </w:p>
    <w:p w14:paraId="4C6219B4"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Australian Treasury 2001, ‘Australia’s </w:t>
      </w:r>
      <w:r w:rsidR="0048563F">
        <w:rPr>
          <w:rFonts w:asciiTheme="minorHAnsi" w:hAnsiTheme="minorHAnsi"/>
          <w:color w:val="auto"/>
          <w:sz w:val="22"/>
        </w:rPr>
        <w:t>C</w:t>
      </w:r>
      <w:r w:rsidRPr="00BF09BA">
        <w:rPr>
          <w:rFonts w:asciiTheme="minorHAnsi" w:hAnsiTheme="minorHAnsi"/>
          <w:color w:val="auto"/>
          <w:sz w:val="22"/>
        </w:rPr>
        <w:t xml:space="preserve">entury </w:t>
      </w:r>
      <w:proofErr w:type="gramStart"/>
      <w:r w:rsidR="0048563F">
        <w:rPr>
          <w:rFonts w:asciiTheme="minorHAnsi" w:hAnsiTheme="minorHAnsi"/>
          <w:color w:val="auto"/>
          <w:sz w:val="22"/>
        </w:rPr>
        <w:t>S</w:t>
      </w:r>
      <w:r w:rsidR="0048563F" w:rsidRPr="00BF09BA">
        <w:rPr>
          <w:rFonts w:asciiTheme="minorHAnsi" w:hAnsiTheme="minorHAnsi"/>
          <w:color w:val="auto"/>
          <w:sz w:val="22"/>
        </w:rPr>
        <w:t>ince</w:t>
      </w:r>
      <w:proofErr w:type="gramEnd"/>
      <w:r w:rsidR="0048563F" w:rsidRPr="00BF09BA">
        <w:rPr>
          <w:rFonts w:asciiTheme="minorHAnsi" w:hAnsiTheme="minorHAnsi"/>
          <w:color w:val="auto"/>
          <w:sz w:val="22"/>
        </w:rPr>
        <w:t xml:space="preserve"> </w:t>
      </w:r>
      <w:r w:rsidRPr="00BF09BA">
        <w:rPr>
          <w:rFonts w:asciiTheme="minorHAnsi" w:hAnsiTheme="minorHAnsi"/>
          <w:color w:val="auto"/>
          <w:sz w:val="22"/>
        </w:rPr>
        <w:t xml:space="preserve">Federation at a </w:t>
      </w:r>
      <w:r w:rsidR="0048563F">
        <w:rPr>
          <w:rFonts w:asciiTheme="minorHAnsi" w:hAnsiTheme="minorHAnsi"/>
          <w:color w:val="auto"/>
          <w:sz w:val="22"/>
        </w:rPr>
        <w:t>G</w:t>
      </w:r>
      <w:r w:rsidRPr="00BF09BA">
        <w:rPr>
          <w:rFonts w:asciiTheme="minorHAnsi" w:hAnsiTheme="minorHAnsi"/>
          <w:color w:val="auto"/>
          <w:sz w:val="22"/>
        </w:rPr>
        <w:t>lance’</w:t>
      </w:r>
      <w:r w:rsidRPr="00BF09BA">
        <w:rPr>
          <w:rFonts w:asciiTheme="minorHAnsi" w:hAnsiTheme="minorHAnsi"/>
          <w:i/>
          <w:color w:val="auto"/>
          <w:sz w:val="22"/>
        </w:rPr>
        <w:t>,</w:t>
      </w:r>
      <w:r w:rsidRPr="00BF09BA">
        <w:rPr>
          <w:rFonts w:asciiTheme="minorHAnsi" w:hAnsiTheme="minorHAnsi"/>
          <w:color w:val="auto"/>
          <w:sz w:val="22"/>
        </w:rPr>
        <w:t xml:space="preserve"> </w:t>
      </w:r>
      <w:r w:rsidR="00FD6B50" w:rsidRPr="00BF09BA">
        <w:rPr>
          <w:rFonts w:asciiTheme="minorHAnsi" w:hAnsiTheme="minorHAnsi"/>
          <w:color w:val="auto"/>
          <w:sz w:val="22"/>
        </w:rPr>
        <w:t xml:space="preserve">Australian Treasury </w:t>
      </w:r>
      <w:r w:rsidRPr="00BF09BA">
        <w:rPr>
          <w:rFonts w:asciiTheme="minorHAnsi" w:hAnsiTheme="minorHAnsi"/>
          <w:i/>
          <w:color w:val="auto"/>
          <w:sz w:val="22"/>
        </w:rPr>
        <w:t>Economic Roundup</w:t>
      </w:r>
      <w:r w:rsidRPr="00BF09BA">
        <w:rPr>
          <w:rFonts w:asciiTheme="minorHAnsi" w:hAnsiTheme="minorHAnsi"/>
          <w:color w:val="auto"/>
          <w:sz w:val="22"/>
        </w:rPr>
        <w:t>, Centenary Edition,</w:t>
      </w:r>
      <w:r w:rsidR="00C067AD" w:rsidRPr="00BF09BA">
        <w:rPr>
          <w:rFonts w:asciiTheme="minorHAnsi" w:hAnsiTheme="minorHAnsi"/>
          <w:color w:val="auto"/>
          <w:sz w:val="22"/>
        </w:rPr>
        <w:t xml:space="preserve"> Canberra</w:t>
      </w:r>
      <w:r w:rsidRPr="00BF09BA">
        <w:rPr>
          <w:rFonts w:asciiTheme="minorHAnsi" w:hAnsiTheme="minorHAnsi"/>
          <w:color w:val="auto"/>
          <w:sz w:val="22"/>
        </w:rPr>
        <w:t>.</w:t>
      </w:r>
    </w:p>
    <w:p w14:paraId="6A80EF1F" w14:textId="77777777" w:rsidR="00AF6D19" w:rsidRPr="00BF09BA" w:rsidRDefault="00AF6D19">
      <w:pPr>
        <w:pStyle w:val="References"/>
        <w:jc w:val="left"/>
        <w:rPr>
          <w:rFonts w:asciiTheme="minorHAnsi" w:hAnsiTheme="minorHAnsi"/>
          <w:color w:val="auto"/>
          <w:sz w:val="22"/>
        </w:rPr>
      </w:pPr>
      <w:proofErr w:type="spellStart"/>
      <w:r w:rsidRPr="00BF09BA">
        <w:rPr>
          <w:rFonts w:asciiTheme="minorHAnsi" w:hAnsiTheme="minorHAnsi"/>
          <w:color w:val="auto"/>
          <w:sz w:val="22"/>
        </w:rPr>
        <w:t>Austroads</w:t>
      </w:r>
      <w:proofErr w:type="spellEnd"/>
      <w:r w:rsidRPr="00BF09BA">
        <w:rPr>
          <w:rFonts w:asciiTheme="minorHAnsi" w:hAnsiTheme="minorHAnsi"/>
          <w:color w:val="auto"/>
          <w:sz w:val="22"/>
        </w:rPr>
        <w:t xml:space="preserve"> 2016</w:t>
      </w:r>
      <w:r w:rsidR="00FD6B50" w:rsidRPr="00BF09BA">
        <w:rPr>
          <w:rFonts w:asciiTheme="minorHAnsi" w:hAnsiTheme="minorHAnsi"/>
          <w:color w:val="auto"/>
          <w:sz w:val="22"/>
        </w:rPr>
        <w:t xml:space="preserve">, </w:t>
      </w:r>
      <w:r w:rsidR="00FD6B50" w:rsidRPr="00BF09BA">
        <w:rPr>
          <w:rFonts w:asciiTheme="minorHAnsi" w:hAnsiTheme="minorHAnsi"/>
          <w:i/>
          <w:color w:val="auto"/>
          <w:sz w:val="22"/>
        </w:rPr>
        <w:t xml:space="preserve">Congestion and </w:t>
      </w:r>
      <w:r w:rsidR="00F51AB1">
        <w:rPr>
          <w:rFonts w:asciiTheme="minorHAnsi" w:hAnsiTheme="minorHAnsi"/>
          <w:i/>
          <w:color w:val="auto"/>
          <w:sz w:val="22"/>
        </w:rPr>
        <w:t>R</w:t>
      </w:r>
      <w:r w:rsidR="00FD6B50" w:rsidRPr="00BF09BA">
        <w:rPr>
          <w:rFonts w:asciiTheme="minorHAnsi" w:hAnsiTheme="minorHAnsi"/>
          <w:i/>
          <w:color w:val="auto"/>
          <w:sz w:val="22"/>
        </w:rPr>
        <w:t xml:space="preserve">eliability </w:t>
      </w:r>
      <w:r w:rsidR="00F51AB1">
        <w:rPr>
          <w:rFonts w:asciiTheme="minorHAnsi" w:hAnsiTheme="minorHAnsi"/>
          <w:i/>
          <w:color w:val="auto"/>
          <w:sz w:val="22"/>
        </w:rPr>
        <w:t>R</w:t>
      </w:r>
      <w:r w:rsidR="00FD6B50" w:rsidRPr="00BF09BA">
        <w:rPr>
          <w:rFonts w:asciiTheme="minorHAnsi" w:hAnsiTheme="minorHAnsi"/>
          <w:i/>
          <w:color w:val="auto"/>
          <w:sz w:val="22"/>
        </w:rPr>
        <w:t xml:space="preserve">eview: </w:t>
      </w:r>
      <w:r w:rsidR="001A0D8E" w:rsidRPr="00BF09BA">
        <w:rPr>
          <w:rFonts w:asciiTheme="minorHAnsi" w:hAnsiTheme="minorHAnsi"/>
          <w:i/>
          <w:color w:val="auto"/>
          <w:sz w:val="22"/>
        </w:rPr>
        <w:t xml:space="preserve">Full </w:t>
      </w:r>
      <w:r w:rsidR="00F51AB1">
        <w:rPr>
          <w:rFonts w:asciiTheme="minorHAnsi" w:hAnsiTheme="minorHAnsi"/>
          <w:i/>
          <w:color w:val="auto"/>
          <w:sz w:val="22"/>
        </w:rPr>
        <w:t>R</w:t>
      </w:r>
      <w:r w:rsidR="001A0D8E" w:rsidRPr="00BF09BA">
        <w:rPr>
          <w:rFonts w:asciiTheme="minorHAnsi" w:hAnsiTheme="minorHAnsi"/>
          <w:i/>
          <w:color w:val="auto"/>
          <w:sz w:val="22"/>
        </w:rPr>
        <w:t>eport</w:t>
      </w:r>
      <w:r w:rsidR="00FD6B50" w:rsidRPr="00BF09BA">
        <w:rPr>
          <w:rFonts w:asciiTheme="minorHAnsi" w:hAnsiTheme="minorHAnsi"/>
          <w:color w:val="auto"/>
          <w:sz w:val="22"/>
        </w:rPr>
        <w:t xml:space="preserve">, </w:t>
      </w:r>
      <w:proofErr w:type="spellStart"/>
      <w:r w:rsidR="00FD6B50" w:rsidRPr="00BF09BA">
        <w:rPr>
          <w:rFonts w:asciiTheme="minorHAnsi" w:hAnsiTheme="minorHAnsi"/>
          <w:color w:val="auto"/>
          <w:sz w:val="22"/>
        </w:rPr>
        <w:t>A</w:t>
      </w:r>
      <w:r w:rsidR="001A0D8E" w:rsidRPr="00BF09BA">
        <w:rPr>
          <w:rFonts w:asciiTheme="minorHAnsi" w:hAnsiTheme="minorHAnsi"/>
          <w:color w:val="auto"/>
          <w:sz w:val="22"/>
        </w:rPr>
        <w:t>ustroads</w:t>
      </w:r>
      <w:proofErr w:type="spellEnd"/>
      <w:r w:rsidR="001A0D8E" w:rsidRPr="00BF09BA">
        <w:rPr>
          <w:rFonts w:asciiTheme="minorHAnsi" w:hAnsiTheme="minorHAnsi"/>
          <w:color w:val="auto"/>
          <w:sz w:val="22"/>
        </w:rPr>
        <w:t xml:space="preserve"> research report AP</w:t>
      </w:r>
      <w:r w:rsidR="00DF4F57">
        <w:rPr>
          <w:rFonts w:asciiTheme="minorHAnsi" w:hAnsiTheme="minorHAnsi"/>
          <w:color w:val="auto"/>
          <w:sz w:val="22"/>
        </w:rPr>
        <w:noBreakHyphen/>
      </w:r>
      <w:r w:rsidR="001A0D8E" w:rsidRPr="00BF09BA">
        <w:rPr>
          <w:rFonts w:asciiTheme="minorHAnsi" w:hAnsiTheme="minorHAnsi"/>
          <w:color w:val="auto"/>
          <w:sz w:val="22"/>
        </w:rPr>
        <w:t>R534</w:t>
      </w:r>
      <w:r w:rsidR="00DF4F57">
        <w:rPr>
          <w:rFonts w:asciiTheme="minorHAnsi" w:hAnsiTheme="minorHAnsi"/>
          <w:color w:val="auto"/>
          <w:sz w:val="22"/>
        </w:rPr>
        <w:noBreakHyphen/>
      </w:r>
      <w:r w:rsidR="000A07A2">
        <w:rPr>
          <w:rFonts w:asciiTheme="minorHAnsi" w:hAnsiTheme="minorHAnsi"/>
          <w:color w:val="auto"/>
          <w:sz w:val="22"/>
        </w:rPr>
        <w:t>16, Sydney.</w:t>
      </w:r>
    </w:p>
    <w:p w14:paraId="6F626534" w14:textId="77777777" w:rsidR="00AF6D19" w:rsidRPr="00717E93" w:rsidRDefault="00AF6D19">
      <w:pPr>
        <w:pStyle w:val="References"/>
        <w:jc w:val="left"/>
        <w:rPr>
          <w:rFonts w:asciiTheme="minorHAnsi" w:hAnsiTheme="minorHAnsi"/>
          <w:color w:val="auto"/>
          <w:sz w:val="22"/>
        </w:rPr>
      </w:pPr>
      <w:r w:rsidRPr="00717E93">
        <w:rPr>
          <w:rFonts w:asciiTheme="minorHAnsi" w:hAnsiTheme="minorHAnsi"/>
          <w:color w:val="auto"/>
          <w:sz w:val="22"/>
        </w:rPr>
        <w:t xml:space="preserve">Barcelona Centre for International Affairs &amp; Migration Policy Group 2015, </w:t>
      </w:r>
      <w:r w:rsidRPr="00717E93">
        <w:rPr>
          <w:rFonts w:asciiTheme="minorHAnsi" w:hAnsiTheme="minorHAnsi"/>
          <w:i/>
          <w:color w:val="auto"/>
          <w:sz w:val="22"/>
        </w:rPr>
        <w:t>Migrant Integration Policy Index 2015</w:t>
      </w:r>
      <w:r w:rsidRPr="00717E93">
        <w:rPr>
          <w:rFonts w:asciiTheme="minorHAnsi" w:hAnsiTheme="minorHAnsi"/>
          <w:color w:val="auto"/>
          <w:sz w:val="22"/>
        </w:rPr>
        <w:t xml:space="preserve">, </w:t>
      </w:r>
      <w:r w:rsidR="00C067AD" w:rsidRPr="00717E93">
        <w:rPr>
          <w:rFonts w:asciiTheme="minorHAnsi" w:hAnsiTheme="minorHAnsi"/>
          <w:color w:val="auto"/>
          <w:sz w:val="22"/>
        </w:rPr>
        <w:t xml:space="preserve">available at </w:t>
      </w:r>
      <w:hyperlink r:id="rId109" w:history="1">
        <w:r w:rsidRPr="00717E93">
          <w:rPr>
            <w:rStyle w:val="Hyperlink"/>
            <w:sz w:val="22"/>
          </w:rPr>
          <w:t>http://www.mipex.eu/</w:t>
        </w:r>
      </w:hyperlink>
      <w:r w:rsidR="00717E93">
        <w:rPr>
          <w:rFonts w:asciiTheme="minorHAnsi" w:hAnsiTheme="minorHAnsi"/>
          <w:color w:val="auto"/>
          <w:sz w:val="22"/>
        </w:rPr>
        <w:t>.</w:t>
      </w:r>
    </w:p>
    <w:p w14:paraId="2CD18024" w14:textId="77777777" w:rsidR="0059098E" w:rsidRPr="00BF09BA" w:rsidRDefault="0059098E">
      <w:pPr>
        <w:spacing w:before="0" w:after="240"/>
        <w:jc w:val="left"/>
        <w:rPr>
          <w:rFonts w:asciiTheme="minorHAnsi" w:hAnsiTheme="minorHAnsi" w:cs="Arial"/>
          <w:szCs w:val="22"/>
          <w:lang w:val="en-US"/>
        </w:rPr>
      </w:pPr>
      <w:r w:rsidRPr="00BF09BA">
        <w:rPr>
          <w:rFonts w:asciiTheme="minorHAnsi" w:hAnsiTheme="minorHAnsi"/>
          <w:szCs w:val="22"/>
          <w:lang w:val="en-US"/>
        </w:rPr>
        <w:t xml:space="preserve">Boeri, T, </w:t>
      </w:r>
      <w:proofErr w:type="spellStart"/>
      <w:r w:rsidRPr="00BF09BA">
        <w:rPr>
          <w:rFonts w:asciiTheme="minorHAnsi" w:hAnsiTheme="minorHAnsi"/>
          <w:szCs w:val="22"/>
          <w:lang w:val="en-US"/>
        </w:rPr>
        <w:t>Brücker</w:t>
      </w:r>
      <w:proofErr w:type="spellEnd"/>
      <w:r w:rsidRPr="00BF09BA">
        <w:rPr>
          <w:rFonts w:asciiTheme="minorHAnsi" w:hAnsiTheme="minorHAnsi"/>
          <w:szCs w:val="22"/>
          <w:lang w:val="en-US"/>
        </w:rPr>
        <w:t xml:space="preserve">, H, </w:t>
      </w:r>
      <w:proofErr w:type="spellStart"/>
      <w:r w:rsidRPr="00BF09BA">
        <w:rPr>
          <w:rFonts w:asciiTheme="minorHAnsi" w:hAnsiTheme="minorHAnsi"/>
          <w:szCs w:val="22"/>
          <w:lang w:val="en-US"/>
        </w:rPr>
        <w:t>Docquier</w:t>
      </w:r>
      <w:proofErr w:type="spellEnd"/>
      <w:r w:rsidRPr="00BF09BA">
        <w:rPr>
          <w:rFonts w:asciiTheme="minorHAnsi" w:hAnsiTheme="minorHAnsi"/>
          <w:szCs w:val="22"/>
          <w:lang w:val="en-US"/>
        </w:rPr>
        <w:t xml:space="preserve">, F &amp; </w:t>
      </w:r>
      <w:proofErr w:type="spellStart"/>
      <w:r w:rsidRPr="00BF09BA">
        <w:rPr>
          <w:rFonts w:asciiTheme="minorHAnsi" w:hAnsiTheme="minorHAnsi"/>
          <w:szCs w:val="22"/>
          <w:lang w:val="en-US"/>
        </w:rPr>
        <w:t>Rapoport</w:t>
      </w:r>
      <w:proofErr w:type="spellEnd"/>
      <w:r w:rsidRPr="00BF09BA">
        <w:rPr>
          <w:rFonts w:asciiTheme="minorHAnsi" w:hAnsiTheme="minorHAnsi"/>
          <w:szCs w:val="22"/>
          <w:lang w:val="en-US"/>
        </w:rPr>
        <w:t>, H (eds.) 2012</w:t>
      </w:r>
      <w:r w:rsidRPr="00BF09BA">
        <w:rPr>
          <w:rFonts w:asciiTheme="minorHAnsi" w:hAnsiTheme="minorHAnsi" w:cs="Arial"/>
          <w:szCs w:val="22"/>
          <w:lang w:val="en-US"/>
        </w:rPr>
        <w:t xml:space="preserve">, </w:t>
      </w:r>
      <w:r w:rsidRPr="00BF09BA">
        <w:rPr>
          <w:rFonts w:asciiTheme="minorHAnsi" w:hAnsiTheme="minorHAnsi" w:cs="Arial"/>
          <w:i/>
          <w:szCs w:val="22"/>
          <w:lang w:val="en-US"/>
        </w:rPr>
        <w:t xml:space="preserve">Brain </w:t>
      </w:r>
      <w:r w:rsidR="00F51AB1">
        <w:rPr>
          <w:rFonts w:asciiTheme="minorHAnsi" w:hAnsiTheme="minorHAnsi" w:cs="Arial"/>
          <w:i/>
          <w:szCs w:val="22"/>
          <w:lang w:val="en-US"/>
        </w:rPr>
        <w:t>D</w:t>
      </w:r>
      <w:r w:rsidR="00F51AB1" w:rsidRPr="00BF09BA">
        <w:rPr>
          <w:rFonts w:asciiTheme="minorHAnsi" w:hAnsiTheme="minorHAnsi" w:cs="Arial"/>
          <w:i/>
          <w:szCs w:val="22"/>
          <w:lang w:val="en-US"/>
        </w:rPr>
        <w:t xml:space="preserve">rain </w:t>
      </w:r>
      <w:r w:rsidRPr="00BF09BA">
        <w:rPr>
          <w:rFonts w:asciiTheme="minorHAnsi" w:hAnsiTheme="minorHAnsi" w:cs="Arial"/>
          <w:i/>
          <w:szCs w:val="22"/>
          <w:lang w:val="en-US"/>
        </w:rPr>
        <w:t xml:space="preserve">and </w:t>
      </w:r>
      <w:r w:rsidR="00F51AB1">
        <w:rPr>
          <w:rFonts w:asciiTheme="minorHAnsi" w:hAnsiTheme="minorHAnsi" w:cs="Arial"/>
          <w:i/>
          <w:szCs w:val="22"/>
          <w:lang w:val="en-US"/>
        </w:rPr>
        <w:t>B</w:t>
      </w:r>
      <w:r w:rsidR="00F51AB1" w:rsidRPr="00BF09BA">
        <w:rPr>
          <w:rFonts w:asciiTheme="minorHAnsi" w:hAnsiTheme="minorHAnsi" w:cs="Arial"/>
          <w:i/>
          <w:szCs w:val="22"/>
          <w:lang w:val="en-US"/>
        </w:rPr>
        <w:t xml:space="preserve">rain </w:t>
      </w:r>
      <w:r w:rsidR="00F51AB1">
        <w:rPr>
          <w:rFonts w:asciiTheme="minorHAnsi" w:hAnsiTheme="minorHAnsi" w:cs="Arial"/>
          <w:i/>
          <w:szCs w:val="22"/>
          <w:lang w:val="en-US"/>
        </w:rPr>
        <w:t>G</w:t>
      </w:r>
      <w:r w:rsidR="00F51AB1" w:rsidRPr="00BF09BA">
        <w:rPr>
          <w:rFonts w:asciiTheme="minorHAnsi" w:hAnsiTheme="minorHAnsi" w:cs="Arial"/>
          <w:i/>
          <w:szCs w:val="22"/>
          <w:lang w:val="en-US"/>
        </w:rPr>
        <w:t>ain</w:t>
      </w:r>
      <w:r w:rsidRPr="00BF09BA">
        <w:rPr>
          <w:rFonts w:asciiTheme="minorHAnsi" w:hAnsiTheme="minorHAnsi" w:cs="Arial"/>
          <w:i/>
          <w:szCs w:val="22"/>
          <w:lang w:val="en-US"/>
        </w:rPr>
        <w:t xml:space="preserve">: The </w:t>
      </w:r>
      <w:r w:rsidR="00F51AB1">
        <w:rPr>
          <w:rFonts w:asciiTheme="minorHAnsi" w:hAnsiTheme="minorHAnsi" w:cs="Arial"/>
          <w:i/>
          <w:szCs w:val="22"/>
          <w:lang w:val="en-US"/>
        </w:rPr>
        <w:t>G</w:t>
      </w:r>
      <w:r w:rsidR="00F51AB1" w:rsidRPr="00BF09BA">
        <w:rPr>
          <w:rFonts w:asciiTheme="minorHAnsi" w:hAnsiTheme="minorHAnsi" w:cs="Arial"/>
          <w:i/>
          <w:szCs w:val="22"/>
          <w:lang w:val="en-US"/>
        </w:rPr>
        <w:t xml:space="preserve">lobal </w:t>
      </w:r>
      <w:r w:rsidR="00F51AB1">
        <w:rPr>
          <w:rFonts w:asciiTheme="minorHAnsi" w:hAnsiTheme="minorHAnsi" w:cs="Arial"/>
          <w:i/>
          <w:szCs w:val="22"/>
          <w:lang w:val="en-US"/>
        </w:rPr>
        <w:t>C</w:t>
      </w:r>
      <w:r w:rsidR="00F51AB1" w:rsidRPr="00BF09BA">
        <w:rPr>
          <w:rFonts w:asciiTheme="minorHAnsi" w:hAnsiTheme="minorHAnsi" w:cs="Arial"/>
          <w:i/>
          <w:szCs w:val="22"/>
          <w:lang w:val="en-US"/>
        </w:rPr>
        <w:t xml:space="preserve">ompetition </w:t>
      </w:r>
      <w:r w:rsidRPr="00BF09BA">
        <w:rPr>
          <w:rFonts w:asciiTheme="minorHAnsi" w:hAnsiTheme="minorHAnsi" w:cs="Arial"/>
          <w:i/>
          <w:szCs w:val="22"/>
          <w:lang w:val="en-US"/>
        </w:rPr>
        <w:t xml:space="preserve">to </w:t>
      </w:r>
      <w:r w:rsidR="00F51AB1">
        <w:rPr>
          <w:rFonts w:asciiTheme="minorHAnsi" w:hAnsiTheme="minorHAnsi" w:cs="Arial"/>
          <w:i/>
          <w:szCs w:val="22"/>
          <w:lang w:val="en-US"/>
        </w:rPr>
        <w:t>A</w:t>
      </w:r>
      <w:r w:rsidR="00F51AB1" w:rsidRPr="00BF09BA">
        <w:rPr>
          <w:rFonts w:asciiTheme="minorHAnsi" w:hAnsiTheme="minorHAnsi" w:cs="Arial"/>
          <w:i/>
          <w:szCs w:val="22"/>
          <w:lang w:val="en-US"/>
        </w:rPr>
        <w:t xml:space="preserve">ttract </w:t>
      </w:r>
      <w:r w:rsidR="00F51AB1">
        <w:rPr>
          <w:rFonts w:asciiTheme="minorHAnsi" w:hAnsiTheme="minorHAnsi" w:cs="Arial"/>
          <w:i/>
          <w:szCs w:val="22"/>
          <w:lang w:val="en-US"/>
        </w:rPr>
        <w:t>H</w:t>
      </w:r>
      <w:r w:rsidR="00F51AB1" w:rsidRPr="00BF09BA">
        <w:rPr>
          <w:rFonts w:asciiTheme="minorHAnsi" w:hAnsiTheme="minorHAnsi" w:cs="Arial"/>
          <w:i/>
          <w:szCs w:val="22"/>
          <w:lang w:val="en-US"/>
        </w:rPr>
        <w:t>igh</w:t>
      </w:r>
      <w:r w:rsidRPr="00BF09BA">
        <w:rPr>
          <w:rFonts w:asciiTheme="minorHAnsi" w:hAnsiTheme="minorHAnsi" w:cs="Arial"/>
          <w:i/>
          <w:szCs w:val="22"/>
          <w:lang w:val="en-US"/>
        </w:rPr>
        <w:noBreakHyphen/>
      </w:r>
      <w:r w:rsidR="00F51AB1">
        <w:rPr>
          <w:rFonts w:asciiTheme="minorHAnsi" w:hAnsiTheme="minorHAnsi" w:cs="Arial"/>
          <w:i/>
          <w:szCs w:val="22"/>
          <w:lang w:val="en-US"/>
        </w:rPr>
        <w:t>S</w:t>
      </w:r>
      <w:r w:rsidR="00F51AB1" w:rsidRPr="00BF09BA">
        <w:rPr>
          <w:rFonts w:asciiTheme="minorHAnsi" w:hAnsiTheme="minorHAnsi" w:cs="Arial"/>
          <w:i/>
          <w:szCs w:val="22"/>
          <w:lang w:val="en-US"/>
        </w:rPr>
        <w:t xml:space="preserve">killed </w:t>
      </w:r>
      <w:r w:rsidR="00F51AB1">
        <w:rPr>
          <w:rFonts w:asciiTheme="minorHAnsi" w:hAnsiTheme="minorHAnsi" w:cs="Arial"/>
          <w:i/>
          <w:szCs w:val="22"/>
          <w:lang w:val="en-US"/>
        </w:rPr>
        <w:t>M</w:t>
      </w:r>
      <w:r w:rsidR="00F51AB1" w:rsidRPr="00BF09BA">
        <w:rPr>
          <w:rFonts w:asciiTheme="minorHAnsi" w:hAnsiTheme="minorHAnsi" w:cs="Arial"/>
          <w:i/>
          <w:szCs w:val="22"/>
          <w:lang w:val="en-US"/>
        </w:rPr>
        <w:t>igrants</w:t>
      </w:r>
      <w:r w:rsidRPr="00BF09BA">
        <w:rPr>
          <w:rFonts w:asciiTheme="minorHAnsi" w:hAnsiTheme="minorHAnsi" w:cs="Arial"/>
          <w:szCs w:val="22"/>
          <w:lang w:val="en-US"/>
        </w:rPr>
        <w:t>, Oxford University Press, Oxford.</w:t>
      </w:r>
    </w:p>
    <w:p w14:paraId="7C2DAF7B" w14:textId="77777777" w:rsidR="0059098E" w:rsidRPr="00BF09BA" w:rsidRDefault="0059098E">
      <w:pPr>
        <w:pStyle w:val="References"/>
        <w:jc w:val="left"/>
        <w:rPr>
          <w:rFonts w:asciiTheme="minorHAnsi" w:hAnsiTheme="minorHAnsi"/>
          <w:color w:val="auto"/>
          <w:sz w:val="22"/>
        </w:rPr>
      </w:pPr>
      <w:proofErr w:type="spellStart"/>
      <w:proofErr w:type="gramStart"/>
      <w:r w:rsidRPr="00BF09BA">
        <w:rPr>
          <w:rFonts w:asciiTheme="minorHAnsi" w:hAnsiTheme="minorHAnsi"/>
          <w:color w:val="auto"/>
          <w:sz w:val="22"/>
        </w:rPr>
        <w:t>Breunig</w:t>
      </w:r>
      <w:proofErr w:type="spellEnd"/>
      <w:r w:rsidRPr="00BF09BA">
        <w:rPr>
          <w:rFonts w:asciiTheme="minorHAnsi" w:hAnsiTheme="minorHAnsi"/>
          <w:color w:val="auto"/>
          <w:sz w:val="22"/>
        </w:rPr>
        <w:t xml:space="preserve">, R, </w:t>
      </w:r>
      <w:proofErr w:type="spellStart"/>
      <w:r w:rsidRPr="00BF09BA">
        <w:rPr>
          <w:rFonts w:asciiTheme="minorHAnsi" w:hAnsiTheme="minorHAnsi"/>
          <w:color w:val="auto"/>
          <w:sz w:val="22"/>
        </w:rPr>
        <w:t>Deutscher</w:t>
      </w:r>
      <w:proofErr w:type="spellEnd"/>
      <w:r w:rsidRPr="00BF09BA">
        <w:rPr>
          <w:rFonts w:asciiTheme="minorHAnsi" w:hAnsiTheme="minorHAnsi"/>
          <w:color w:val="auto"/>
          <w:sz w:val="22"/>
        </w:rPr>
        <w:t xml:space="preserve">, N, and To, HT 2016, ‘The </w:t>
      </w:r>
      <w:r w:rsidR="0048563F">
        <w:rPr>
          <w:rFonts w:asciiTheme="minorHAnsi" w:hAnsiTheme="minorHAnsi"/>
          <w:color w:val="auto"/>
          <w:sz w:val="22"/>
        </w:rPr>
        <w:t>R</w:t>
      </w:r>
      <w:r w:rsidRPr="00BF09BA">
        <w:rPr>
          <w:rFonts w:asciiTheme="minorHAnsi" w:hAnsiTheme="minorHAnsi"/>
          <w:color w:val="auto"/>
          <w:sz w:val="22"/>
        </w:rPr>
        <w:t xml:space="preserve">elationship between </w:t>
      </w:r>
      <w:r w:rsidR="0048563F">
        <w:rPr>
          <w:rFonts w:asciiTheme="minorHAnsi" w:hAnsiTheme="minorHAnsi"/>
          <w:color w:val="auto"/>
          <w:sz w:val="22"/>
        </w:rPr>
        <w:t>I</w:t>
      </w:r>
      <w:r w:rsidRPr="00BF09BA">
        <w:rPr>
          <w:rFonts w:asciiTheme="minorHAnsi" w:hAnsiTheme="minorHAnsi"/>
          <w:color w:val="auto"/>
          <w:sz w:val="22"/>
        </w:rPr>
        <w:t xml:space="preserve">mmigration to Australia and the </w:t>
      </w:r>
      <w:r w:rsidR="0048563F">
        <w:rPr>
          <w:rFonts w:asciiTheme="minorHAnsi" w:hAnsiTheme="minorHAnsi"/>
          <w:color w:val="auto"/>
          <w:sz w:val="22"/>
        </w:rPr>
        <w:t>L</w:t>
      </w:r>
      <w:r w:rsidRPr="00BF09BA">
        <w:rPr>
          <w:rFonts w:asciiTheme="minorHAnsi" w:hAnsiTheme="minorHAnsi"/>
          <w:color w:val="auto"/>
          <w:sz w:val="22"/>
        </w:rPr>
        <w:t xml:space="preserve">abour </w:t>
      </w:r>
      <w:r w:rsidR="0048563F">
        <w:rPr>
          <w:rFonts w:asciiTheme="minorHAnsi" w:hAnsiTheme="minorHAnsi"/>
          <w:color w:val="auto"/>
          <w:sz w:val="22"/>
        </w:rPr>
        <w:t>M</w:t>
      </w:r>
      <w:r w:rsidRPr="00BF09BA">
        <w:rPr>
          <w:rFonts w:asciiTheme="minorHAnsi" w:hAnsiTheme="minorHAnsi"/>
          <w:color w:val="auto"/>
          <w:sz w:val="22"/>
        </w:rPr>
        <w:t xml:space="preserve">arket </w:t>
      </w:r>
      <w:r w:rsidR="0048563F">
        <w:rPr>
          <w:rFonts w:asciiTheme="minorHAnsi" w:hAnsiTheme="minorHAnsi"/>
          <w:color w:val="auto"/>
          <w:sz w:val="22"/>
        </w:rPr>
        <w:t>O</w:t>
      </w:r>
      <w:r w:rsidRPr="00BF09BA">
        <w:rPr>
          <w:rFonts w:asciiTheme="minorHAnsi" w:hAnsiTheme="minorHAnsi"/>
          <w:color w:val="auto"/>
          <w:sz w:val="22"/>
        </w:rPr>
        <w:t>utcomes of Australian-</w:t>
      </w:r>
      <w:r w:rsidR="0048563F">
        <w:rPr>
          <w:rFonts w:asciiTheme="minorHAnsi" w:hAnsiTheme="minorHAnsi"/>
          <w:color w:val="auto"/>
          <w:sz w:val="22"/>
        </w:rPr>
        <w:t>B</w:t>
      </w:r>
      <w:r w:rsidRPr="00BF09BA">
        <w:rPr>
          <w:rFonts w:asciiTheme="minorHAnsi" w:hAnsiTheme="minorHAnsi"/>
          <w:color w:val="auto"/>
          <w:sz w:val="22"/>
        </w:rPr>
        <w:t xml:space="preserve">orn </w:t>
      </w:r>
      <w:r w:rsidR="0048563F">
        <w:rPr>
          <w:rFonts w:asciiTheme="minorHAnsi" w:hAnsiTheme="minorHAnsi"/>
          <w:color w:val="auto"/>
          <w:sz w:val="22"/>
        </w:rPr>
        <w:t>W</w:t>
      </w:r>
      <w:r w:rsidRPr="00BF09BA">
        <w:rPr>
          <w:rFonts w:asciiTheme="minorHAnsi" w:hAnsiTheme="minorHAnsi"/>
          <w:color w:val="auto"/>
          <w:sz w:val="22"/>
        </w:rPr>
        <w:t xml:space="preserve">orkers’, Technical Supplement A to the Productivity Commission Inquiry Report </w:t>
      </w:r>
      <w:r w:rsidRPr="00BF09BA">
        <w:rPr>
          <w:rFonts w:asciiTheme="minorHAnsi" w:hAnsiTheme="minorHAnsi"/>
          <w:i/>
          <w:color w:val="auto"/>
          <w:sz w:val="22"/>
        </w:rPr>
        <w:t>Migrant Intake into Australia</w:t>
      </w:r>
      <w:r w:rsidRPr="00BF09BA">
        <w:rPr>
          <w:rFonts w:asciiTheme="minorHAnsi" w:hAnsiTheme="minorHAnsi"/>
          <w:color w:val="auto"/>
          <w:sz w:val="22"/>
        </w:rPr>
        <w:t>,</w:t>
      </w:r>
      <w:r w:rsidR="00C067AD" w:rsidRPr="00BF09BA">
        <w:rPr>
          <w:rFonts w:asciiTheme="minorHAnsi" w:hAnsiTheme="minorHAnsi"/>
          <w:color w:val="auto"/>
          <w:sz w:val="22"/>
        </w:rPr>
        <w:t xml:space="preserve"> Canberra</w:t>
      </w:r>
      <w:r w:rsidR="000A07A2">
        <w:rPr>
          <w:rFonts w:asciiTheme="minorHAnsi" w:hAnsiTheme="minorHAnsi"/>
          <w:color w:val="auto"/>
          <w:sz w:val="22"/>
        </w:rPr>
        <w:t>.</w:t>
      </w:r>
      <w:proofErr w:type="gramEnd"/>
    </w:p>
    <w:p w14:paraId="7FB1E9AE" w14:textId="77777777" w:rsidR="0059098E" w:rsidRPr="00BF09BA" w:rsidRDefault="0059098E">
      <w:pPr>
        <w:pStyle w:val="References"/>
        <w:jc w:val="left"/>
        <w:rPr>
          <w:rFonts w:asciiTheme="minorHAnsi" w:hAnsiTheme="minorHAnsi"/>
          <w:color w:val="auto"/>
          <w:sz w:val="22"/>
        </w:rPr>
      </w:pPr>
      <w:proofErr w:type="spellStart"/>
      <w:r w:rsidRPr="00BF09BA">
        <w:rPr>
          <w:rFonts w:asciiTheme="minorHAnsi" w:hAnsiTheme="minorHAnsi"/>
          <w:color w:val="auto"/>
          <w:sz w:val="22"/>
        </w:rPr>
        <w:t>Burchardi</w:t>
      </w:r>
      <w:proofErr w:type="spellEnd"/>
      <w:r w:rsidRPr="00BF09BA">
        <w:rPr>
          <w:rFonts w:asciiTheme="minorHAnsi" w:hAnsiTheme="minorHAnsi"/>
          <w:color w:val="auto"/>
          <w:sz w:val="22"/>
        </w:rPr>
        <w:t xml:space="preserve">, KB, Chaney, T, and Hassan, TA, 2016, </w:t>
      </w:r>
      <w:r w:rsidRPr="00BF09BA">
        <w:rPr>
          <w:rFonts w:asciiTheme="minorHAnsi" w:hAnsiTheme="minorHAnsi"/>
          <w:i/>
          <w:color w:val="auto"/>
          <w:sz w:val="22"/>
        </w:rPr>
        <w:t>Migrants, Ancestors, and Investments</w:t>
      </w:r>
      <w:r w:rsidRPr="00BF09BA">
        <w:rPr>
          <w:rFonts w:asciiTheme="minorHAnsi" w:hAnsiTheme="minorHAnsi"/>
          <w:color w:val="auto"/>
          <w:sz w:val="22"/>
        </w:rPr>
        <w:t xml:space="preserve">, National Bureau of Economic Research working paper no. 21847, </w:t>
      </w:r>
      <w:r w:rsidR="002206C5">
        <w:rPr>
          <w:rFonts w:asciiTheme="minorHAnsi" w:hAnsiTheme="minorHAnsi"/>
          <w:color w:val="auto"/>
          <w:sz w:val="22"/>
        </w:rPr>
        <w:t>Cambridge, M</w:t>
      </w:r>
      <w:r w:rsidR="002166AF">
        <w:rPr>
          <w:rFonts w:asciiTheme="minorHAnsi" w:hAnsiTheme="minorHAnsi"/>
          <w:color w:val="auto"/>
          <w:sz w:val="22"/>
        </w:rPr>
        <w:t>A</w:t>
      </w:r>
      <w:r w:rsidR="000A07A2">
        <w:rPr>
          <w:rFonts w:asciiTheme="minorHAnsi" w:hAnsiTheme="minorHAnsi"/>
          <w:color w:val="auto"/>
          <w:sz w:val="22"/>
        </w:rPr>
        <w:t>.</w:t>
      </w:r>
    </w:p>
    <w:p w14:paraId="675EBCE8" w14:textId="77777777" w:rsidR="003F4AB5" w:rsidRPr="003F048C" w:rsidRDefault="003F4AB5">
      <w:pPr>
        <w:spacing w:before="0" w:after="240"/>
        <w:jc w:val="left"/>
        <w:rPr>
          <w:rFonts w:asciiTheme="minorHAnsi" w:hAnsiTheme="minorHAnsi"/>
          <w:lang w:val="en-GB"/>
        </w:rPr>
      </w:pPr>
      <w:r w:rsidRPr="00BF09BA">
        <w:rPr>
          <w:rFonts w:asciiTheme="minorHAnsi" w:hAnsiTheme="minorHAnsi"/>
          <w:lang w:val="en-US"/>
        </w:rPr>
        <w:t>Bureau of Infrastructure, Transport and Regional Economics</w:t>
      </w:r>
      <w:r>
        <w:rPr>
          <w:rFonts w:asciiTheme="minorHAnsi" w:hAnsiTheme="minorHAnsi"/>
          <w:lang w:val="en-US"/>
        </w:rPr>
        <w:t xml:space="preserve"> (BITRE)</w:t>
      </w:r>
      <w:r w:rsidRPr="00BF09BA">
        <w:rPr>
          <w:rFonts w:asciiTheme="minorHAnsi" w:hAnsiTheme="minorHAnsi"/>
          <w:lang w:val="en-US"/>
        </w:rPr>
        <w:t xml:space="preserve"> 201</w:t>
      </w:r>
      <w:r>
        <w:rPr>
          <w:rFonts w:asciiTheme="minorHAnsi" w:hAnsiTheme="minorHAnsi"/>
          <w:lang w:val="en-US"/>
        </w:rPr>
        <w:t xml:space="preserve">4, </w:t>
      </w:r>
      <w:proofErr w:type="gramStart"/>
      <w:r w:rsidRPr="008169CA">
        <w:rPr>
          <w:rFonts w:asciiTheme="minorHAnsi" w:hAnsiTheme="minorHAnsi"/>
          <w:i/>
          <w:iCs/>
          <w:lang w:val="en-GB"/>
        </w:rPr>
        <w:t>The</w:t>
      </w:r>
      <w:proofErr w:type="gramEnd"/>
      <w:r w:rsidRPr="008169CA">
        <w:rPr>
          <w:rFonts w:asciiTheme="minorHAnsi" w:hAnsiTheme="minorHAnsi"/>
          <w:i/>
          <w:iCs/>
          <w:lang w:val="en-GB"/>
        </w:rPr>
        <w:t xml:space="preserve"> </w:t>
      </w:r>
      <w:r w:rsidR="00DF4F57">
        <w:rPr>
          <w:rFonts w:asciiTheme="minorHAnsi" w:hAnsiTheme="minorHAnsi"/>
          <w:i/>
          <w:iCs/>
          <w:lang w:val="en-GB"/>
        </w:rPr>
        <w:t>E</w:t>
      </w:r>
      <w:r w:rsidRPr="008169CA">
        <w:rPr>
          <w:rFonts w:asciiTheme="minorHAnsi" w:hAnsiTheme="minorHAnsi"/>
          <w:i/>
          <w:iCs/>
          <w:lang w:val="en-GB"/>
        </w:rPr>
        <w:t xml:space="preserve">volution of Australian </w:t>
      </w:r>
      <w:r w:rsidR="00DF4F57">
        <w:rPr>
          <w:rFonts w:asciiTheme="minorHAnsi" w:hAnsiTheme="minorHAnsi"/>
          <w:i/>
          <w:iCs/>
          <w:lang w:val="en-GB"/>
        </w:rPr>
        <w:t>T</w:t>
      </w:r>
      <w:r w:rsidRPr="008169CA">
        <w:rPr>
          <w:rFonts w:asciiTheme="minorHAnsi" w:hAnsiTheme="minorHAnsi"/>
          <w:i/>
          <w:iCs/>
          <w:lang w:val="en-GB"/>
        </w:rPr>
        <w:t xml:space="preserve">owns, </w:t>
      </w:r>
      <w:r w:rsidR="000A07A2">
        <w:rPr>
          <w:rFonts w:asciiTheme="minorHAnsi" w:hAnsiTheme="minorHAnsi"/>
          <w:lang w:val="en-GB"/>
        </w:rPr>
        <w:t>Report 136, Canberra.</w:t>
      </w:r>
    </w:p>
    <w:p w14:paraId="3882047F" w14:textId="77777777" w:rsidR="00204264" w:rsidRDefault="003F4AB5">
      <w:pPr>
        <w:spacing w:before="0" w:after="240"/>
        <w:jc w:val="left"/>
        <w:rPr>
          <w:rFonts w:asciiTheme="minorHAnsi" w:hAnsiTheme="minorHAnsi"/>
          <w:lang w:val="en-US"/>
        </w:rPr>
      </w:pPr>
      <w:proofErr w:type="gramStart"/>
      <w:r>
        <w:rPr>
          <w:rFonts w:asciiTheme="minorHAnsi" w:hAnsiTheme="minorHAnsi"/>
          <w:lang w:val="en-US"/>
        </w:rPr>
        <w:t>BITRE</w:t>
      </w:r>
      <w:r w:rsidR="00204264" w:rsidRPr="00BF09BA">
        <w:rPr>
          <w:rFonts w:asciiTheme="minorHAnsi" w:hAnsiTheme="minorHAnsi"/>
          <w:lang w:val="en-US"/>
        </w:rPr>
        <w:t xml:space="preserve"> 2015, </w:t>
      </w:r>
      <w:r w:rsidR="00204264" w:rsidRPr="00BF09BA">
        <w:rPr>
          <w:rFonts w:asciiTheme="minorHAnsi" w:hAnsiTheme="minorHAnsi"/>
          <w:i/>
          <w:lang w:val="en-US"/>
        </w:rPr>
        <w:t xml:space="preserve">Traffic and </w:t>
      </w:r>
      <w:r w:rsidR="00F51AB1">
        <w:rPr>
          <w:rFonts w:asciiTheme="minorHAnsi" w:hAnsiTheme="minorHAnsi"/>
          <w:i/>
          <w:lang w:val="en-US"/>
        </w:rPr>
        <w:t>C</w:t>
      </w:r>
      <w:r w:rsidR="00F51AB1" w:rsidRPr="00BF09BA">
        <w:rPr>
          <w:rFonts w:asciiTheme="minorHAnsi" w:hAnsiTheme="minorHAnsi"/>
          <w:i/>
          <w:lang w:val="en-US"/>
        </w:rPr>
        <w:t xml:space="preserve">ongestion </w:t>
      </w:r>
      <w:r w:rsidR="00F51AB1">
        <w:rPr>
          <w:rFonts w:asciiTheme="minorHAnsi" w:hAnsiTheme="minorHAnsi"/>
          <w:i/>
          <w:lang w:val="en-US"/>
        </w:rPr>
        <w:t>C</w:t>
      </w:r>
      <w:r w:rsidR="00F51AB1" w:rsidRPr="00BF09BA">
        <w:rPr>
          <w:rFonts w:asciiTheme="minorHAnsi" w:hAnsiTheme="minorHAnsi"/>
          <w:i/>
          <w:lang w:val="en-US"/>
        </w:rPr>
        <w:t>ost</w:t>
      </w:r>
      <w:r w:rsidR="00204264" w:rsidRPr="00BF09BA">
        <w:rPr>
          <w:rFonts w:asciiTheme="minorHAnsi" w:hAnsiTheme="minorHAnsi"/>
          <w:i/>
          <w:lang w:val="en-US"/>
        </w:rPr>
        <w:t xml:space="preserve"> </w:t>
      </w:r>
      <w:r w:rsidR="00F51AB1">
        <w:rPr>
          <w:rFonts w:asciiTheme="minorHAnsi" w:hAnsiTheme="minorHAnsi"/>
          <w:i/>
          <w:lang w:val="en-US"/>
        </w:rPr>
        <w:t>T</w:t>
      </w:r>
      <w:r w:rsidR="00F51AB1" w:rsidRPr="00BF09BA">
        <w:rPr>
          <w:rFonts w:asciiTheme="minorHAnsi" w:hAnsiTheme="minorHAnsi"/>
          <w:i/>
          <w:lang w:val="en-US"/>
        </w:rPr>
        <w:t xml:space="preserve">rends </w:t>
      </w:r>
      <w:r w:rsidR="00204264" w:rsidRPr="00BF09BA">
        <w:rPr>
          <w:rFonts w:asciiTheme="minorHAnsi" w:hAnsiTheme="minorHAnsi"/>
          <w:i/>
          <w:lang w:val="en-US"/>
        </w:rPr>
        <w:t xml:space="preserve">for Australian </w:t>
      </w:r>
      <w:r w:rsidR="00F51AB1">
        <w:rPr>
          <w:rFonts w:asciiTheme="minorHAnsi" w:hAnsiTheme="minorHAnsi"/>
          <w:i/>
          <w:lang w:val="en-US"/>
        </w:rPr>
        <w:t>C</w:t>
      </w:r>
      <w:r w:rsidR="00F51AB1" w:rsidRPr="00BF09BA">
        <w:rPr>
          <w:rFonts w:asciiTheme="minorHAnsi" w:hAnsiTheme="minorHAnsi"/>
          <w:i/>
          <w:lang w:val="en-US"/>
        </w:rPr>
        <w:t xml:space="preserve">apital </w:t>
      </w:r>
      <w:r w:rsidR="00F51AB1">
        <w:rPr>
          <w:rFonts w:asciiTheme="minorHAnsi" w:hAnsiTheme="minorHAnsi"/>
          <w:i/>
          <w:lang w:val="en-US"/>
        </w:rPr>
        <w:t>C</w:t>
      </w:r>
      <w:r w:rsidR="00F51AB1" w:rsidRPr="00BF09BA">
        <w:rPr>
          <w:rFonts w:asciiTheme="minorHAnsi" w:hAnsiTheme="minorHAnsi"/>
          <w:i/>
          <w:lang w:val="en-US"/>
        </w:rPr>
        <w:t>ities</w:t>
      </w:r>
      <w:r w:rsidR="00204264" w:rsidRPr="00BF09BA">
        <w:rPr>
          <w:rFonts w:asciiTheme="minorHAnsi" w:hAnsiTheme="minorHAnsi"/>
          <w:lang w:val="en-US"/>
        </w:rPr>
        <w:t xml:space="preserve">, </w:t>
      </w:r>
      <w:r w:rsidR="00AE410B">
        <w:rPr>
          <w:rFonts w:asciiTheme="minorHAnsi" w:hAnsiTheme="minorHAnsi"/>
          <w:lang w:val="en-US"/>
        </w:rPr>
        <w:t>i</w:t>
      </w:r>
      <w:r w:rsidR="00204264" w:rsidRPr="00BF09BA">
        <w:rPr>
          <w:rFonts w:asciiTheme="minorHAnsi" w:hAnsiTheme="minorHAnsi"/>
          <w:lang w:val="en-US"/>
        </w:rPr>
        <w:t xml:space="preserve">nformation </w:t>
      </w:r>
      <w:r w:rsidR="00AE410B">
        <w:rPr>
          <w:rFonts w:asciiTheme="minorHAnsi" w:hAnsiTheme="minorHAnsi"/>
          <w:lang w:val="en-US"/>
        </w:rPr>
        <w:t>s</w:t>
      </w:r>
      <w:r w:rsidR="00204264" w:rsidRPr="00BF09BA">
        <w:rPr>
          <w:rFonts w:asciiTheme="minorHAnsi" w:hAnsiTheme="minorHAnsi"/>
          <w:lang w:val="en-US"/>
        </w:rPr>
        <w:t>heet 74,</w:t>
      </w:r>
      <w:r w:rsidR="00C067AD" w:rsidRPr="00BF09BA">
        <w:rPr>
          <w:rFonts w:asciiTheme="minorHAnsi" w:hAnsiTheme="minorHAnsi"/>
          <w:lang w:val="en-US"/>
        </w:rPr>
        <w:t xml:space="preserve"> Canberra</w:t>
      </w:r>
      <w:r w:rsidR="00204264" w:rsidRPr="00BF09BA">
        <w:rPr>
          <w:rFonts w:asciiTheme="minorHAnsi" w:hAnsiTheme="minorHAnsi"/>
          <w:lang w:val="en-US"/>
        </w:rPr>
        <w:t>.</w:t>
      </w:r>
      <w:proofErr w:type="gramEnd"/>
    </w:p>
    <w:p w14:paraId="6EF34B69" w14:textId="77777777" w:rsidR="00DF4F57" w:rsidRPr="00381B16" w:rsidRDefault="00DF4F57">
      <w:pPr>
        <w:spacing w:before="0" w:after="240"/>
        <w:jc w:val="left"/>
        <w:rPr>
          <w:rFonts w:asciiTheme="minorHAnsi" w:hAnsiTheme="minorHAnsi"/>
          <w:lang w:val="en-US"/>
        </w:rPr>
      </w:pPr>
      <w:proofErr w:type="spellStart"/>
      <w:proofErr w:type="gramStart"/>
      <w:r>
        <w:rPr>
          <w:rFonts w:asciiTheme="minorHAnsi" w:hAnsiTheme="minorHAnsi"/>
          <w:lang w:val="en-US"/>
        </w:rPr>
        <w:t>Butlin</w:t>
      </w:r>
      <w:proofErr w:type="spellEnd"/>
      <w:r>
        <w:rPr>
          <w:rFonts w:asciiTheme="minorHAnsi" w:hAnsiTheme="minorHAnsi"/>
          <w:lang w:val="en-US"/>
        </w:rPr>
        <w:t xml:space="preserve">, MW 1977, </w:t>
      </w:r>
      <w:r>
        <w:rPr>
          <w:rFonts w:asciiTheme="minorHAnsi" w:hAnsiTheme="minorHAnsi"/>
          <w:i/>
          <w:lang w:val="en-US"/>
        </w:rPr>
        <w:t>A Preliminary Annual Database 1900/01 to 1973/74</w:t>
      </w:r>
      <w:r>
        <w:rPr>
          <w:rFonts w:asciiTheme="minorHAnsi" w:hAnsiTheme="minorHAnsi"/>
          <w:lang w:val="en-US"/>
        </w:rPr>
        <w:t xml:space="preserve">, Reserve Bank of Australia </w:t>
      </w:r>
      <w:r w:rsidR="00AE410B">
        <w:rPr>
          <w:rFonts w:asciiTheme="minorHAnsi" w:hAnsiTheme="minorHAnsi"/>
          <w:lang w:val="en-US"/>
        </w:rPr>
        <w:t>r</w:t>
      </w:r>
      <w:r>
        <w:rPr>
          <w:rFonts w:asciiTheme="minorHAnsi" w:hAnsiTheme="minorHAnsi"/>
          <w:lang w:val="en-US"/>
        </w:rPr>
        <w:t xml:space="preserve">esearch </w:t>
      </w:r>
      <w:r w:rsidR="00AE410B">
        <w:rPr>
          <w:rFonts w:asciiTheme="minorHAnsi" w:hAnsiTheme="minorHAnsi"/>
          <w:lang w:val="en-US"/>
        </w:rPr>
        <w:t>d</w:t>
      </w:r>
      <w:r>
        <w:rPr>
          <w:rFonts w:asciiTheme="minorHAnsi" w:hAnsiTheme="minorHAnsi"/>
          <w:lang w:val="en-US"/>
        </w:rPr>
        <w:t xml:space="preserve">iscussion </w:t>
      </w:r>
      <w:r w:rsidR="00AE410B">
        <w:rPr>
          <w:rFonts w:asciiTheme="minorHAnsi" w:hAnsiTheme="minorHAnsi"/>
          <w:lang w:val="en-US"/>
        </w:rPr>
        <w:t>p</w:t>
      </w:r>
      <w:r>
        <w:rPr>
          <w:rFonts w:asciiTheme="minorHAnsi" w:hAnsiTheme="minorHAnsi"/>
          <w:lang w:val="en-US"/>
        </w:rPr>
        <w:t>aper 7701, Sydney.</w:t>
      </w:r>
      <w:proofErr w:type="gramEnd"/>
    </w:p>
    <w:p w14:paraId="06A0DBBB" w14:textId="13F49791" w:rsidR="004F1F44" w:rsidRPr="00717E93" w:rsidRDefault="004F1F44">
      <w:pPr>
        <w:spacing w:before="0" w:after="240"/>
        <w:jc w:val="left"/>
        <w:rPr>
          <w:rFonts w:asciiTheme="minorHAnsi" w:hAnsiTheme="minorHAnsi"/>
          <w:szCs w:val="22"/>
          <w:lang w:val="en-US"/>
        </w:rPr>
      </w:pPr>
      <w:r w:rsidRPr="00717E93">
        <w:rPr>
          <w:rFonts w:asciiTheme="minorHAnsi" w:hAnsiTheme="minorHAnsi"/>
          <w:szCs w:val="22"/>
          <w:lang w:val="en-US"/>
        </w:rPr>
        <w:t xml:space="preserve">Capuano, G 2016, </w:t>
      </w:r>
      <w:r w:rsidR="00DF4F57" w:rsidRPr="00717E93">
        <w:rPr>
          <w:rFonts w:asciiTheme="minorHAnsi" w:hAnsiTheme="minorHAnsi"/>
          <w:szCs w:val="22"/>
          <w:lang w:val="en-US"/>
        </w:rPr>
        <w:t>‘</w:t>
      </w:r>
      <w:r w:rsidRPr="00717E93">
        <w:rPr>
          <w:rFonts w:asciiTheme="minorHAnsi" w:hAnsiTheme="minorHAnsi"/>
          <w:szCs w:val="22"/>
          <w:lang w:val="en-US"/>
        </w:rPr>
        <w:t>Are Australia’s Migrants Home Owners?</w:t>
      </w:r>
      <w:proofErr w:type="gramStart"/>
      <w:r w:rsidR="00DF4F57" w:rsidRPr="00717E93">
        <w:rPr>
          <w:rFonts w:asciiTheme="minorHAnsi" w:hAnsiTheme="minorHAnsi"/>
          <w:szCs w:val="22"/>
          <w:lang w:val="en-US"/>
        </w:rPr>
        <w:t>’</w:t>
      </w:r>
      <w:r w:rsidRPr="00717E93">
        <w:rPr>
          <w:rFonts w:asciiTheme="minorHAnsi" w:hAnsiTheme="minorHAnsi"/>
          <w:szCs w:val="22"/>
          <w:lang w:val="en-US"/>
        </w:rPr>
        <w:t>,</w:t>
      </w:r>
      <w:proofErr w:type="gramEnd"/>
      <w:r w:rsidRPr="00717E93">
        <w:rPr>
          <w:rFonts w:asciiTheme="minorHAnsi" w:hAnsiTheme="minorHAnsi"/>
          <w:szCs w:val="22"/>
          <w:lang w:val="en-US"/>
        </w:rPr>
        <w:t xml:space="preserve"> </w:t>
      </w:r>
      <w:r w:rsidR="00DF4F57" w:rsidRPr="00717E93">
        <w:rPr>
          <w:rFonts w:asciiTheme="minorHAnsi" w:hAnsiTheme="minorHAnsi"/>
          <w:i/>
          <w:szCs w:val="22"/>
          <w:lang w:val="en-US"/>
        </w:rPr>
        <w:t>Blog .id: The Population Experts</w:t>
      </w:r>
      <w:r w:rsidR="00DF4F57" w:rsidRPr="00717E93">
        <w:rPr>
          <w:rFonts w:asciiTheme="minorHAnsi" w:hAnsiTheme="minorHAnsi"/>
          <w:szCs w:val="22"/>
          <w:lang w:val="en-US"/>
        </w:rPr>
        <w:t xml:space="preserve">, </w:t>
      </w:r>
      <w:r w:rsidRPr="00717E93">
        <w:rPr>
          <w:rFonts w:asciiTheme="minorHAnsi" w:hAnsiTheme="minorHAnsi"/>
          <w:szCs w:val="22"/>
          <w:lang w:val="en-US"/>
        </w:rPr>
        <w:t xml:space="preserve">available at </w:t>
      </w:r>
      <w:hyperlink r:id="rId110" w:history="1">
        <w:r w:rsidRPr="00360269">
          <w:rPr>
            <w:rStyle w:val="Hyperlink"/>
            <w:szCs w:val="22"/>
          </w:rPr>
          <w:t>http://blog.id.com.au/2016/population/demographic-trends/are-australias-migrants-home-owners/</w:t>
        </w:r>
      </w:hyperlink>
      <w:r w:rsidRPr="00717E93">
        <w:rPr>
          <w:rStyle w:val="Hyperlink"/>
          <w:szCs w:val="22"/>
        </w:rPr>
        <w:t>.</w:t>
      </w:r>
    </w:p>
    <w:p w14:paraId="641A4DA7" w14:textId="77777777" w:rsidR="0059098E" w:rsidRPr="00BF09BA" w:rsidRDefault="0059098E">
      <w:pPr>
        <w:pStyle w:val="References"/>
        <w:jc w:val="left"/>
        <w:rPr>
          <w:rFonts w:asciiTheme="minorHAnsi" w:hAnsiTheme="minorHAnsi"/>
          <w:color w:val="auto"/>
          <w:sz w:val="22"/>
          <w:lang w:eastAsia="en-AU"/>
        </w:rPr>
      </w:pPr>
      <w:r w:rsidRPr="00BF09BA">
        <w:rPr>
          <w:rFonts w:asciiTheme="minorHAnsi" w:hAnsiTheme="minorHAnsi"/>
          <w:color w:val="auto"/>
          <w:sz w:val="22"/>
          <w:lang w:eastAsia="en-AU"/>
        </w:rPr>
        <w:t xml:space="preserve">Christ, O, </w:t>
      </w:r>
      <w:proofErr w:type="spellStart"/>
      <w:r w:rsidRPr="00BF09BA">
        <w:rPr>
          <w:rFonts w:asciiTheme="minorHAnsi" w:hAnsiTheme="minorHAnsi"/>
          <w:color w:val="auto"/>
          <w:sz w:val="22"/>
          <w:lang w:eastAsia="en-AU"/>
        </w:rPr>
        <w:t>Schmid</w:t>
      </w:r>
      <w:proofErr w:type="spellEnd"/>
      <w:r w:rsidRPr="00BF09BA">
        <w:rPr>
          <w:rFonts w:asciiTheme="minorHAnsi" w:hAnsiTheme="minorHAnsi"/>
          <w:color w:val="auto"/>
          <w:sz w:val="22"/>
          <w:lang w:eastAsia="en-AU"/>
        </w:rPr>
        <w:t xml:space="preserve">, K, </w:t>
      </w:r>
      <w:proofErr w:type="spellStart"/>
      <w:r w:rsidRPr="00BF09BA">
        <w:rPr>
          <w:rFonts w:asciiTheme="minorHAnsi" w:hAnsiTheme="minorHAnsi"/>
          <w:color w:val="auto"/>
          <w:sz w:val="22"/>
          <w:lang w:eastAsia="en-AU"/>
        </w:rPr>
        <w:t>Lolliot</w:t>
      </w:r>
      <w:proofErr w:type="spellEnd"/>
      <w:r w:rsidRPr="00BF09BA">
        <w:rPr>
          <w:rFonts w:asciiTheme="minorHAnsi" w:hAnsiTheme="minorHAnsi"/>
          <w:color w:val="auto"/>
          <w:sz w:val="22"/>
          <w:lang w:eastAsia="en-AU"/>
        </w:rPr>
        <w:t xml:space="preserve">, S, Swart, H, </w:t>
      </w:r>
      <w:proofErr w:type="spellStart"/>
      <w:r w:rsidRPr="00BF09BA">
        <w:rPr>
          <w:rFonts w:asciiTheme="minorHAnsi" w:hAnsiTheme="minorHAnsi"/>
          <w:color w:val="auto"/>
          <w:sz w:val="22"/>
          <w:lang w:eastAsia="en-AU"/>
        </w:rPr>
        <w:t>Stolle</w:t>
      </w:r>
      <w:proofErr w:type="spellEnd"/>
      <w:r w:rsidRPr="00BF09BA">
        <w:rPr>
          <w:rFonts w:asciiTheme="minorHAnsi" w:hAnsiTheme="minorHAnsi"/>
          <w:color w:val="auto"/>
          <w:sz w:val="22"/>
          <w:lang w:eastAsia="en-AU"/>
        </w:rPr>
        <w:t xml:space="preserve">, D, </w:t>
      </w:r>
      <w:proofErr w:type="spellStart"/>
      <w:r w:rsidRPr="00BF09BA">
        <w:rPr>
          <w:rFonts w:asciiTheme="minorHAnsi" w:hAnsiTheme="minorHAnsi"/>
          <w:color w:val="auto"/>
          <w:sz w:val="22"/>
          <w:lang w:eastAsia="en-AU"/>
        </w:rPr>
        <w:t>Tausch</w:t>
      </w:r>
      <w:proofErr w:type="spellEnd"/>
      <w:r w:rsidRPr="00BF09BA">
        <w:rPr>
          <w:rFonts w:asciiTheme="minorHAnsi" w:hAnsiTheme="minorHAnsi"/>
          <w:color w:val="auto"/>
          <w:sz w:val="22"/>
          <w:lang w:eastAsia="en-AU"/>
        </w:rPr>
        <w:t xml:space="preserve">, N, Al </w:t>
      </w:r>
      <w:proofErr w:type="spellStart"/>
      <w:r w:rsidRPr="00BF09BA">
        <w:rPr>
          <w:rFonts w:asciiTheme="minorHAnsi" w:hAnsiTheme="minorHAnsi"/>
          <w:color w:val="auto"/>
          <w:sz w:val="22"/>
          <w:lang w:eastAsia="en-AU"/>
        </w:rPr>
        <w:t>Ramiah</w:t>
      </w:r>
      <w:proofErr w:type="spellEnd"/>
      <w:r w:rsidRPr="00BF09BA">
        <w:rPr>
          <w:rFonts w:asciiTheme="minorHAnsi" w:hAnsiTheme="minorHAnsi"/>
          <w:color w:val="auto"/>
          <w:sz w:val="22"/>
          <w:lang w:eastAsia="en-AU"/>
        </w:rPr>
        <w:t xml:space="preserve">, A, Wagner, U, </w:t>
      </w:r>
      <w:proofErr w:type="spellStart"/>
      <w:r w:rsidRPr="00BF09BA">
        <w:rPr>
          <w:rFonts w:asciiTheme="minorHAnsi" w:hAnsiTheme="minorHAnsi"/>
          <w:color w:val="auto"/>
          <w:sz w:val="22"/>
          <w:lang w:eastAsia="en-AU"/>
        </w:rPr>
        <w:t>Vertovec</w:t>
      </w:r>
      <w:proofErr w:type="spellEnd"/>
      <w:r w:rsidRPr="00BF09BA">
        <w:rPr>
          <w:rFonts w:asciiTheme="minorHAnsi" w:hAnsiTheme="minorHAnsi"/>
          <w:color w:val="auto"/>
          <w:sz w:val="22"/>
          <w:lang w:eastAsia="en-AU"/>
        </w:rPr>
        <w:t>,</w:t>
      </w:r>
      <w:r w:rsidR="00155E57">
        <w:rPr>
          <w:rFonts w:asciiTheme="minorHAnsi" w:hAnsiTheme="minorHAnsi"/>
          <w:color w:val="auto"/>
          <w:sz w:val="22"/>
          <w:lang w:eastAsia="en-AU"/>
        </w:rPr>
        <w:br/>
      </w:r>
      <w:r w:rsidRPr="00BF09BA">
        <w:rPr>
          <w:rFonts w:asciiTheme="minorHAnsi" w:hAnsiTheme="minorHAnsi"/>
          <w:color w:val="auto"/>
          <w:sz w:val="22"/>
          <w:lang w:eastAsia="en-AU"/>
        </w:rPr>
        <w:t xml:space="preserve">S &amp; </w:t>
      </w:r>
      <w:proofErr w:type="spellStart"/>
      <w:r w:rsidRPr="00BF09BA">
        <w:rPr>
          <w:rFonts w:asciiTheme="minorHAnsi" w:hAnsiTheme="minorHAnsi"/>
          <w:color w:val="auto"/>
          <w:sz w:val="22"/>
          <w:lang w:eastAsia="en-AU"/>
        </w:rPr>
        <w:t>Hewstone</w:t>
      </w:r>
      <w:proofErr w:type="spellEnd"/>
      <w:r w:rsidRPr="00BF09BA">
        <w:rPr>
          <w:rFonts w:asciiTheme="minorHAnsi" w:hAnsiTheme="minorHAnsi"/>
          <w:color w:val="auto"/>
          <w:sz w:val="22"/>
          <w:lang w:eastAsia="en-AU"/>
        </w:rPr>
        <w:t xml:space="preserve">, M 2014, ‘Contextual </w:t>
      </w:r>
      <w:r w:rsidR="0048563F">
        <w:rPr>
          <w:rFonts w:asciiTheme="minorHAnsi" w:hAnsiTheme="minorHAnsi"/>
          <w:color w:val="auto"/>
          <w:sz w:val="22"/>
          <w:lang w:eastAsia="en-AU"/>
        </w:rPr>
        <w:t>E</w:t>
      </w:r>
      <w:r w:rsidRPr="00BF09BA">
        <w:rPr>
          <w:rFonts w:asciiTheme="minorHAnsi" w:hAnsiTheme="minorHAnsi"/>
          <w:color w:val="auto"/>
          <w:sz w:val="22"/>
          <w:lang w:eastAsia="en-AU"/>
        </w:rPr>
        <w:t xml:space="preserve">ffect of </w:t>
      </w:r>
      <w:r w:rsidR="0048563F">
        <w:rPr>
          <w:rFonts w:asciiTheme="minorHAnsi" w:hAnsiTheme="minorHAnsi"/>
          <w:color w:val="auto"/>
          <w:sz w:val="22"/>
          <w:lang w:eastAsia="en-AU"/>
        </w:rPr>
        <w:t>P</w:t>
      </w:r>
      <w:r w:rsidRPr="00BF09BA">
        <w:rPr>
          <w:rFonts w:asciiTheme="minorHAnsi" w:hAnsiTheme="minorHAnsi"/>
          <w:color w:val="auto"/>
          <w:sz w:val="22"/>
          <w:lang w:eastAsia="en-AU"/>
        </w:rPr>
        <w:t xml:space="preserve">ositive </w:t>
      </w:r>
      <w:r w:rsidR="0048563F">
        <w:rPr>
          <w:rFonts w:asciiTheme="minorHAnsi" w:hAnsiTheme="minorHAnsi"/>
          <w:color w:val="auto"/>
          <w:sz w:val="22"/>
          <w:lang w:eastAsia="en-AU"/>
        </w:rPr>
        <w:t>I</w:t>
      </w:r>
      <w:r w:rsidR="0048563F" w:rsidRPr="00BF09BA">
        <w:rPr>
          <w:rFonts w:asciiTheme="minorHAnsi" w:hAnsiTheme="minorHAnsi"/>
          <w:color w:val="auto"/>
          <w:sz w:val="22"/>
          <w:lang w:eastAsia="en-AU"/>
        </w:rPr>
        <w:t xml:space="preserve">ntergroup </w:t>
      </w:r>
      <w:r w:rsidR="0048563F">
        <w:rPr>
          <w:rFonts w:asciiTheme="minorHAnsi" w:hAnsiTheme="minorHAnsi"/>
          <w:color w:val="auto"/>
          <w:sz w:val="22"/>
          <w:lang w:eastAsia="en-AU"/>
        </w:rPr>
        <w:t>C</w:t>
      </w:r>
      <w:r w:rsidR="0048563F" w:rsidRPr="00BF09BA">
        <w:rPr>
          <w:rFonts w:asciiTheme="minorHAnsi" w:hAnsiTheme="minorHAnsi"/>
          <w:color w:val="auto"/>
          <w:sz w:val="22"/>
          <w:lang w:eastAsia="en-AU"/>
        </w:rPr>
        <w:t xml:space="preserve">ontact </w:t>
      </w:r>
      <w:r w:rsidRPr="00BF09BA">
        <w:rPr>
          <w:rFonts w:asciiTheme="minorHAnsi" w:hAnsiTheme="minorHAnsi"/>
          <w:color w:val="auto"/>
          <w:sz w:val="22"/>
          <w:lang w:eastAsia="en-AU"/>
        </w:rPr>
        <w:t xml:space="preserve">on </w:t>
      </w:r>
      <w:r w:rsidR="0048563F">
        <w:rPr>
          <w:rFonts w:asciiTheme="minorHAnsi" w:hAnsiTheme="minorHAnsi"/>
          <w:color w:val="auto"/>
          <w:sz w:val="22"/>
          <w:lang w:eastAsia="en-AU"/>
        </w:rPr>
        <w:t>O</w:t>
      </w:r>
      <w:r w:rsidR="0048563F" w:rsidRPr="00BF09BA">
        <w:rPr>
          <w:rFonts w:asciiTheme="minorHAnsi" w:hAnsiTheme="minorHAnsi"/>
          <w:color w:val="auto"/>
          <w:sz w:val="22"/>
          <w:lang w:eastAsia="en-AU"/>
        </w:rPr>
        <w:t xml:space="preserve">utgroup </w:t>
      </w:r>
      <w:r w:rsidR="0048563F">
        <w:rPr>
          <w:rFonts w:asciiTheme="minorHAnsi" w:hAnsiTheme="minorHAnsi"/>
          <w:color w:val="auto"/>
          <w:sz w:val="22"/>
          <w:lang w:eastAsia="en-AU"/>
        </w:rPr>
        <w:t>P</w:t>
      </w:r>
      <w:r w:rsidR="0048563F" w:rsidRPr="00BF09BA">
        <w:rPr>
          <w:rFonts w:asciiTheme="minorHAnsi" w:hAnsiTheme="minorHAnsi"/>
          <w:color w:val="auto"/>
          <w:sz w:val="22"/>
          <w:lang w:eastAsia="en-AU"/>
        </w:rPr>
        <w:t>rejudice’</w:t>
      </w:r>
      <w:r w:rsidRPr="00BF09BA">
        <w:rPr>
          <w:rFonts w:asciiTheme="minorHAnsi" w:hAnsiTheme="minorHAnsi"/>
          <w:color w:val="auto"/>
          <w:sz w:val="22"/>
          <w:lang w:eastAsia="en-AU"/>
        </w:rPr>
        <w:t xml:space="preserve">, </w:t>
      </w:r>
      <w:r w:rsidRPr="00BF09BA">
        <w:rPr>
          <w:rFonts w:asciiTheme="minorHAnsi" w:hAnsiTheme="minorHAnsi"/>
          <w:i/>
          <w:color w:val="auto"/>
          <w:sz w:val="22"/>
          <w:lang w:eastAsia="en-AU"/>
        </w:rPr>
        <w:t>Proceedings of the National Academy of Sciences of the United States of America</w:t>
      </w:r>
      <w:r w:rsidR="000A07A2">
        <w:rPr>
          <w:rFonts w:asciiTheme="minorHAnsi" w:hAnsiTheme="minorHAnsi"/>
          <w:color w:val="auto"/>
          <w:sz w:val="22"/>
          <w:lang w:eastAsia="en-AU"/>
        </w:rPr>
        <w:t>, vol. 111, no. 11.</w:t>
      </w:r>
    </w:p>
    <w:p w14:paraId="6021ECC3" w14:textId="77777777" w:rsidR="00603AFB" w:rsidRPr="00BF09BA" w:rsidRDefault="00603AFB">
      <w:pPr>
        <w:pStyle w:val="References"/>
        <w:jc w:val="left"/>
        <w:rPr>
          <w:rFonts w:asciiTheme="minorHAnsi" w:eastAsia="Calibri" w:hAnsiTheme="minorHAnsi"/>
          <w:color w:val="auto"/>
          <w:sz w:val="22"/>
        </w:rPr>
      </w:pPr>
      <w:r w:rsidRPr="00BF09BA">
        <w:rPr>
          <w:rFonts w:asciiTheme="minorHAnsi" w:eastAsia="Calibri" w:hAnsiTheme="minorHAnsi"/>
          <w:color w:val="auto"/>
          <w:sz w:val="22"/>
        </w:rPr>
        <w:t xml:space="preserve">City of Melbourne 2017, </w:t>
      </w:r>
      <w:r w:rsidRPr="00BF09BA">
        <w:rPr>
          <w:rFonts w:asciiTheme="minorHAnsi" w:eastAsia="Calibri" w:hAnsiTheme="minorHAnsi"/>
          <w:i/>
          <w:color w:val="auto"/>
          <w:sz w:val="22"/>
        </w:rPr>
        <w:t>Daily Population Estimates and Forecasts</w:t>
      </w:r>
      <w:r w:rsidR="00F51AB1">
        <w:rPr>
          <w:rFonts w:asciiTheme="minorHAnsi" w:eastAsia="Calibri" w:hAnsiTheme="minorHAnsi"/>
          <w:i/>
          <w:color w:val="auto"/>
          <w:sz w:val="22"/>
        </w:rPr>
        <w:t>: 2017 Update</w:t>
      </w:r>
      <w:r w:rsidRPr="00BF09BA">
        <w:rPr>
          <w:rFonts w:asciiTheme="minorHAnsi" w:eastAsia="Calibri" w:hAnsiTheme="minorHAnsi"/>
          <w:color w:val="auto"/>
          <w:sz w:val="22"/>
        </w:rPr>
        <w:t xml:space="preserve">, </w:t>
      </w:r>
      <w:r w:rsidR="00DF4F57">
        <w:rPr>
          <w:rFonts w:asciiTheme="minorHAnsi" w:eastAsia="Calibri" w:hAnsiTheme="minorHAnsi"/>
          <w:color w:val="auto"/>
          <w:sz w:val="22"/>
        </w:rPr>
        <w:t xml:space="preserve">report, </w:t>
      </w:r>
      <w:r w:rsidR="00F51AB1">
        <w:rPr>
          <w:rFonts w:asciiTheme="minorHAnsi" w:eastAsia="Calibri" w:hAnsiTheme="minorHAnsi"/>
          <w:color w:val="auto"/>
          <w:sz w:val="22"/>
        </w:rPr>
        <w:t>Melbourne</w:t>
      </w:r>
      <w:r w:rsidR="000A07A2">
        <w:rPr>
          <w:rFonts w:asciiTheme="minorHAnsi" w:eastAsia="Calibri" w:hAnsiTheme="minorHAnsi"/>
          <w:color w:val="auto"/>
          <w:sz w:val="22"/>
        </w:rPr>
        <w:t>.</w:t>
      </w:r>
    </w:p>
    <w:p w14:paraId="1084E0AA" w14:textId="77777777" w:rsidR="00E51C68" w:rsidRPr="00BF09BA" w:rsidRDefault="00E51C68">
      <w:pPr>
        <w:pStyle w:val="References"/>
        <w:jc w:val="left"/>
        <w:rPr>
          <w:rFonts w:asciiTheme="minorHAnsi" w:eastAsia="Calibri" w:hAnsiTheme="minorHAnsi"/>
          <w:color w:val="auto"/>
          <w:sz w:val="22"/>
        </w:rPr>
      </w:pPr>
      <w:r w:rsidRPr="00BF09BA">
        <w:rPr>
          <w:rFonts w:asciiTheme="minorHAnsi" w:eastAsia="Calibri" w:hAnsiTheme="minorHAnsi"/>
          <w:color w:val="auto"/>
          <w:sz w:val="22"/>
        </w:rPr>
        <w:t>Coleman</w:t>
      </w:r>
      <w:r w:rsidR="00060430" w:rsidRPr="00BF09BA">
        <w:rPr>
          <w:rFonts w:asciiTheme="minorHAnsi" w:eastAsia="Calibri" w:hAnsiTheme="minorHAnsi"/>
          <w:color w:val="auto"/>
          <w:sz w:val="22"/>
        </w:rPr>
        <w:t>,</w:t>
      </w:r>
      <w:r w:rsidRPr="00BF09BA">
        <w:rPr>
          <w:rFonts w:asciiTheme="minorHAnsi" w:eastAsia="Calibri" w:hAnsiTheme="minorHAnsi"/>
          <w:color w:val="auto"/>
          <w:sz w:val="22"/>
        </w:rPr>
        <w:t xml:space="preserve"> S 2017</w:t>
      </w:r>
      <w:r w:rsidR="00060430" w:rsidRPr="00BF09BA">
        <w:rPr>
          <w:rFonts w:asciiTheme="minorHAnsi" w:eastAsia="Calibri" w:hAnsiTheme="minorHAnsi"/>
          <w:color w:val="auto"/>
          <w:sz w:val="22"/>
        </w:rPr>
        <w:t>,</w:t>
      </w:r>
      <w:r w:rsidRPr="00BF09BA">
        <w:rPr>
          <w:rFonts w:asciiTheme="minorHAnsi" w:eastAsia="Calibri" w:hAnsiTheme="minorHAnsi"/>
          <w:color w:val="auto"/>
          <w:sz w:val="22"/>
        </w:rPr>
        <w:t xml:space="preserve"> </w:t>
      </w:r>
      <w:r w:rsidRPr="00BF09BA">
        <w:rPr>
          <w:rFonts w:asciiTheme="minorHAnsi" w:eastAsia="Calibri" w:hAnsiTheme="minorHAnsi"/>
          <w:i/>
          <w:color w:val="auto"/>
          <w:sz w:val="22"/>
        </w:rPr>
        <w:t xml:space="preserve">Australia </w:t>
      </w:r>
      <w:r w:rsidR="00F51AB1">
        <w:rPr>
          <w:rFonts w:asciiTheme="minorHAnsi" w:eastAsia="Calibri" w:hAnsiTheme="minorHAnsi"/>
          <w:i/>
          <w:color w:val="auto"/>
          <w:sz w:val="22"/>
        </w:rPr>
        <w:t>S</w:t>
      </w:r>
      <w:r w:rsidR="00F51AB1" w:rsidRPr="00BF09BA">
        <w:rPr>
          <w:rFonts w:asciiTheme="minorHAnsi" w:eastAsia="Calibri" w:hAnsiTheme="minorHAnsi"/>
          <w:i/>
          <w:color w:val="auto"/>
          <w:sz w:val="22"/>
        </w:rPr>
        <w:t xml:space="preserve">tate </w:t>
      </w:r>
      <w:r w:rsidRPr="00BF09BA">
        <w:rPr>
          <w:rFonts w:asciiTheme="minorHAnsi" w:eastAsia="Calibri" w:hAnsiTheme="minorHAnsi"/>
          <w:i/>
          <w:color w:val="auto"/>
          <w:sz w:val="22"/>
        </w:rPr>
        <w:t xml:space="preserve">of the </w:t>
      </w:r>
      <w:r w:rsidR="00F51AB1">
        <w:rPr>
          <w:rFonts w:asciiTheme="minorHAnsi" w:eastAsia="Calibri" w:hAnsiTheme="minorHAnsi"/>
          <w:i/>
          <w:color w:val="auto"/>
          <w:sz w:val="22"/>
        </w:rPr>
        <w:t>E</w:t>
      </w:r>
      <w:r w:rsidR="00F51AB1" w:rsidRPr="00BF09BA">
        <w:rPr>
          <w:rFonts w:asciiTheme="minorHAnsi" w:eastAsia="Calibri" w:hAnsiTheme="minorHAnsi"/>
          <w:i/>
          <w:color w:val="auto"/>
          <w:sz w:val="22"/>
        </w:rPr>
        <w:t xml:space="preserve">nvironment </w:t>
      </w:r>
      <w:r w:rsidRPr="00BF09BA">
        <w:rPr>
          <w:rFonts w:asciiTheme="minorHAnsi" w:eastAsia="Calibri" w:hAnsiTheme="minorHAnsi"/>
          <w:i/>
          <w:color w:val="auto"/>
          <w:sz w:val="22"/>
        </w:rPr>
        <w:t xml:space="preserve">2016: </w:t>
      </w:r>
      <w:r w:rsidR="00F51AB1">
        <w:rPr>
          <w:rFonts w:asciiTheme="minorHAnsi" w:eastAsia="Calibri" w:hAnsiTheme="minorHAnsi"/>
          <w:i/>
          <w:color w:val="auto"/>
          <w:sz w:val="22"/>
        </w:rPr>
        <w:t>B</w:t>
      </w:r>
      <w:r w:rsidR="00F51AB1" w:rsidRPr="00BF09BA">
        <w:rPr>
          <w:rFonts w:asciiTheme="minorHAnsi" w:eastAsia="Calibri" w:hAnsiTheme="minorHAnsi"/>
          <w:i/>
          <w:color w:val="auto"/>
          <w:sz w:val="22"/>
        </w:rPr>
        <w:t xml:space="preserve">uilt </w:t>
      </w:r>
      <w:r w:rsidR="00F51AB1">
        <w:rPr>
          <w:rFonts w:asciiTheme="minorHAnsi" w:eastAsia="Calibri" w:hAnsiTheme="minorHAnsi"/>
          <w:i/>
          <w:color w:val="auto"/>
          <w:sz w:val="22"/>
        </w:rPr>
        <w:t>E</w:t>
      </w:r>
      <w:r w:rsidR="00F51AB1" w:rsidRPr="00BF09BA">
        <w:rPr>
          <w:rFonts w:asciiTheme="minorHAnsi" w:eastAsia="Calibri" w:hAnsiTheme="minorHAnsi"/>
          <w:i/>
          <w:color w:val="auto"/>
          <w:sz w:val="22"/>
        </w:rPr>
        <w:t>nvironment</w:t>
      </w:r>
      <w:r w:rsidR="00060430" w:rsidRPr="00BF09BA">
        <w:rPr>
          <w:rFonts w:asciiTheme="minorHAnsi" w:eastAsia="Calibri" w:hAnsiTheme="minorHAnsi"/>
          <w:color w:val="auto"/>
          <w:sz w:val="22"/>
        </w:rPr>
        <w:t>,</w:t>
      </w:r>
      <w:r w:rsidRPr="00BF09BA">
        <w:rPr>
          <w:rFonts w:asciiTheme="minorHAnsi" w:hAnsiTheme="minorHAnsi"/>
          <w:color w:val="auto"/>
          <w:sz w:val="22"/>
        </w:rPr>
        <w:t xml:space="preserve"> </w:t>
      </w:r>
      <w:r w:rsidRPr="00BF09BA">
        <w:rPr>
          <w:rFonts w:asciiTheme="minorHAnsi" w:eastAsia="Calibri" w:hAnsiTheme="minorHAnsi"/>
          <w:color w:val="auto"/>
          <w:sz w:val="22"/>
        </w:rPr>
        <w:t>independent report to the Australian Government Minister for the Environment and Energy, Australian Government Department of the Environment and Energy, Canberra.</w:t>
      </w:r>
    </w:p>
    <w:p w14:paraId="54AB9BD8" w14:textId="77777777" w:rsidR="005908A1" w:rsidRPr="00BF09BA" w:rsidRDefault="005908A1">
      <w:pPr>
        <w:pStyle w:val="References"/>
        <w:jc w:val="left"/>
        <w:rPr>
          <w:rFonts w:asciiTheme="minorHAnsi" w:hAnsiTheme="minorHAnsi"/>
          <w:color w:val="auto"/>
          <w:sz w:val="22"/>
        </w:rPr>
      </w:pPr>
      <w:r w:rsidRPr="00BF09BA">
        <w:rPr>
          <w:rFonts w:asciiTheme="minorHAnsi" w:hAnsiTheme="minorHAnsi"/>
          <w:color w:val="auto"/>
          <w:sz w:val="22"/>
        </w:rPr>
        <w:t xml:space="preserve">Coombs, G &amp; Roberts, C 2007, ‘Trends in </w:t>
      </w:r>
      <w:r w:rsidR="00F51AB1">
        <w:rPr>
          <w:rFonts w:asciiTheme="minorHAnsi" w:hAnsiTheme="minorHAnsi"/>
          <w:color w:val="auto"/>
          <w:sz w:val="22"/>
        </w:rPr>
        <w:t>I</w:t>
      </w:r>
      <w:r w:rsidRPr="00BF09BA">
        <w:rPr>
          <w:rFonts w:asciiTheme="minorHAnsi" w:hAnsiTheme="minorHAnsi"/>
          <w:color w:val="auto"/>
          <w:sz w:val="22"/>
        </w:rPr>
        <w:t xml:space="preserve">nfrastructure’, </w:t>
      </w:r>
      <w:r w:rsidR="00FD6B50" w:rsidRPr="00BF09BA">
        <w:rPr>
          <w:rFonts w:asciiTheme="minorHAnsi" w:hAnsiTheme="minorHAnsi"/>
          <w:color w:val="auto"/>
          <w:sz w:val="22"/>
        </w:rPr>
        <w:t xml:space="preserve">Australian Treasury </w:t>
      </w:r>
      <w:r w:rsidRPr="00BF09BA">
        <w:rPr>
          <w:rFonts w:asciiTheme="minorHAnsi" w:hAnsiTheme="minorHAnsi"/>
          <w:i/>
          <w:color w:val="auto"/>
          <w:sz w:val="22"/>
        </w:rPr>
        <w:t>Economic Roundup</w:t>
      </w:r>
      <w:r w:rsidRPr="00BF09BA">
        <w:rPr>
          <w:rFonts w:asciiTheme="minorHAnsi" w:hAnsiTheme="minorHAnsi"/>
          <w:color w:val="auto"/>
          <w:sz w:val="22"/>
        </w:rPr>
        <w:t xml:space="preserve">, </w:t>
      </w:r>
      <w:proofErr w:type="gramStart"/>
      <w:r w:rsidRPr="00BF09BA">
        <w:rPr>
          <w:rFonts w:asciiTheme="minorHAnsi" w:hAnsiTheme="minorHAnsi"/>
          <w:color w:val="auto"/>
          <w:sz w:val="22"/>
        </w:rPr>
        <w:t>Summer</w:t>
      </w:r>
      <w:proofErr w:type="gramEnd"/>
      <w:r w:rsidRPr="00BF09BA">
        <w:rPr>
          <w:rFonts w:asciiTheme="minorHAnsi" w:hAnsiTheme="minorHAnsi"/>
          <w:color w:val="auto"/>
          <w:sz w:val="22"/>
        </w:rPr>
        <w:t xml:space="preserve"> 2007</w:t>
      </w:r>
      <w:r w:rsidR="00FD6B50" w:rsidRPr="00BF09BA">
        <w:rPr>
          <w:rFonts w:asciiTheme="minorHAnsi" w:hAnsiTheme="minorHAnsi"/>
          <w:color w:val="auto"/>
          <w:sz w:val="22"/>
        </w:rPr>
        <w:t xml:space="preserve"> Edition</w:t>
      </w:r>
      <w:r w:rsidRPr="00BF09BA">
        <w:rPr>
          <w:rFonts w:asciiTheme="minorHAnsi" w:hAnsiTheme="minorHAnsi"/>
          <w:color w:val="auto"/>
          <w:sz w:val="22"/>
        </w:rPr>
        <w:t>,</w:t>
      </w:r>
      <w:r w:rsidR="00C067AD" w:rsidRPr="00BF09BA">
        <w:rPr>
          <w:rFonts w:asciiTheme="minorHAnsi" w:hAnsiTheme="minorHAnsi"/>
          <w:b/>
          <w:color w:val="auto"/>
          <w:sz w:val="22"/>
        </w:rPr>
        <w:t xml:space="preserve"> </w:t>
      </w:r>
      <w:r w:rsidR="00C067AD" w:rsidRPr="000D14B5">
        <w:rPr>
          <w:rFonts w:asciiTheme="minorHAnsi" w:hAnsiTheme="minorHAnsi"/>
          <w:color w:val="auto"/>
          <w:sz w:val="22"/>
        </w:rPr>
        <w:t>Canberra</w:t>
      </w:r>
      <w:r w:rsidR="000A07A2">
        <w:rPr>
          <w:rFonts w:asciiTheme="minorHAnsi" w:hAnsiTheme="minorHAnsi"/>
          <w:color w:val="auto"/>
          <w:sz w:val="22"/>
        </w:rPr>
        <w:t>.</w:t>
      </w:r>
    </w:p>
    <w:p w14:paraId="56868F40" w14:textId="77777777" w:rsidR="003501E6" w:rsidRDefault="00E40B87">
      <w:pPr>
        <w:pStyle w:val="References"/>
        <w:jc w:val="left"/>
        <w:rPr>
          <w:rFonts w:asciiTheme="minorHAnsi" w:hAnsiTheme="minorHAnsi"/>
          <w:color w:val="auto"/>
          <w:sz w:val="22"/>
        </w:rPr>
        <w:sectPr w:rsidR="003501E6" w:rsidSect="005D0DBA">
          <w:footerReference w:type="first" r:id="rId111"/>
          <w:pgSz w:w="11906" w:h="16838" w:code="277"/>
          <w:pgMar w:top="1418" w:right="1418" w:bottom="1418" w:left="1418" w:header="709" w:footer="709" w:gutter="0"/>
          <w:cols w:space="708"/>
          <w:titlePg/>
          <w:docGrid w:linePitch="360"/>
        </w:sectPr>
      </w:pPr>
      <w:proofErr w:type="spellStart"/>
      <w:r w:rsidRPr="00BF09BA">
        <w:rPr>
          <w:rFonts w:asciiTheme="minorHAnsi" w:hAnsiTheme="minorHAnsi"/>
          <w:color w:val="auto"/>
          <w:sz w:val="22"/>
        </w:rPr>
        <w:t>CoreLogic</w:t>
      </w:r>
      <w:proofErr w:type="spellEnd"/>
      <w:r w:rsidRPr="00BF09BA">
        <w:rPr>
          <w:rFonts w:asciiTheme="minorHAnsi" w:hAnsiTheme="minorHAnsi"/>
          <w:color w:val="auto"/>
          <w:sz w:val="22"/>
        </w:rPr>
        <w:t xml:space="preserve"> 2016, </w:t>
      </w:r>
      <w:r w:rsidRPr="00BF09BA">
        <w:rPr>
          <w:rFonts w:asciiTheme="minorHAnsi" w:hAnsiTheme="minorHAnsi"/>
          <w:i/>
          <w:color w:val="auto"/>
          <w:sz w:val="22"/>
        </w:rPr>
        <w:t>Housing Affordability Report: December 2016</w:t>
      </w:r>
      <w:r w:rsidRPr="00BF09BA">
        <w:rPr>
          <w:rFonts w:asciiTheme="minorHAnsi" w:hAnsiTheme="minorHAnsi"/>
          <w:color w:val="auto"/>
          <w:sz w:val="22"/>
        </w:rPr>
        <w:t xml:space="preserve">, </w:t>
      </w:r>
      <w:r w:rsidR="00F51AB1">
        <w:rPr>
          <w:rFonts w:asciiTheme="minorHAnsi" w:hAnsiTheme="minorHAnsi"/>
          <w:color w:val="auto"/>
          <w:sz w:val="22"/>
        </w:rPr>
        <w:t>Sydney</w:t>
      </w:r>
      <w:r w:rsidR="000A07A2">
        <w:rPr>
          <w:rFonts w:asciiTheme="minorHAnsi" w:hAnsiTheme="minorHAnsi"/>
          <w:color w:val="auto"/>
          <w:sz w:val="22"/>
        </w:rPr>
        <w:t>.</w:t>
      </w:r>
    </w:p>
    <w:p w14:paraId="033265AB" w14:textId="77777777" w:rsidR="00F41670" w:rsidRPr="00BF09BA" w:rsidRDefault="00F41670">
      <w:pPr>
        <w:pStyle w:val="References"/>
        <w:jc w:val="left"/>
        <w:rPr>
          <w:rFonts w:asciiTheme="minorHAnsi" w:hAnsiTheme="minorHAnsi"/>
          <w:color w:val="auto"/>
          <w:sz w:val="22"/>
        </w:rPr>
      </w:pPr>
      <w:r w:rsidRPr="00BF09BA">
        <w:rPr>
          <w:rFonts w:asciiTheme="minorHAnsi" w:hAnsiTheme="minorHAnsi"/>
          <w:color w:val="auto"/>
          <w:sz w:val="22"/>
        </w:rPr>
        <w:lastRenderedPageBreak/>
        <w:t xml:space="preserve">Cully, M </w:t>
      </w:r>
      <w:r w:rsidRPr="00BF09BA">
        <w:rPr>
          <w:rFonts w:asciiTheme="minorHAnsi" w:hAnsiTheme="minorHAnsi" w:cs="Arial"/>
          <w:color w:val="auto"/>
          <w:sz w:val="22"/>
        </w:rPr>
        <w:t>2011</w:t>
      </w:r>
      <w:r>
        <w:rPr>
          <w:rFonts w:asciiTheme="minorHAnsi" w:hAnsiTheme="minorHAnsi" w:cs="Arial"/>
          <w:color w:val="auto"/>
          <w:sz w:val="22"/>
        </w:rPr>
        <w:t>a</w:t>
      </w:r>
      <w:r w:rsidRPr="00BF09BA">
        <w:rPr>
          <w:rFonts w:asciiTheme="minorHAnsi" w:hAnsiTheme="minorHAnsi"/>
          <w:color w:val="auto"/>
          <w:sz w:val="22"/>
        </w:rPr>
        <w:t xml:space="preserve">, ‘Skilled </w:t>
      </w:r>
      <w:r>
        <w:rPr>
          <w:rFonts w:asciiTheme="minorHAnsi" w:hAnsiTheme="minorHAnsi"/>
          <w:color w:val="auto"/>
          <w:sz w:val="22"/>
        </w:rPr>
        <w:t>M</w:t>
      </w:r>
      <w:r w:rsidRPr="00BF09BA">
        <w:rPr>
          <w:rFonts w:asciiTheme="minorHAnsi" w:hAnsiTheme="minorHAnsi"/>
          <w:color w:val="auto"/>
          <w:sz w:val="22"/>
        </w:rPr>
        <w:t xml:space="preserve">igration </w:t>
      </w:r>
      <w:r>
        <w:rPr>
          <w:rFonts w:asciiTheme="minorHAnsi" w:hAnsiTheme="minorHAnsi"/>
          <w:color w:val="auto"/>
          <w:sz w:val="22"/>
        </w:rPr>
        <w:t>S</w:t>
      </w:r>
      <w:r w:rsidRPr="00BF09BA">
        <w:rPr>
          <w:rFonts w:asciiTheme="minorHAnsi" w:hAnsiTheme="minorHAnsi"/>
          <w:color w:val="auto"/>
          <w:sz w:val="22"/>
        </w:rPr>
        <w:t xml:space="preserve">election </w:t>
      </w:r>
      <w:r>
        <w:rPr>
          <w:rFonts w:asciiTheme="minorHAnsi" w:hAnsiTheme="minorHAnsi"/>
          <w:color w:val="auto"/>
          <w:sz w:val="22"/>
        </w:rPr>
        <w:t>P</w:t>
      </w:r>
      <w:r w:rsidRPr="00BF09BA">
        <w:rPr>
          <w:rFonts w:asciiTheme="minorHAnsi" w:hAnsiTheme="minorHAnsi"/>
          <w:color w:val="auto"/>
          <w:sz w:val="22"/>
        </w:rPr>
        <w:t xml:space="preserve">olicies: Recent Australian </w:t>
      </w:r>
      <w:r>
        <w:rPr>
          <w:rFonts w:asciiTheme="minorHAnsi" w:hAnsiTheme="minorHAnsi"/>
          <w:color w:val="auto"/>
          <w:sz w:val="22"/>
        </w:rPr>
        <w:t>R</w:t>
      </w:r>
      <w:r w:rsidRPr="00BF09BA">
        <w:rPr>
          <w:rFonts w:asciiTheme="minorHAnsi" w:hAnsiTheme="minorHAnsi"/>
          <w:color w:val="auto"/>
          <w:sz w:val="22"/>
        </w:rPr>
        <w:t xml:space="preserve">eforms’, </w:t>
      </w:r>
      <w:bookmarkStart w:id="130" w:name="OLE_LINK5"/>
      <w:bookmarkStart w:id="131" w:name="OLE_LINK6"/>
      <w:r w:rsidRPr="00BF09BA">
        <w:rPr>
          <w:rFonts w:asciiTheme="minorHAnsi" w:hAnsiTheme="minorHAnsi"/>
          <w:i/>
          <w:color w:val="auto"/>
          <w:sz w:val="22"/>
        </w:rPr>
        <w:t>Migration Policy Practice</w:t>
      </w:r>
      <w:r w:rsidRPr="00BF09BA">
        <w:rPr>
          <w:rFonts w:asciiTheme="minorHAnsi" w:hAnsiTheme="minorHAnsi"/>
          <w:color w:val="auto"/>
          <w:sz w:val="22"/>
        </w:rPr>
        <w:t xml:space="preserve">, </w:t>
      </w:r>
      <w:bookmarkEnd w:id="130"/>
      <w:bookmarkEnd w:id="131"/>
      <w:r w:rsidR="000A07A2">
        <w:rPr>
          <w:rFonts w:asciiTheme="minorHAnsi" w:hAnsiTheme="minorHAnsi"/>
          <w:color w:val="auto"/>
          <w:sz w:val="22"/>
        </w:rPr>
        <w:t xml:space="preserve">vol. 1, no. 1, </w:t>
      </w:r>
      <w:proofErr w:type="gramStart"/>
      <w:r w:rsidR="000A07A2">
        <w:rPr>
          <w:rFonts w:asciiTheme="minorHAnsi" w:hAnsiTheme="minorHAnsi"/>
          <w:color w:val="auto"/>
          <w:sz w:val="22"/>
        </w:rPr>
        <w:t>pp</w:t>
      </w:r>
      <w:proofErr w:type="gramEnd"/>
      <w:r w:rsidR="000A07A2">
        <w:rPr>
          <w:rFonts w:asciiTheme="minorHAnsi" w:hAnsiTheme="minorHAnsi"/>
          <w:color w:val="auto"/>
          <w:sz w:val="22"/>
        </w:rPr>
        <w:t>. 4–7.</w:t>
      </w:r>
    </w:p>
    <w:p w14:paraId="3F72F550" w14:textId="77777777" w:rsidR="00247214" w:rsidRPr="00BF09BA" w:rsidRDefault="0059098E">
      <w:pPr>
        <w:pStyle w:val="References"/>
        <w:jc w:val="left"/>
        <w:rPr>
          <w:rFonts w:asciiTheme="minorHAnsi" w:hAnsiTheme="minorHAnsi" w:cs="Arial"/>
          <w:color w:val="auto"/>
          <w:sz w:val="22"/>
        </w:rPr>
      </w:pPr>
      <w:r w:rsidRPr="00BF09BA">
        <w:rPr>
          <w:rFonts w:asciiTheme="minorHAnsi" w:hAnsiTheme="minorHAnsi"/>
          <w:color w:val="auto"/>
          <w:sz w:val="22"/>
        </w:rPr>
        <w:t>Cully, M</w:t>
      </w:r>
      <w:r w:rsidRPr="00BF09BA">
        <w:rPr>
          <w:rFonts w:asciiTheme="minorHAnsi" w:hAnsiTheme="minorHAnsi" w:cs="Arial"/>
          <w:color w:val="auto"/>
          <w:sz w:val="22"/>
        </w:rPr>
        <w:t xml:space="preserve"> 2011</w:t>
      </w:r>
      <w:r w:rsidR="00F41670">
        <w:rPr>
          <w:rFonts w:asciiTheme="minorHAnsi" w:hAnsiTheme="minorHAnsi" w:cs="Arial"/>
          <w:color w:val="auto"/>
          <w:sz w:val="22"/>
        </w:rPr>
        <w:t>b</w:t>
      </w:r>
      <w:r w:rsidRPr="00BF09BA">
        <w:rPr>
          <w:rFonts w:asciiTheme="minorHAnsi" w:hAnsiTheme="minorHAnsi"/>
          <w:color w:val="auto"/>
          <w:sz w:val="22"/>
        </w:rPr>
        <w:t xml:space="preserve">, ‘How </w:t>
      </w:r>
      <w:r w:rsidR="0048563F">
        <w:rPr>
          <w:rFonts w:asciiTheme="minorHAnsi" w:hAnsiTheme="minorHAnsi"/>
          <w:color w:val="auto"/>
          <w:sz w:val="22"/>
        </w:rPr>
        <w:t>M</w:t>
      </w:r>
      <w:r w:rsidR="0048563F" w:rsidRPr="00BF09BA">
        <w:rPr>
          <w:rFonts w:asciiTheme="minorHAnsi" w:hAnsiTheme="minorHAnsi"/>
          <w:color w:val="auto"/>
          <w:sz w:val="22"/>
        </w:rPr>
        <w:t xml:space="preserve">uch </w:t>
      </w:r>
      <w:r w:rsidRPr="00BF09BA">
        <w:rPr>
          <w:rFonts w:asciiTheme="minorHAnsi" w:hAnsiTheme="minorHAnsi"/>
          <w:color w:val="auto"/>
          <w:sz w:val="22"/>
        </w:rPr>
        <w:t xml:space="preserve">do </w:t>
      </w:r>
      <w:r w:rsidR="0048563F">
        <w:rPr>
          <w:rFonts w:asciiTheme="minorHAnsi" w:hAnsiTheme="minorHAnsi"/>
          <w:color w:val="auto"/>
          <w:sz w:val="22"/>
        </w:rPr>
        <w:t>M</w:t>
      </w:r>
      <w:r w:rsidR="0048563F" w:rsidRPr="00BF09BA">
        <w:rPr>
          <w:rFonts w:asciiTheme="minorHAnsi" w:hAnsiTheme="minorHAnsi"/>
          <w:color w:val="auto"/>
          <w:sz w:val="22"/>
        </w:rPr>
        <w:t xml:space="preserve">igrants </w:t>
      </w:r>
      <w:r w:rsidR="0048563F">
        <w:rPr>
          <w:rFonts w:asciiTheme="minorHAnsi" w:hAnsiTheme="minorHAnsi"/>
          <w:color w:val="auto"/>
          <w:sz w:val="22"/>
        </w:rPr>
        <w:t>A</w:t>
      </w:r>
      <w:r w:rsidR="0048563F" w:rsidRPr="00BF09BA">
        <w:rPr>
          <w:rFonts w:asciiTheme="minorHAnsi" w:hAnsiTheme="minorHAnsi"/>
          <w:color w:val="auto"/>
          <w:sz w:val="22"/>
        </w:rPr>
        <w:t xml:space="preserve">ccount </w:t>
      </w:r>
      <w:r w:rsidRPr="00BF09BA">
        <w:rPr>
          <w:rFonts w:asciiTheme="minorHAnsi" w:hAnsiTheme="minorHAnsi"/>
          <w:color w:val="auto"/>
          <w:sz w:val="22"/>
        </w:rPr>
        <w:t xml:space="preserve">for the </w:t>
      </w:r>
      <w:r w:rsidR="0048563F">
        <w:rPr>
          <w:rFonts w:asciiTheme="minorHAnsi" w:hAnsiTheme="minorHAnsi"/>
          <w:color w:val="auto"/>
          <w:sz w:val="22"/>
        </w:rPr>
        <w:t>U</w:t>
      </w:r>
      <w:r w:rsidR="0048563F" w:rsidRPr="00BF09BA">
        <w:rPr>
          <w:rFonts w:asciiTheme="minorHAnsi" w:hAnsiTheme="minorHAnsi"/>
          <w:color w:val="auto"/>
          <w:sz w:val="22"/>
        </w:rPr>
        <w:t xml:space="preserve">nexpected </w:t>
      </w:r>
      <w:r w:rsidR="0048563F">
        <w:rPr>
          <w:rFonts w:asciiTheme="minorHAnsi" w:hAnsiTheme="minorHAnsi"/>
          <w:color w:val="auto"/>
          <w:sz w:val="22"/>
        </w:rPr>
        <w:t>R</w:t>
      </w:r>
      <w:r w:rsidR="0048563F" w:rsidRPr="00BF09BA">
        <w:rPr>
          <w:rFonts w:asciiTheme="minorHAnsi" w:hAnsiTheme="minorHAnsi"/>
          <w:color w:val="auto"/>
          <w:sz w:val="22"/>
        </w:rPr>
        <w:t xml:space="preserve">ise </w:t>
      </w:r>
      <w:r w:rsidRPr="00BF09BA">
        <w:rPr>
          <w:rFonts w:asciiTheme="minorHAnsi" w:hAnsiTheme="minorHAnsi"/>
          <w:color w:val="auto"/>
          <w:sz w:val="22"/>
        </w:rPr>
        <w:t xml:space="preserve">in the </w:t>
      </w:r>
      <w:r w:rsidR="0048563F">
        <w:rPr>
          <w:rFonts w:asciiTheme="minorHAnsi" w:hAnsiTheme="minorHAnsi"/>
          <w:color w:val="auto"/>
          <w:sz w:val="22"/>
        </w:rPr>
        <w:t>L</w:t>
      </w:r>
      <w:r w:rsidRPr="00BF09BA">
        <w:rPr>
          <w:rFonts w:asciiTheme="minorHAnsi" w:hAnsiTheme="minorHAnsi"/>
          <w:color w:val="auto"/>
          <w:sz w:val="22"/>
        </w:rPr>
        <w:t xml:space="preserve">abour </w:t>
      </w:r>
      <w:r w:rsidR="0048563F">
        <w:rPr>
          <w:rFonts w:asciiTheme="minorHAnsi" w:hAnsiTheme="minorHAnsi"/>
          <w:color w:val="auto"/>
          <w:sz w:val="22"/>
        </w:rPr>
        <w:t>F</w:t>
      </w:r>
      <w:r w:rsidRPr="00BF09BA">
        <w:rPr>
          <w:rFonts w:asciiTheme="minorHAnsi" w:hAnsiTheme="minorHAnsi"/>
          <w:color w:val="auto"/>
          <w:sz w:val="22"/>
        </w:rPr>
        <w:t xml:space="preserve">orce </w:t>
      </w:r>
      <w:r w:rsidR="0048563F">
        <w:rPr>
          <w:rFonts w:asciiTheme="minorHAnsi" w:hAnsiTheme="minorHAnsi"/>
          <w:color w:val="auto"/>
          <w:sz w:val="22"/>
        </w:rPr>
        <w:t>P</w:t>
      </w:r>
      <w:r w:rsidR="0048563F" w:rsidRPr="00BF09BA">
        <w:rPr>
          <w:rFonts w:asciiTheme="minorHAnsi" w:hAnsiTheme="minorHAnsi"/>
          <w:color w:val="auto"/>
          <w:sz w:val="22"/>
        </w:rPr>
        <w:t xml:space="preserve">articipation </w:t>
      </w:r>
      <w:r w:rsidR="0048563F">
        <w:rPr>
          <w:rFonts w:asciiTheme="minorHAnsi" w:hAnsiTheme="minorHAnsi"/>
          <w:color w:val="auto"/>
          <w:sz w:val="22"/>
        </w:rPr>
        <w:t>R</w:t>
      </w:r>
      <w:r w:rsidRPr="00BF09BA">
        <w:rPr>
          <w:rFonts w:asciiTheme="minorHAnsi" w:hAnsiTheme="minorHAnsi"/>
          <w:color w:val="auto"/>
          <w:sz w:val="22"/>
        </w:rPr>
        <w:t xml:space="preserve">ate in Australia over the </w:t>
      </w:r>
      <w:r w:rsidR="0048563F">
        <w:rPr>
          <w:rFonts w:asciiTheme="minorHAnsi" w:hAnsiTheme="minorHAnsi"/>
          <w:color w:val="auto"/>
          <w:sz w:val="22"/>
        </w:rPr>
        <w:t>P</w:t>
      </w:r>
      <w:r w:rsidRPr="00BF09BA">
        <w:rPr>
          <w:rFonts w:asciiTheme="minorHAnsi" w:hAnsiTheme="minorHAnsi"/>
          <w:color w:val="auto"/>
          <w:sz w:val="22"/>
        </w:rPr>
        <w:t xml:space="preserve">ast </w:t>
      </w:r>
      <w:r w:rsidR="0048563F">
        <w:rPr>
          <w:rFonts w:asciiTheme="minorHAnsi" w:hAnsiTheme="minorHAnsi"/>
          <w:color w:val="auto"/>
          <w:sz w:val="22"/>
        </w:rPr>
        <w:t>D</w:t>
      </w:r>
      <w:r w:rsidRPr="00BF09BA">
        <w:rPr>
          <w:rFonts w:asciiTheme="minorHAnsi" w:hAnsiTheme="minorHAnsi"/>
          <w:color w:val="auto"/>
          <w:sz w:val="22"/>
        </w:rPr>
        <w:t>ecade?’, paper presented at the 2011</w:t>
      </w:r>
      <w:r w:rsidRPr="00BF09BA">
        <w:rPr>
          <w:rFonts w:asciiTheme="minorHAnsi" w:hAnsiTheme="minorHAnsi"/>
          <w:i/>
          <w:color w:val="auto"/>
          <w:sz w:val="22"/>
        </w:rPr>
        <w:t xml:space="preserve"> Australian Conference of Economists</w:t>
      </w:r>
      <w:r w:rsidRPr="00BF09BA">
        <w:rPr>
          <w:rFonts w:asciiTheme="minorHAnsi" w:hAnsiTheme="minorHAnsi"/>
          <w:color w:val="auto"/>
          <w:sz w:val="22"/>
        </w:rPr>
        <w:t xml:space="preserve">, </w:t>
      </w:r>
      <w:r w:rsidR="00C067AD" w:rsidRPr="00BF09BA">
        <w:rPr>
          <w:rFonts w:asciiTheme="minorHAnsi" w:hAnsiTheme="minorHAnsi"/>
          <w:color w:val="auto"/>
          <w:sz w:val="22"/>
        </w:rPr>
        <w:t>available at</w:t>
      </w:r>
      <w:r w:rsidR="00717E93">
        <w:rPr>
          <w:rFonts w:asciiTheme="minorHAnsi" w:hAnsiTheme="minorHAnsi"/>
          <w:color w:val="auto"/>
          <w:sz w:val="22"/>
        </w:rPr>
        <w:t>:</w:t>
      </w:r>
      <w:r w:rsidR="00C067AD" w:rsidRPr="00BF09BA">
        <w:rPr>
          <w:rFonts w:asciiTheme="minorHAnsi" w:hAnsiTheme="minorHAnsi"/>
          <w:color w:val="auto"/>
          <w:sz w:val="22"/>
        </w:rPr>
        <w:t xml:space="preserve"> </w:t>
      </w:r>
      <w:hyperlink r:id="rId112" w:history="1">
        <w:r w:rsidR="00717E93" w:rsidRPr="004E0086">
          <w:rPr>
            <w:rStyle w:val="Hyperlink"/>
            <w:sz w:val="22"/>
          </w:rPr>
          <w:t>https://www.border.gov.au/ReportsandPublications/</w:t>
        </w:r>
        <w:r w:rsidR="00717E93" w:rsidRPr="004E0086">
          <w:rPr>
            <w:rStyle w:val="Hyperlink"/>
            <w:sz w:val="22"/>
          </w:rPr>
          <w:br/>
          <w:t>Documents/research/migrants-account-unexpected-rise-labour-force-rate-aus-2000-2010.pdf</w:t>
        </w:r>
      </w:hyperlink>
      <w:r w:rsidRPr="00BF09BA">
        <w:rPr>
          <w:rFonts w:asciiTheme="minorHAnsi" w:hAnsiTheme="minorHAnsi"/>
          <w:color w:val="auto"/>
          <w:sz w:val="22"/>
        </w:rPr>
        <w:t>.</w:t>
      </w:r>
    </w:p>
    <w:p w14:paraId="3839CDA4" w14:textId="77777777" w:rsidR="0059098E" w:rsidRPr="00BF09BA" w:rsidRDefault="0059098E" w:rsidP="00381B16">
      <w:pPr>
        <w:spacing w:before="0" w:after="240"/>
        <w:jc w:val="left"/>
        <w:rPr>
          <w:rFonts w:asciiTheme="minorHAnsi" w:hAnsiTheme="minorHAnsi"/>
        </w:rPr>
      </w:pPr>
      <w:r w:rsidRPr="00BF09BA">
        <w:rPr>
          <w:rFonts w:asciiTheme="minorHAnsi" w:hAnsiTheme="minorHAnsi"/>
        </w:rPr>
        <w:t>Daley</w:t>
      </w:r>
      <w:r w:rsidR="00D0499C" w:rsidRPr="00BF09BA">
        <w:rPr>
          <w:rFonts w:asciiTheme="minorHAnsi" w:hAnsiTheme="minorHAnsi"/>
        </w:rPr>
        <w:t>, J 201</w:t>
      </w:r>
      <w:r w:rsidR="00100147">
        <w:rPr>
          <w:rFonts w:asciiTheme="minorHAnsi" w:hAnsiTheme="minorHAnsi" w:cs="Arial"/>
        </w:rPr>
        <w:t>7</w:t>
      </w:r>
      <w:r w:rsidR="00D0499C" w:rsidRPr="00BF09BA">
        <w:rPr>
          <w:rFonts w:asciiTheme="minorHAnsi" w:hAnsiTheme="minorHAnsi" w:cs="Arial"/>
        </w:rPr>
        <w:t xml:space="preserve">, </w:t>
      </w:r>
      <w:r w:rsidR="00D0499C" w:rsidRPr="0048563F">
        <w:rPr>
          <w:rFonts w:asciiTheme="minorHAnsi" w:hAnsiTheme="minorHAnsi"/>
          <w:i/>
        </w:rPr>
        <w:t xml:space="preserve">Productivity and </w:t>
      </w:r>
      <w:r w:rsidR="00100147" w:rsidRPr="0048563F">
        <w:rPr>
          <w:rFonts w:asciiTheme="minorHAnsi" w:hAnsiTheme="minorHAnsi"/>
          <w:i/>
        </w:rPr>
        <w:t>Geography:</w:t>
      </w:r>
      <w:r w:rsidR="00D0499C" w:rsidRPr="00100147">
        <w:rPr>
          <w:rFonts w:asciiTheme="minorHAnsi" w:hAnsiTheme="minorHAnsi"/>
          <w:i/>
        </w:rPr>
        <w:t xml:space="preserve"> </w:t>
      </w:r>
      <w:r w:rsidR="00100147" w:rsidRPr="00100147">
        <w:rPr>
          <w:rFonts w:asciiTheme="minorHAnsi" w:hAnsiTheme="minorHAnsi"/>
          <w:i/>
        </w:rPr>
        <w:t>Presentation to</w:t>
      </w:r>
      <w:r w:rsidR="00622137" w:rsidRPr="00BF09BA">
        <w:rPr>
          <w:rFonts w:asciiTheme="minorHAnsi" w:hAnsiTheme="minorHAnsi"/>
        </w:rPr>
        <w:t xml:space="preserve"> </w:t>
      </w:r>
      <w:r w:rsidR="00D0499C" w:rsidRPr="00BF09BA">
        <w:rPr>
          <w:rFonts w:asciiTheme="minorHAnsi" w:hAnsiTheme="minorHAnsi"/>
          <w:i/>
        </w:rPr>
        <w:t>Prod</w:t>
      </w:r>
      <w:r w:rsidR="00622137" w:rsidRPr="00BF09BA">
        <w:rPr>
          <w:rFonts w:asciiTheme="minorHAnsi" w:hAnsiTheme="minorHAnsi"/>
          <w:i/>
        </w:rPr>
        <w:t>uctivity Commission Conference</w:t>
      </w:r>
      <w:r w:rsidR="00622137" w:rsidRPr="00BF09BA">
        <w:rPr>
          <w:rFonts w:asciiTheme="minorHAnsi" w:hAnsiTheme="minorHAnsi"/>
        </w:rPr>
        <w:t xml:space="preserve">, </w:t>
      </w:r>
      <w:r w:rsidR="00100147">
        <w:rPr>
          <w:rFonts w:asciiTheme="minorHAnsi" w:hAnsiTheme="minorHAnsi"/>
        </w:rPr>
        <w:t>Grattan Institute, Melbourne</w:t>
      </w:r>
      <w:r w:rsidR="000A07A2">
        <w:rPr>
          <w:rFonts w:asciiTheme="minorHAnsi" w:hAnsiTheme="minorHAnsi"/>
        </w:rPr>
        <w:t>.</w:t>
      </w:r>
    </w:p>
    <w:p w14:paraId="1C92D350" w14:textId="77777777" w:rsidR="00247214" w:rsidRPr="00BF09BA" w:rsidRDefault="0059098E" w:rsidP="00325F5E">
      <w:pPr>
        <w:pStyle w:val="References"/>
        <w:jc w:val="left"/>
        <w:rPr>
          <w:rFonts w:asciiTheme="minorHAnsi" w:hAnsiTheme="minorHAnsi" w:cs="Arial"/>
          <w:color w:val="auto"/>
          <w:sz w:val="22"/>
        </w:rPr>
      </w:pPr>
      <w:r w:rsidRPr="00BF09BA">
        <w:rPr>
          <w:rFonts w:asciiTheme="minorHAnsi" w:hAnsiTheme="minorHAnsi"/>
          <w:color w:val="auto"/>
          <w:sz w:val="22"/>
        </w:rPr>
        <w:t xml:space="preserve">Dandy, J &amp; </w:t>
      </w:r>
      <w:proofErr w:type="spellStart"/>
      <w:r w:rsidRPr="00BF09BA">
        <w:rPr>
          <w:rFonts w:asciiTheme="minorHAnsi" w:hAnsiTheme="minorHAnsi"/>
          <w:color w:val="auto"/>
          <w:sz w:val="22"/>
        </w:rPr>
        <w:t>Pe</w:t>
      </w:r>
      <w:r w:rsidRPr="00BF09BA">
        <w:rPr>
          <w:rFonts w:asciiTheme="minorHAnsi" w:hAnsiTheme="minorHAnsi"/>
          <w:color w:val="auto"/>
          <w:sz w:val="22"/>
        </w:rPr>
        <w:noBreakHyphen/>
        <w:t>Pua</w:t>
      </w:r>
      <w:proofErr w:type="spellEnd"/>
      <w:r w:rsidRPr="00BF09BA">
        <w:rPr>
          <w:rFonts w:asciiTheme="minorHAnsi" w:hAnsiTheme="minorHAnsi"/>
          <w:color w:val="auto"/>
          <w:sz w:val="22"/>
        </w:rPr>
        <w:t xml:space="preserve">, R 2013, </w:t>
      </w:r>
      <w:r w:rsidRPr="00BF09BA">
        <w:rPr>
          <w:rFonts w:asciiTheme="minorHAnsi" w:hAnsiTheme="minorHAnsi"/>
          <w:i/>
          <w:color w:val="auto"/>
          <w:sz w:val="22"/>
        </w:rPr>
        <w:t>Research into the Current and Emerging Drivers for Social Cohesion, Social Division and Conflict in Multicultural Australia</w:t>
      </w:r>
      <w:r w:rsidRPr="00BF09BA">
        <w:rPr>
          <w:rFonts w:asciiTheme="minorHAnsi" w:hAnsiTheme="minorHAnsi"/>
          <w:color w:val="auto"/>
          <w:sz w:val="22"/>
        </w:rPr>
        <w:t xml:space="preserve">, report for Joint Commonwealth, State and Territory Research Advisory Committee, </w:t>
      </w:r>
      <w:r w:rsidR="00C067AD" w:rsidRPr="00BF09BA">
        <w:rPr>
          <w:rFonts w:asciiTheme="minorHAnsi" w:hAnsiTheme="minorHAnsi"/>
          <w:color w:val="auto"/>
          <w:sz w:val="22"/>
        </w:rPr>
        <w:t>Canberra.</w:t>
      </w:r>
    </w:p>
    <w:p w14:paraId="47C16985" w14:textId="77777777" w:rsidR="00E40B87" w:rsidRPr="00BF09BA" w:rsidRDefault="00E40B87">
      <w:pPr>
        <w:pStyle w:val="References"/>
        <w:jc w:val="left"/>
        <w:rPr>
          <w:rFonts w:asciiTheme="minorHAnsi" w:hAnsiTheme="minorHAnsi" w:cs="Arial"/>
          <w:color w:val="auto"/>
          <w:sz w:val="22"/>
          <w:lang w:eastAsia="en-AU"/>
        </w:rPr>
      </w:pPr>
      <w:proofErr w:type="spellStart"/>
      <w:r w:rsidRPr="00BF09BA">
        <w:rPr>
          <w:rFonts w:asciiTheme="minorHAnsi" w:hAnsiTheme="minorHAnsi" w:cs="Arial"/>
          <w:color w:val="auto"/>
          <w:sz w:val="22"/>
          <w:lang w:eastAsia="en-AU"/>
        </w:rPr>
        <w:t>Delbosc</w:t>
      </w:r>
      <w:proofErr w:type="spellEnd"/>
      <w:r w:rsidRPr="00BF09BA">
        <w:rPr>
          <w:rFonts w:asciiTheme="minorHAnsi" w:hAnsiTheme="minorHAnsi" w:cs="Arial"/>
          <w:color w:val="auto"/>
          <w:sz w:val="22"/>
          <w:lang w:eastAsia="en-AU"/>
        </w:rPr>
        <w:t xml:space="preserve">, A 2015, ‘Public </w:t>
      </w:r>
      <w:r w:rsidR="0048563F">
        <w:rPr>
          <w:rFonts w:asciiTheme="minorHAnsi" w:hAnsiTheme="minorHAnsi" w:cs="Arial"/>
          <w:color w:val="auto"/>
          <w:sz w:val="22"/>
          <w:lang w:eastAsia="en-AU"/>
        </w:rPr>
        <w:t>T</w:t>
      </w:r>
      <w:r w:rsidRPr="00BF09BA">
        <w:rPr>
          <w:rFonts w:asciiTheme="minorHAnsi" w:hAnsiTheme="minorHAnsi" w:cs="Arial"/>
          <w:color w:val="auto"/>
          <w:sz w:val="22"/>
          <w:lang w:eastAsia="en-AU"/>
        </w:rPr>
        <w:t xml:space="preserve">ransport is </w:t>
      </w:r>
      <w:r w:rsidR="0048563F">
        <w:rPr>
          <w:rFonts w:asciiTheme="minorHAnsi" w:hAnsiTheme="minorHAnsi" w:cs="Arial"/>
          <w:color w:val="auto"/>
          <w:sz w:val="22"/>
          <w:lang w:eastAsia="en-AU"/>
        </w:rPr>
        <w:t>A</w:t>
      </w:r>
      <w:r w:rsidRPr="00BF09BA">
        <w:rPr>
          <w:rFonts w:asciiTheme="minorHAnsi" w:hAnsiTheme="minorHAnsi" w:cs="Arial"/>
          <w:color w:val="auto"/>
          <w:sz w:val="22"/>
          <w:lang w:eastAsia="en-AU"/>
        </w:rPr>
        <w:t xml:space="preserve">lways </w:t>
      </w:r>
      <w:r w:rsidR="0048563F">
        <w:rPr>
          <w:rFonts w:asciiTheme="minorHAnsi" w:hAnsiTheme="minorHAnsi" w:cs="Arial"/>
          <w:color w:val="auto"/>
          <w:sz w:val="22"/>
          <w:lang w:eastAsia="en-AU"/>
        </w:rPr>
        <w:t>G</w:t>
      </w:r>
      <w:r w:rsidRPr="00BF09BA">
        <w:rPr>
          <w:rFonts w:asciiTheme="minorHAnsi" w:hAnsiTheme="minorHAnsi" w:cs="Arial"/>
          <w:color w:val="auto"/>
          <w:sz w:val="22"/>
          <w:lang w:eastAsia="en-AU"/>
        </w:rPr>
        <w:t xml:space="preserve">reener on the </w:t>
      </w:r>
      <w:r w:rsidR="0048563F">
        <w:rPr>
          <w:rFonts w:asciiTheme="minorHAnsi" w:hAnsiTheme="minorHAnsi" w:cs="Arial"/>
          <w:color w:val="auto"/>
          <w:sz w:val="22"/>
          <w:lang w:eastAsia="en-AU"/>
        </w:rPr>
        <w:t>O</w:t>
      </w:r>
      <w:r w:rsidRPr="00BF09BA">
        <w:rPr>
          <w:rFonts w:asciiTheme="minorHAnsi" w:hAnsiTheme="minorHAnsi" w:cs="Arial"/>
          <w:color w:val="auto"/>
          <w:sz w:val="22"/>
          <w:lang w:eastAsia="en-AU"/>
        </w:rPr>
        <w:t xml:space="preserve">ther </w:t>
      </w:r>
      <w:r w:rsidR="0048563F">
        <w:rPr>
          <w:rFonts w:asciiTheme="minorHAnsi" w:hAnsiTheme="minorHAnsi" w:cs="Arial"/>
          <w:color w:val="auto"/>
          <w:sz w:val="22"/>
          <w:lang w:eastAsia="en-AU"/>
        </w:rPr>
        <w:t>S</w:t>
      </w:r>
      <w:r w:rsidRPr="00BF09BA">
        <w:rPr>
          <w:rFonts w:asciiTheme="minorHAnsi" w:hAnsiTheme="minorHAnsi" w:cs="Arial"/>
          <w:color w:val="auto"/>
          <w:sz w:val="22"/>
          <w:lang w:eastAsia="en-AU"/>
        </w:rPr>
        <w:t xml:space="preserve">ide’, </w:t>
      </w:r>
      <w:r w:rsidRPr="00BF09BA">
        <w:rPr>
          <w:rFonts w:asciiTheme="minorHAnsi" w:hAnsiTheme="minorHAnsi" w:cs="Arial"/>
          <w:i/>
          <w:color w:val="auto"/>
          <w:sz w:val="22"/>
          <w:lang w:eastAsia="en-AU"/>
        </w:rPr>
        <w:t>The Conversation</w:t>
      </w:r>
      <w:r w:rsidRPr="00BF09BA">
        <w:rPr>
          <w:rFonts w:asciiTheme="minorHAnsi" w:hAnsiTheme="minorHAnsi" w:cs="Arial"/>
          <w:color w:val="auto"/>
          <w:sz w:val="22"/>
          <w:lang w:eastAsia="en-AU"/>
        </w:rPr>
        <w:t>, 10</w:t>
      </w:r>
      <w:r w:rsidR="00155E57">
        <w:rPr>
          <w:rFonts w:asciiTheme="minorHAnsi" w:hAnsiTheme="minorHAnsi" w:cs="Arial"/>
          <w:color w:val="auto"/>
          <w:sz w:val="22"/>
          <w:lang w:eastAsia="en-AU"/>
        </w:rPr>
        <w:t> </w:t>
      </w:r>
      <w:r w:rsidRPr="00BF09BA">
        <w:rPr>
          <w:rFonts w:asciiTheme="minorHAnsi" w:hAnsiTheme="minorHAnsi" w:cs="Arial"/>
          <w:color w:val="auto"/>
          <w:sz w:val="22"/>
          <w:lang w:eastAsia="en-AU"/>
        </w:rPr>
        <w:t xml:space="preserve">August, </w:t>
      </w:r>
      <w:r w:rsidR="00C067AD" w:rsidRPr="00BF09BA">
        <w:rPr>
          <w:rFonts w:asciiTheme="minorHAnsi" w:hAnsiTheme="minorHAnsi" w:cs="Arial"/>
          <w:color w:val="auto"/>
          <w:sz w:val="22"/>
          <w:lang w:eastAsia="en-AU"/>
        </w:rPr>
        <w:t xml:space="preserve">available at </w:t>
      </w:r>
      <w:hyperlink r:id="rId113" w:history="1">
        <w:r w:rsidRPr="00717E93">
          <w:rPr>
            <w:rStyle w:val="Hyperlink"/>
            <w:sz w:val="22"/>
          </w:rPr>
          <w:t>https://theconversation.com/public-transport-is-always-greener-on-the-other-side-44307</w:t>
        </w:r>
      </w:hyperlink>
      <w:r w:rsidRPr="00BF09BA">
        <w:rPr>
          <w:rFonts w:asciiTheme="minorHAnsi" w:hAnsiTheme="minorHAnsi"/>
          <w:color w:val="auto"/>
          <w:sz w:val="22"/>
          <w:lang w:eastAsia="en-AU"/>
        </w:rPr>
        <w:t>.</w:t>
      </w:r>
    </w:p>
    <w:p w14:paraId="61F9FBC4" w14:textId="77777777" w:rsidR="00AF6D19" w:rsidRPr="00B51BD5" w:rsidRDefault="00AF6D19">
      <w:pPr>
        <w:pStyle w:val="References"/>
        <w:jc w:val="left"/>
        <w:rPr>
          <w:rFonts w:asciiTheme="minorHAnsi" w:hAnsiTheme="minorHAnsi"/>
          <w:color w:val="auto"/>
          <w:sz w:val="22"/>
          <w:lang w:eastAsia="en-AU"/>
        </w:rPr>
      </w:pPr>
      <w:proofErr w:type="gramStart"/>
      <w:r w:rsidRPr="00B51BD5">
        <w:rPr>
          <w:rFonts w:asciiTheme="minorHAnsi" w:hAnsiTheme="minorHAnsi"/>
          <w:color w:val="auto"/>
          <w:sz w:val="22"/>
          <w:lang w:eastAsia="en-AU"/>
        </w:rPr>
        <w:t xml:space="preserve">Deloitte Access Economics &amp; </w:t>
      </w:r>
      <w:r w:rsidR="00247214" w:rsidRPr="00B51BD5">
        <w:rPr>
          <w:rFonts w:asciiTheme="minorHAnsi" w:hAnsiTheme="minorHAnsi"/>
          <w:color w:val="auto"/>
          <w:sz w:val="22"/>
          <w:lang w:eastAsia="en-AU"/>
        </w:rPr>
        <w:t xml:space="preserve">Department of Immigration and Border Protection </w:t>
      </w:r>
      <w:r w:rsidR="00DD45B3" w:rsidRPr="000D14B5">
        <w:rPr>
          <w:rFonts w:asciiTheme="minorHAnsi" w:hAnsiTheme="minorHAnsi"/>
          <w:color w:val="auto"/>
          <w:sz w:val="22"/>
          <w:lang w:eastAsia="en-AU"/>
        </w:rPr>
        <w:t>(DIBP</w:t>
      </w:r>
      <w:r w:rsidR="00DF0013" w:rsidRPr="0048563F">
        <w:rPr>
          <w:rFonts w:asciiTheme="minorHAnsi" w:hAnsiTheme="minorHAnsi"/>
          <w:color w:val="auto"/>
          <w:sz w:val="22"/>
          <w:lang w:eastAsia="en-AU"/>
        </w:rPr>
        <w:t>)</w:t>
      </w:r>
      <w:r w:rsidR="00DF0013">
        <w:rPr>
          <w:rFonts w:asciiTheme="minorHAnsi" w:hAnsiTheme="minorHAnsi"/>
          <w:color w:val="auto"/>
          <w:sz w:val="22"/>
          <w:lang w:eastAsia="en-AU"/>
        </w:rPr>
        <w:t xml:space="preserve"> 2016</w:t>
      </w:r>
      <w:r w:rsidR="00DF0013" w:rsidRPr="000D14B5">
        <w:rPr>
          <w:rFonts w:asciiTheme="minorHAnsi" w:hAnsiTheme="minorHAnsi"/>
          <w:color w:val="auto"/>
          <w:sz w:val="22"/>
          <w:lang w:eastAsia="en-AU"/>
        </w:rPr>
        <w:t>, unpublished data and modelling.</w:t>
      </w:r>
      <w:proofErr w:type="gramEnd"/>
    </w:p>
    <w:p w14:paraId="4E3C6FFC" w14:textId="6A1C3FEC" w:rsidR="004C0328" w:rsidRPr="00BF09BA" w:rsidRDefault="004C0328">
      <w:pPr>
        <w:pStyle w:val="References"/>
        <w:jc w:val="left"/>
        <w:rPr>
          <w:rFonts w:asciiTheme="minorHAnsi" w:hAnsiTheme="minorHAnsi" w:cs="Arial"/>
          <w:color w:val="auto"/>
          <w:sz w:val="22"/>
        </w:rPr>
      </w:pPr>
      <w:r w:rsidRPr="00BF09BA">
        <w:rPr>
          <w:rFonts w:asciiTheme="minorHAnsi" w:hAnsiTheme="minorHAnsi" w:cs="Arial"/>
          <w:color w:val="auto"/>
          <w:sz w:val="22"/>
        </w:rPr>
        <w:t>DIBP 2016</w:t>
      </w:r>
      <w:r w:rsidR="000840F7" w:rsidRPr="00BF09BA">
        <w:rPr>
          <w:rFonts w:asciiTheme="minorHAnsi" w:hAnsiTheme="minorHAnsi" w:cs="Arial"/>
          <w:color w:val="auto"/>
          <w:sz w:val="22"/>
        </w:rPr>
        <w:t>a</w:t>
      </w:r>
      <w:r w:rsidR="000840F7" w:rsidRPr="000D14B5">
        <w:rPr>
          <w:rFonts w:asciiTheme="minorHAnsi" w:hAnsiTheme="minorHAnsi"/>
          <w:color w:val="auto"/>
          <w:sz w:val="22"/>
        </w:rPr>
        <w:t xml:space="preserve">, </w:t>
      </w:r>
      <w:r w:rsidR="00E90AEF">
        <w:rPr>
          <w:rFonts w:asciiTheme="minorHAnsi" w:hAnsiTheme="minorHAnsi"/>
          <w:color w:val="auto"/>
          <w:sz w:val="22"/>
        </w:rPr>
        <w:t>‘</w:t>
      </w:r>
      <w:r w:rsidR="00DF0013" w:rsidRPr="00E90AEF">
        <w:rPr>
          <w:rFonts w:asciiTheme="minorHAnsi" w:hAnsiTheme="minorHAnsi" w:cs="Arial"/>
          <w:color w:val="auto"/>
          <w:sz w:val="22"/>
        </w:rPr>
        <w:t xml:space="preserve">Migration </w:t>
      </w:r>
      <w:r w:rsidR="00F51AB1" w:rsidRPr="00E90AEF">
        <w:rPr>
          <w:rFonts w:asciiTheme="minorHAnsi" w:hAnsiTheme="minorHAnsi" w:cs="Arial"/>
          <w:color w:val="auto"/>
          <w:sz w:val="22"/>
        </w:rPr>
        <w:t>P</w:t>
      </w:r>
      <w:r w:rsidR="000840F7" w:rsidRPr="00E90AEF">
        <w:rPr>
          <w:rFonts w:asciiTheme="minorHAnsi" w:hAnsiTheme="minorHAnsi"/>
          <w:color w:val="auto"/>
          <w:sz w:val="22"/>
        </w:rPr>
        <w:t xml:space="preserve">rogramme </w:t>
      </w:r>
      <w:r w:rsidR="00F51AB1" w:rsidRPr="00E90AEF">
        <w:rPr>
          <w:rFonts w:asciiTheme="minorHAnsi" w:hAnsiTheme="minorHAnsi" w:cs="Arial"/>
          <w:color w:val="auto"/>
          <w:sz w:val="22"/>
        </w:rPr>
        <w:t>S</w:t>
      </w:r>
      <w:r w:rsidR="000840F7" w:rsidRPr="00E90AEF">
        <w:rPr>
          <w:rFonts w:asciiTheme="minorHAnsi" w:hAnsiTheme="minorHAnsi"/>
          <w:color w:val="auto"/>
          <w:sz w:val="22"/>
        </w:rPr>
        <w:t>tatistics</w:t>
      </w:r>
      <w:r w:rsidR="00E90AEF">
        <w:rPr>
          <w:rFonts w:asciiTheme="minorHAnsi" w:hAnsiTheme="minorHAnsi"/>
          <w:color w:val="auto"/>
          <w:sz w:val="22"/>
        </w:rPr>
        <w:t>’</w:t>
      </w:r>
      <w:r w:rsidR="000840F7" w:rsidRPr="000D14B5">
        <w:rPr>
          <w:rFonts w:asciiTheme="minorHAnsi" w:hAnsiTheme="minorHAnsi"/>
          <w:i/>
          <w:color w:val="auto"/>
          <w:sz w:val="22"/>
        </w:rPr>
        <w:t xml:space="preserve">, </w:t>
      </w:r>
      <w:r w:rsidR="00E90AEF">
        <w:rPr>
          <w:rFonts w:asciiTheme="minorHAnsi" w:hAnsiTheme="minorHAnsi"/>
          <w:i/>
          <w:color w:val="auto"/>
          <w:sz w:val="22"/>
        </w:rPr>
        <w:t>DIBP: Research and</w:t>
      </w:r>
      <w:r w:rsidR="00E90AEF" w:rsidRPr="00E90AEF">
        <w:rPr>
          <w:rFonts w:asciiTheme="minorHAnsi" w:hAnsiTheme="minorHAnsi"/>
          <w:i/>
          <w:color w:val="auto"/>
          <w:sz w:val="22"/>
        </w:rPr>
        <w:t xml:space="preserve"> Statistics</w:t>
      </w:r>
      <w:r w:rsidR="00E90AEF">
        <w:rPr>
          <w:rFonts w:asciiTheme="minorHAnsi" w:hAnsiTheme="minorHAnsi"/>
          <w:color w:val="auto"/>
          <w:sz w:val="22"/>
        </w:rPr>
        <w:t xml:space="preserve">, </w:t>
      </w:r>
      <w:r w:rsidR="00DF4F57" w:rsidRPr="00E90AEF">
        <w:rPr>
          <w:rFonts w:asciiTheme="minorHAnsi" w:hAnsiTheme="minorHAnsi" w:cs="Arial"/>
          <w:color w:val="auto"/>
          <w:sz w:val="22"/>
        </w:rPr>
        <w:t>available</w:t>
      </w:r>
      <w:r w:rsidR="00DF4F57">
        <w:rPr>
          <w:rFonts w:asciiTheme="minorHAnsi" w:hAnsiTheme="minorHAnsi" w:cs="Arial"/>
          <w:color w:val="auto"/>
          <w:sz w:val="22"/>
        </w:rPr>
        <w:t xml:space="preserve"> at </w:t>
      </w:r>
      <w:hyperlink r:id="rId114" w:history="1">
        <w:r w:rsidR="00DF4F57" w:rsidRPr="00360269">
          <w:rPr>
            <w:rStyle w:val="Hyperlink"/>
            <w:sz w:val="22"/>
          </w:rPr>
          <w:t>https://www.border.gov.au/about/reports-publications/research-statistics/statistics/live-in-australia/migration-programme</w:t>
        </w:r>
      </w:hyperlink>
      <w:r w:rsidR="000A07A2">
        <w:rPr>
          <w:rFonts w:asciiTheme="minorHAnsi" w:hAnsiTheme="minorHAnsi" w:cs="Arial"/>
          <w:color w:val="auto"/>
          <w:sz w:val="22"/>
        </w:rPr>
        <w:t>.</w:t>
      </w:r>
    </w:p>
    <w:p w14:paraId="7FA0F1F5" w14:textId="77777777" w:rsidR="000840F7" w:rsidRDefault="000840F7">
      <w:pPr>
        <w:pStyle w:val="References"/>
        <w:jc w:val="left"/>
        <w:rPr>
          <w:rFonts w:asciiTheme="minorHAnsi" w:hAnsiTheme="minorHAnsi" w:cs="Arial"/>
          <w:color w:val="auto"/>
          <w:sz w:val="22"/>
        </w:rPr>
      </w:pPr>
      <w:r w:rsidRPr="00BF09BA">
        <w:rPr>
          <w:rFonts w:asciiTheme="minorHAnsi" w:hAnsiTheme="minorHAnsi" w:cs="Arial"/>
          <w:color w:val="auto"/>
          <w:sz w:val="22"/>
        </w:rPr>
        <w:t xml:space="preserve">DIBP 2016b, </w:t>
      </w:r>
      <w:r w:rsidR="00E90AEF">
        <w:rPr>
          <w:rFonts w:asciiTheme="minorHAnsi" w:hAnsiTheme="minorHAnsi" w:cs="Arial"/>
          <w:color w:val="auto"/>
          <w:sz w:val="22"/>
        </w:rPr>
        <w:t>‘</w:t>
      </w:r>
      <w:r w:rsidRPr="00E90AEF">
        <w:rPr>
          <w:rFonts w:asciiTheme="minorHAnsi" w:hAnsiTheme="minorHAnsi" w:cs="Arial"/>
          <w:color w:val="auto"/>
          <w:sz w:val="22"/>
        </w:rPr>
        <w:t xml:space="preserve">Temporary </w:t>
      </w:r>
      <w:r w:rsidR="00F51AB1" w:rsidRPr="00E90AEF">
        <w:rPr>
          <w:rFonts w:asciiTheme="minorHAnsi" w:hAnsiTheme="minorHAnsi" w:cs="Arial"/>
          <w:color w:val="auto"/>
          <w:sz w:val="22"/>
        </w:rPr>
        <w:t>E</w:t>
      </w:r>
      <w:r w:rsidRPr="00E90AEF">
        <w:rPr>
          <w:rFonts w:asciiTheme="minorHAnsi" w:hAnsiTheme="minorHAnsi" w:cs="Arial"/>
          <w:color w:val="auto"/>
          <w:sz w:val="22"/>
        </w:rPr>
        <w:t xml:space="preserve">ntrants in Australia </w:t>
      </w:r>
      <w:r w:rsidR="00BF09BA" w:rsidRPr="00E90AEF">
        <w:rPr>
          <w:rFonts w:asciiTheme="minorHAnsi" w:hAnsiTheme="minorHAnsi" w:cs="Arial"/>
          <w:color w:val="auto"/>
          <w:sz w:val="22"/>
        </w:rPr>
        <w:t>(</w:t>
      </w:r>
      <w:r w:rsidR="00F51AB1" w:rsidRPr="00E90AEF">
        <w:rPr>
          <w:rFonts w:asciiTheme="minorHAnsi" w:hAnsiTheme="minorHAnsi" w:cs="Arial"/>
          <w:color w:val="auto"/>
          <w:sz w:val="22"/>
        </w:rPr>
        <w:t>S</w:t>
      </w:r>
      <w:r w:rsidR="00BF09BA" w:rsidRPr="00E90AEF">
        <w:rPr>
          <w:rFonts w:asciiTheme="minorHAnsi" w:hAnsiTheme="minorHAnsi" w:cs="Arial"/>
          <w:color w:val="auto"/>
          <w:sz w:val="22"/>
        </w:rPr>
        <w:t xml:space="preserve">tock </w:t>
      </w:r>
      <w:r w:rsidR="00F51AB1" w:rsidRPr="00E90AEF">
        <w:rPr>
          <w:rFonts w:asciiTheme="minorHAnsi" w:hAnsiTheme="minorHAnsi" w:cs="Arial"/>
          <w:color w:val="auto"/>
          <w:sz w:val="22"/>
        </w:rPr>
        <w:t>D</w:t>
      </w:r>
      <w:r w:rsidR="00BF09BA" w:rsidRPr="00E90AEF">
        <w:rPr>
          <w:rFonts w:asciiTheme="minorHAnsi" w:hAnsiTheme="minorHAnsi" w:cs="Arial"/>
          <w:color w:val="auto"/>
          <w:sz w:val="22"/>
        </w:rPr>
        <w:t xml:space="preserve">ata) </w:t>
      </w:r>
      <w:r w:rsidR="00F51AB1" w:rsidRPr="00E90AEF">
        <w:rPr>
          <w:rFonts w:asciiTheme="minorHAnsi" w:hAnsiTheme="minorHAnsi" w:cs="Arial"/>
          <w:color w:val="auto"/>
          <w:sz w:val="22"/>
        </w:rPr>
        <w:t>S</w:t>
      </w:r>
      <w:r w:rsidR="00BF09BA" w:rsidRPr="00E90AEF">
        <w:rPr>
          <w:rFonts w:asciiTheme="minorHAnsi" w:hAnsiTheme="minorHAnsi" w:cs="Arial"/>
          <w:color w:val="auto"/>
          <w:sz w:val="22"/>
        </w:rPr>
        <w:t>tatistics</w:t>
      </w:r>
      <w:r w:rsidR="00E90AEF">
        <w:rPr>
          <w:rFonts w:asciiTheme="minorHAnsi" w:hAnsiTheme="minorHAnsi" w:cs="Arial"/>
          <w:color w:val="auto"/>
          <w:sz w:val="22"/>
        </w:rPr>
        <w:t>’</w:t>
      </w:r>
      <w:r w:rsidRPr="00BF09BA">
        <w:rPr>
          <w:rFonts w:asciiTheme="minorHAnsi" w:hAnsiTheme="minorHAnsi" w:cs="Arial"/>
          <w:color w:val="auto"/>
          <w:sz w:val="22"/>
        </w:rPr>
        <w:t xml:space="preserve">, </w:t>
      </w:r>
      <w:r w:rsidR="00E90AEF" w:rsidRPr="00E90AEF">
        <w:rPr>
          <w:rFonts w:asciiTheme="minorHAnsi" w:hAnsiTheme="minorHAnsi" w:cs="Arial"/>
          <w:i/>
          <w:color w:val="auto"/>
          <w:sz w:val="22"/>
        </w:rPr>
        <w:t>DIBP: Research and Statistics</w:t>
      </w:r>
      <w:r w:rsidR="00E90AEF">
        <w:rPr>
          <w:rFonts w:asciiTheme="minorHAnsi" w:hAnsiTheme="minorHAnsi" w:cs="Arial"/>
          <w:color w:val="auto"/>
          <w:sz w:val="22"/>
        </w:rPr>
        <w:t>,</w:t>
      </w:r>
      <w:r w:rsidR="00E90AEF" w:rsidRPr="00E90AEF">
        <w:rPr>
          <w:rFonts w:asciiTheme="minorHAnsi" w:hAnsiTheme="minorHAnsi" w:cs="Arial"/>
          <w:color w:val="auto"/>
          <w:sz w:val="22"/>
        </w:rPr>
        <w:t xml:space="preserve"> </w:t>
      </w:r>
      <w:r w:rsidR="00DF4F57">
        <w:rPr>
          <w:rFonts w:asciiTheme="minorHAnsi" w:hAnsiTheme="minorHAnsi" w:cs="Arial"/>
          <w:color w:val="auto"/>
          <w:sz w:val="22"/>
        </w:rPr>
        <w:t xml:space="preserve">available at </w:t>
      </w:r>
      <w:hyperlink r:id="rId115" w:history="1">
        <w:r w:rsidR="00A863BE" w:rsidRPr="00350EE9">
          <w:rPr>
            <w:rStyle w:val="Hyperlink"/>
            <w:rFonts w:asciiTheme="minorHAnsi" w:hAnsiTheme="minorHAnsi" w:cs="Arial"/>
            <w:sz w:val="22"/>
          </w:rPr>
          <w:t>https://www.border.gov.au/about/reports-publications/research-statistics/statistics/live-in-australia/temporary-entrants-in-australia</w:t>
        </w:r>
      </w:hyperlink>
      <w:r w:rsidR="00F51AB1">
        <w:rPr>
          <w:rFonts w:asciiTheme="minorHAnsi" w:hAnsiTheme="minorHAnsi" w:cs="Arial"/>
          <w:color w:val="auto"/>
          <w:sz w:val="22"/>
        </w:rPr>
        <w:t>.</w:t>
      </w:r>
    </w:p>
    <w:p w14:paraId="5C6F34EB" w14:textId="77777777" w:rsidR="00A863BE" w:rsidRPr="00BF09BA" w:rsidRDefault="00CE789F">
      <w:pPr>
        <w:pStyle w:val="References"/>
        <w:jc w:val="left"/>
        <w:rPr>
          <w:rFonts w:asciiTheme="minorHAnsi" w:hAnsiTheme="minorHAnsi"/>
          <w:color w:val="auto"/>
          <w:sz w:val="22"/>
        </w:rPr>
      </w:pPr>
      <w:r>
        <w:rPr>
          <w:rFonts w:asciiTheme="minorHAnsi" w:hAnsiTheme="minorHAnsi" w:cs="Arial"/>
          <w:color w:val="auto"/>
          <w:sz w:val="22"/>
        </w:rPr>
        <w:t>DIBP</w:t>
      </w:r>
      <w:r w:rsidR="00A863BE">
        <w:rPr>
          <w:rFonts w:asciiTheme="minorHAnsi" w:hAnsiTheme="minorHAnsi" w:cs="Arial"/>
          <w:color w:val="auto"/>
          <w:sz w:val="22"/>
        </w:rPr>
        <w:t xml:space="preserve"> 2016c, </w:t>
      </w:r>
      <w:r w:rsidR="00A863BE">
        <w:rPr>
          <w:rFonts w:asciiTheme="minorHAnsi" w:hAnsiTheme="minorHAnsi"/>
          <w:i/>
          <w:color w:val="auto"/>
          <w:sz w:val="22"/>
        </w:rPr>
        <w:t xml:space="preserve">The </w:t>
      </w:r>
      <w:r w:rsidR="00A863BE" w:rsidRPr="00C67120">
        <w:rPr>
          <w:rFonts w:asciiTheme="minorHAnsi" w:hAnsiTheme="minorHAnsi"/>
          <w:i/>
          <w:color w:val="auto"/>
          <w:sz w:val="22"/>
        </w:rPr>
        <w:t>Continuous Survey of Australia’s Migrants,</w:t>
      </w:r>
      <w:r w:rsidR="00A863BE">
        <w:rPr>
          <w:rFonts w:asciiTheme="minorHAnsi" w:hAnsiTheme="minorHAnsi"/>
          <w:color w:val="auto"/>
          <w:sz w:val="22"/>
        </w:rPr>
        <w:t xml:space="preserve"> </w:t>
      </w:r>
      <w:r w:rsidR="00620C54">
        <w:rPr>
          <w:rFonts w:asciiTheme="minorHAnsi" w:hAnsiTheme="minorHAnsi"/>
          <w:color w:val="auto"/>
          <w:sz w:val="22"/>
        </w:rPr>
        <w:t xml:space="preserve">multiple releases, </w:t>
      </w:r>
      <w:r w:rsidR="00A863BE">
        <w:rPr>
          <w:rFonts w:asciiTheme="minorHAnsi" w:hAnsiTheme="minorHAnsi"/>
          <w:color w:val="auto"/>
          <w:sz w:val="22"/>
        </w:rPr>
        <w:t>report</w:t>
      </w:r>
      <w:r w:rsidR="00292B1C">
        <w:rPr>
          <w:rFonts w:asciiTheme="minorHAnsi" w:hAnsiTheme="minorHAnsi"/>
          <w:color w:val="auto"/>
          <w:sz w:val="22"/>
        </w:rPr>
        <w:t>s</w:t>
      </w:r>
      <w:r w:rsidR="00A863BE">
        <w:rPr>
          <w:rFonts w:asciiTheme="minorHAnsi" w:hAnsiTheme="minorHAnsi"/>
          <w:color w:val="auto"/>
          <w:sz w:val="22"/>
        </w:rPr>
        <w:t xml:space="preserve"> by the Australian Government Department of Immigration and Citizenship</w:t>
      </w:r>
      <w:r w:rsidR="00292B1C">
        <w:rPr>
          <w:rFonts w:asciiTheme="minorHAnsi" w:hAnsiTheme="minorHAnsi"/>
          <w:color w:val="auto"/>
          <w:sz w:val="22"/>
        </w:rPr>
        <w:t>/Department of Immigration and Border Protection</w:t>
      </w:r>
      <w:r w:rsidR="00A863BE">
        <w:rPr>
          <w:rFonts w:asciiTheme="minorHAnsi" w:hAnsiTheme="minorHAnsi"/>
          <w:color w:val="auto"/>
          <w:sz w:val="22"/>
        </w:rPr>
        <w:t>, Canberra.</w:t>
      </w:r>
    </w:p>
    <w:p w14:paraId="314E1162" w14:textId="77777777" w:rsidR="002B6D9C" w:rsidRDefault="00DD20CE" w:rsidP="002B6D9C">
      <w:pPr>
        <w:pStyle w:val="References"/>
        <w:jc w:val="left"/>
        <w:rPr>
          <w:rFonts w:asciiTheme="minorHAnsi" w:hAnsiTheme="minorHAnsi" w:cs="Arial"/>
          <w:color w:val="auto"/>
          <w:sz w:val="22"/>
        </w:rPr>
      </w:pPr>
      <w:proofErr w:type="gramStart"/>
      <w:r>
        <w:rPr>
          <w:rFonts w:asciiTheme="minorHAnsi" w:hAnsiTheme="minorHAnsi" w:cs="Arial"/>
          <w:color w:val="auto"/>
          <w:sz w:val="22"/>
        </w:rPr>
        <w:t>Home Affairs</w:t>
      </w:r>
      <w:r w:rsidRPr="005F358F">
        <w:rPr>
          <w:rFonts w:asciiTheme="minorHAnsi" w:hAnsiTheme="minorHAnsi" w:cs="Arial"/>
          <w:color w:val="auto"/>
          <w:sz w:val="22"/>
        </w:rPr>
        <w:t xml:space="preserve"> </w:t>
      </w:r>
      <w:r w:rsidR="002B6D9C" w:rsidRPr="005F358F">
        <w:rPr>
          <w:rFonts w:asciiTheme="minorHAnsi" w:hAnsiTheme="minorHAnsi" w:cs="Arial"/>
          <w:color w:val="auto"/>
          <w:sz w:val="22"/>
        </w:rPr>
        <w:t>2017, unpublished data.</w:t>
      </w:r>
      <w:proofErr w:type="gramEnd"/>
    </w:p>
    <w:p w14:paraId="1AFDB9AA" w14:textId="77777777" w:rsidR="0059098E" w:rsidRPr="00BF09BA" w:rsidRDefault="0059098E">
      <w:pPr>
        <w:pStyle w:val="References"/>
        <w:jc w:val="left"/>
        <w:rPr>
          <w:rFonts w:asciiTheme="minorHAnsi" w:hAnsiTheme="minorHAnsi"/>
          <w:color w:val="auto"/>
          <w:sz w:val="22"/>
        </w:rPr>
      </w:pPr>
      <w:proofErr w:type="spellStart"/>
      <w:proofErr w:type="gramStart"/>
      <w:r w:rsidRPr="00BF09BA">
        <w:rPr>
          <w:rFonts w:asciiTheme="minorHAnsi" w:hAnsiTheme="minorHAnsi"/>
          <w:color w:val="auto"/>
          <w:sz w:val="22"/>
        </w:rPr>
        <w:t>Docquier</w:t>
      </w:r>
      <w:proofErr w:type="spellEnd"/>
      <w:r w:rsidRPr="00BF09BA">
        <w:rPr>
          <w:rFonts w:asciiTheme="minorHAnsi" w:hAnsiTheme="minorHAnsi"/>
          <w:color w:val="auto"/>
          <w:sz w:val="22"/>
        </w:rPr>
        <w:t xml:space="preserve">, F &amp; Machado, J 2016, ‘Global </w:t>
      </w:r>
      <w:r w:rsidR="0048563F">
        <w:rPr>
          <w:rFonts w:asciiTheme="minorHAnsi" w:hAnsiTheme="minorHAnsi"/>
          <w:color w:val="auto"/>
          <w:sz w:val="22"/>
        </w:rPr>
        <w:t>C</w:t>
      </w:r>
      <w:r w:rsidR="0048563F" w:rsidRPr="00BF09BA">
        <w:rPr>
          <w:rFonts w:asciiTheme="minorHAnsi" w:hAnsiTheme="minorHAnsi"/>
          <w:color w:val="auto"/>
          <w:sz w:val="22"/>
        </w:rPr>
        <w:t xml:space="preserve">ompetition </w:t>
      </w:r>
      <w:r w:rsidRPr="00BF09BA">
        <w:rPr>
          <w:rFonts w:asciiTheme="minorHAnsi" w:hAnsiTheme="minorHAnsi"/>
          <w:color w:val="auto"/>
          <w:sz w:val="22"/>
        </w:rPr>
        <w:t xml:space="preserve">for </w:t>
      </w:r>
      <w:r w:rsidR="0048563F">
        <w:rPr>
          <w:rFonts w:asciiTheme="minorHAnsi" w:hAnsiTheme="minorHAnsi"/>
          <w:color w:val="auto"/>
          <w:sz w:val="22"/>
        </w:rPr>
        <w:t>A</w:t>
      </w:r>
      <w:r w:rsidR="0048563F" w:rsidRPr="00BF09BA">
        <w:rPr>
          <w:rFonts w:asciiTheme="minorHAnsi" w:hAnsiTheme="minorHAnsi"/>
          <w:color w:val="auto"/>
          <w:sz w:val="22"/>
        </w:rPr>
        <w:t xml:space="preserve">ttracting </w:t>
      </w:r>
      <w:r w:rsidR="0048563F">
        <w:rPr>
          <w:rFonts w:asciiTheme="minorHAnsi" w:hAnsiTheme="minorHAnsi"/>
          <w:color w:val="auto"/>
          <w:sz w:val="22"/>
        </w:rPr>
        <w:t>T</w:t>
      </w:r>
      <w:r w:rsidR="0048563F" w:rsidRPr="00BF09BA">
        <w:rPr>
          <w:rFonts w:asciiTheme="minorHAnsi" w:hAnsiTheme="minorHAnsi"/>
          <w:color w:val="auto"/>
          <w:sz w:val="22"/>
        </w:rPr>
        <w:t xml:space="preserve">alents </w:t>
      </w:r>
      <w:r w:rsidRPr="00BF09BA">
        <w:rPr>
          <w:rFonts w:asciiTheme="minorHAnsi" w:hAnsiTheme="minorHAnsi"/>
          <w:color w:val="auto"/>
          <w:sz w:val="22"/>
        </w:rPr>
        <w:t xml:space="preserve">and the </w:t>
      </w:r>
      <w:r w:rsidR="0048563F">
        <w:rPr>
          <w:rFonts w:asciiTheme="minorHAnsi" w:hAnsiTheme="minorHAnsi"/>
          <w:color w:val="auto"/>
          <w:sz w:val="22"/>
        </w:rPr>
        <w:t>W</w:t>
      </w:r>
      <w:r w:rsidR="0048563F" w:rsidRPr="00BF09BA">
        <w:rPr>
          <w:rFonts w:asciiTheme="minorHAnsi" w:hAnsiTheme="minorHAnsi"/>
          <w:color w:val="auto"/>
          <w:sz w:val="22"/>
        </w:rPr>
        <w:t xml:space="preserve">orld </w:t>
      </w:r>
      <w:r w:rsidR="0048563F">
        <w:rPr>
          <w:rFonts w:asciiTheme="minorHAnsi" w:hAnsiTheme="minorHAnsi"/>
          <w:color w:val="auto"/>
          <w:sz w:val="22"/>
        </w:rPr>
        <w:t>E</w:t>
      </w:r>
      <w:r w:rsidR="0048563F" w:rsidRPr="00BF09BA">
        <w:rPr>
          <w:rFonts w:asciiTheme="minorHAnsi" w:hAnsiTheme="minorHAnsi"/>
          <w:color w:val="auto"/>
          <w:sz w:val="22"/>
        </w:rPr>
        <w:t>conomy’</w:t>
      </w:r>
      <w:r w:rsidRPr="00BF09BA">
        <w:rPr>
          <w:rFonts w:asciiTheme="minorHAnsi" w:hAnsiTheme="minorHAnsi"/>
          <w:color w:val="auto"/>
          <w:sz w:val="22"/>
        </w:rPr>
        <w:t xml:space="preserve">, </w:t>
      </w:r>
      <w:r w:rsidRPr="00BF09BA">
        <w:rPr>
          <w:rFonts w:asciiTheme="minorHAnsi" w:hAnsiTheme="minorHAnsi"/>
          <w:i/>
          <w:color w:val="auto"/>
          <w:sz w:val="22"/>
        </w:rPr>
        <w:t>The World Economy</w:t>
      </w:r>
      <w:r w:rsidRPr="00BF09BA">
        <w:rPr>
          <w:rFonts w:asciiTheme="minorHAnsi" w:hAnsiTheme="minorHAnsi"/>
          <w:color w:val="auto"/>
          <w:sz w:val="22"/>
        </w:rPr>
        <w:t>, vol. 39, no. 4, pp. 530-542</w:t>
      </w:r>
      <w:r w:rsidR="000A07A2">
        <w:rPr>
          <w:rFonts w:asciiTheme="minorHAnsi" w:hAnsiTheme="minorHAnsi"/>
          <w:color w:val="auto"/>
          <w:sz w:val="22"/>
          <w:lang w:val="en"/>
        </w:rPr>
        <w:t>.</w:t>
      </w:r>
      <w:proofErr w:type="gramEnd"/>
    </w:p>
    <w:p w14:paraId="12C8792A" w14:textId="77777777" w:rsidR="00DF4F57" w:rsidRDefault="00E45081">
      <w:pPr>
        <w:pStyle w:val="References"/>
        <w:jc w:val="left"/>
        <w:rPr>
          <w:rFonts w:asciiTheme="minorHAnsi" w:hAnsiTheme="minorHAnsi"/>
          <w:color w:val="auto"/>
          <w:sz w:val="22"/>
        </w:rPr>
      </w:pPr>
      <w:proofErr w:type="gramStart"/>
      <w:r w:rsidRPr="00E45081">
        <w:rPr>
          <w:rFonts w:asciiTheme="minorHAnsi" w:hAnsiTheme="minorHAnsi"/>
          <w:color w:val="auto"/>
          <w:sz w:val="22"/>
        </w:rPr>
        <w:t>Dolman, B 2008</w:t>
      </w:r>
      <w:r w:rsidR="00DF4F57" w:rsidRPr="00292B1C">
        <w:rPr>
          <w:rFonts w:asciiTheme="minorHAnsi" w:hAnsiTheme="minorHAnsi"/>
          <w:color w:val="auto"/>
          <w:sz w:val="22"/>
        </w:rPr>
        <w:t>,</w:t>
      </w:r>
      <w:r w:rsidRPr="00292B1C">
        <w:rPr>
          <w:rFonts w:asciiTheme="minorHAnsi" w:hAnsiTheme="minorHAnsi"/>
          <w:color w:val="auto"/>
          <w:sz w:val="22"/>
        </w:rPr>
        <w:t xml:space="preserve"> </w:t>
      </w:r>
      <w:r w:rsidRPr="00292B1C">
        <w:rPr>
          <w:rFonts w:asciiTheme="minorHAnsi" w:hAnsiTheme="minorHAnsi"/>
          <w:i/>
          <w:sz w:val="22"/>
        </w:rPr>
        <w:t xml:space="preserve">Migration, </w:t>
      </w:r>
      <w:r w:rsidR="00DF4F57" w:rsidRPr="00292B1C">
        <w:rPr>
          <w:rFonts w:asciiTheme="minorHAnsi" w:hAnsiTheme="minorHAnsi"/>
          <w:i/>
          <w:sz w:val="22"/>
        </w:rPr>
        <w:t>T</w:t>
      </w:r>
      <w:r w:rsidRPr="00292B1C">
        <w:rPr>
          <w:rFonts w:asciiTheme="minorHAnsi" w:hAnsiTheme="minorHAnsi"/>
          <w:i/>
          <w:sz w:val="22"/>
        </w:rPr>
        <w:t xml:space="preserve">rade and </w:t>
      </w:r>
      <w:r w:rsidR="00DF4F57" w:rsidRPr="00292B1C">
        <w:rPr>
          <w:rFonts w:asciiTheme="minorHAnsi" w:hAnsiTheme="minorHAnsi"/>
          <w:i/>
          <w:sz w:val="22"/>
        </w:rPr>
        <w:t>I</w:t>
      </w:r>
      <w:r w:rsidRPr="00292B1C">
        <w:rPr>
          <w:rFonts w:asciiTheme="minorHAnsi" w:hAnsiTheme="minorHAnsi"/>
          <w:i/>
          <w:sz w:val="22"/>
        </w:rPr>
        <w:t>nvestment</w:t>
      </w:r>
      <w:r w:rsidRPr="00292B1C">
        <w:rPr>
          <w:rFonts w:asciiTheme="minorHAnsi" w:hAnsiTheme="minorHAnsi"/>
          <w:color w:val="auto"/>
          <w:sz w:val="22"/>
        </w:rPr>
        <w:t>,</w:t>
      </w:r>
      <w:r w:rsidRPr="00E45081">
        <w:rPr>
          <w:rFonts w:asciiTheme="minorHAnsi" w:hAnsiTheme="minorHAnsi"/>
          <w:color w:val="auto"/>
          <w:sz w:val="22"/>
        </w:rPr>
        <w:t xml:space="preserve"> Productivity Commission </w:t>
      </w:r>
      <w:r w:rsidR="00AE410B">
        <w:rPr>
          <w:rFonts w:asciiTheme="minorHAnsi" w:hAnsiTheme="minorHAnsi"/>
          <w:color w:val="auto"/>
          <w:sz w:val="22"/>
        </w:rPr>
        <w:t>w</w:t>
      </w:r>
      <w:r w:rsidRPr="00E45081">
        <w:rPr>
          <w:rFonts w:asciiTheme="minorHAnsi" w:hAnsiTheme="minorHAnsi"/>
          <w:color w:val="auto"/>
          <w:sz w:val="22"/>
        </w:rPr>
        <w:t xml:space="preserve">orking </w:t>
      </w:r>
      <w:r w:rsidR="00AE410B">
        <w:rPr>
          <w:rFonts w:asciiTheme="minorHAnsi" w:hAnsiTheme="minorHAnsi"/>
          <w:color w:val="auto"/>
          <w:sz w:val="22"/>
        </w:rPr>
        <w:t>p</w:t>
      </w:r>
      <w:r w:rsidR="000A07A2">
        <w:rPr>
          <w:rFonts w:asciiTheme="minorHAnsi" w:hAnsiTheme="minorHAnsi"/>
          <w:color w:val="auto"/>
          <w:sz w:val="22"/>
        </w:rPr>
        <w:t>aper, Canberra.</w:t>
      </w:r>
      <w:proofErr w:type="gramEnd"/>
    </w:p>
    <w:p w14:paraId="2FDD01E5" w14:textId="77777777" w:rsidR="0059098E" w:rsidRPr="00BF09BA" w:rsidRDefault="0059098E">
      <w:pPr>
        <w:pStyle w:val="References"/>
        <w:jc w:val="left"/>
        <w:rPr>
          <w:rFonts w:asciiTheme="minorHAnsi" w:hAnsiTheme="minorHAnsi"/>
          <w:color w:val="auto"/>
          <w:sz w:val="22"/>
        </w:rPr>
      </w:pPr>
      <w:proofErr w:type="spellStart"/>
      <w:r w:rsidRPr="00BF09BA">
        <w:rPr>
          <w:rFonts w:asciiTheme="minorHAnsi" w:hAnsiTheme="minorHAnsi"/>
          <w:color w:val="auto"/>
          <w:sz w:val="22"/>
        </w:rPr>
        <w:t>Döring</w:t>
      </w:r>
      <w:proofErr w:type="spellEnd"/>
      <w:r w:rsidR="00DF4F57">
        <w:rPr>
          <w:rFonts w:asciiTheme="minorHAnsi" w:hAnsiTheme="minorHAnsi"/>
          <w:color w:val="auto"/>
          <w:sz w:val="22"/>
        </w:rPr>
        <w:t>, T</w:t>
      </w:r>
      <w:r w:rsidRPr="00BF09BA">
        <w:rPr>
          <w:rFonts w:asciiTheme="minorHAnsi" w:hAnsiTheme="minorHAnsi"/>
          <w:color w:val="auto"/>
          <w:sz w:val="22"/>
        </w:rPr>
        <w:t xml:space="preserve"> &amp; </w:t>
      </w:r>
      <w:proofErr w:type="spellStart"/>
      <w:r w:rsidRPr="00BF09BA">
        <w:rPr>
          <w:rFonts w:asciiTheme="minorHAnsi" w:hAnsiTheme="minorHAnsi"/>
          <w:color w:val="auto"/>
          <w:sz w:val="22"/>
        </w:rPr>
        <w:t>Schnellenbach</w:t>
      </w:r>
      <w:proofErr w:type="spellEnd"/>
      <w:r w:rsidR="00DF4F57">
        <w:rPr>
          <w:rFonts w:asciiTheme="minorHAnsi" w:hAnsiTheme="minorHAnsi"/>
          <w:color w:val="auto"/>
          <w:sz w:val="22"/>
        </w:rPr>
        <w:t>, J</w:t>
      </w:r>
      <w:r w:rsidRPr="00BF09BA">
        <w:rPr>
          <w:rFonts w:asciiTheme="minorHAnsi" w:hAnsiTheme="minorHAnsi"/>
          <w:color w:val="auto"/>
          <w:sz w:val="22"/>
        </w:rPr>
        <w:t xml:space="preserve"> </w:t>
      </w:r>
      <w:hyperlink r:id="rId116" w:anchor="CR13" w:tooltip="View reference" w:history="1">
        <w:r w:rsidRPr="00BF09BA">
          <w:rPr>
            <w:rFonts w:asciiTheme="minorHAnsi" w:hAnsiTheme="minorHAnsi"/>
            <w:color w:val="auto"/>
            <w:sz w:val="22"/>
          </w:rPr>
          <w:t>2006</w:t>
        </w:r>
      </w:hyperlink>
      <w:r w:rsidRPr="00BF09BA">
        <w:rPr>
          <w:rFonts w:asciiTheme="minorHAnsi" w:hAnsiTheme="minorHAnsi"/>
          <w:color w:val="auto"/>
          <w:sz w:val="22"/>
        </w:rPr>
        <w:t xml:space="preserve">, ‘What do </w:t>
      </w:r>
      <w:r w:rsidR="0048563F">
        <w:rPr>
          <w:rFonts w:asciiTheme="minorHAnsi" w:hAnsiTheme="minorHAnsi"/>
          <w:color w:val="auto"/>
          <w:sz w:val="22"/>
        </w:rPr>
        <w:t>W</w:t>
      </w:r>
      <w:r w:rsidR="0048563F" w:rsidRPr="00BF09BA">
        <w:rPr>
          <w:rFonts w:asciiTheme="minorHAnsi" w:hAnsiTheme="minorHAnsi"/>
          <w:color w:val="auto"/>
          <w:sz w:val="22"/>
        </w:rPr>
        <w:t xml:space="preserve">e </w:t>
      </w:r>
      <w:r w:rsidR="0048563F">
        <w:rPr>
          <w:rFonts w:asciiTheme="minorHAnsi" w:hAnsiTheme="minorHAnsi"/>
          <w:color w:val="auto"/>
          <w:sz w:val="22"/>
        </w:rPr>
        <w:t>K</w:t>
      </w:r>
      <w:r w:rsidR="0048563F" w:rsidRPr="00BF09BA">
        <w:rPr>
          <w:rFonts w:asciiTheme="minorHAnsi" w:hAnsiTheme="minorHAnsi"/>
          <w:color w:val="auto"/>
          <w:sz w:val="22"/>
        </w:rPr>
        <w:t>now</w:t>
      </w:r>
      <w:r w:rsidRPr="00BF09BA">
        <w:rPr>
          <w:rFonts w:asciiTheme="minorHAnsi" w:hAnsiTheme="minorHAnsi"/>
          <w:color w:val="auto"/>
          <w:sz w:val="22"/>
        </w:rPr>
        <w:t xml:space="preserve"> about </w:t>
      </w:r>
      <w:r w:rsidR="0048563F">
        <w:rPr>
          <w:rFonts w:asciiTheme="minorHAnsi" w:hAnsiTheme="minorHAnsi"/>
          <w:color w:val="auto"/>
          <w:sz w:val="22"/>
        </w:rPr>
        <w:t>G</w:t>
      </w:r>
      <w:r w:rsidR="0048563F" w:rsidRPr="00BF09BA">
        <w:rPr>
          <w:rFonts w:asciiTheme="minorHAnsi" w:hAnsiTheme="minorHAnsi"/>
          <w:color w:val="auto"/>
          <w:sz w:val="22"/>
        </w:rPr>
        <w:t xml:space="preserve">eographical </w:t>
      </w:r>
      <w:r w:rsidR="0048563F">
        <w:rPr>
          <w:rFonts w:asciiTheme="minorHAnsi" w:hAnsiTheme="minorHAnsi"/>
          <w:color w:val="auto"/>
          <w:sz w:val="22"/>
        </w:rPr>
        <w:t>K</w:t>
      </w:r>
      <w:r w:rsidR="0048563F" w:rsidRPr="00BF09BA">
        <w:rPr>
          <w:rFonts w:asciiTheme="minorHAnsi" w:hAnsiTheme="minorHAnsi"/>
          <w:color w:val="auto"/>
          <w:sz w:val="22"/>
        </w:rPr>
        <w:t xml:space="preserve">nowledge </w:t>
      </w:r>
      <w:proofErr w:type="spellStart"/>
      <w:r w:rsidR="0048563F">
        <w:rPr>
          <w:rFonts w:asciiTheme="minorHAnsi" w:hAnsiTheme="minorHAnsi"/>
          <w:color w:val="auto"/>
          <w:sz w:val="22"/>
        </w:rPr>
        <w:t>S</w:t>
      </w:r>
      <w:r w:rsidR="0048563F" w:rsidRPr="00BF09BA">
        <w:rPr>
          <w:rFonts w:asciiTheme="minorHAnsi" w:hAnsiTheme="minorHAnsi"/>
          <w:color w:val="auto"/>
          <w:sz w:val="22"/>
        </w:rPr>
        <w:t>pillovers</w:t>
      </w:r>
      <w:proofErr w:type="spellEnd"/>
      <w:r w:rsidR="0048563F" w:rsidRPr="00BF09BA">
        <w:rPr>
          <w:rFonts w:asciiTheme="minorHAnsi" w:hAnsiTheme="minorHAnsi"/>
          <w:color w:val="auto"/>
          <w:sz w:val="22"/>
        </w:rPr>
        <w:t xml:space="preserve"> </w:t>
      </w:r>
      <w:r w:rsidRPr="00BF09BA">
        <w:rPr>
          <w:rFonts w:asciiTheme="minorHAnsi" w:hAnsiTheme="minorHAnsi"/>
          <w:color w:val="auto"/>
          <w:sz w:val="22"/>
        </w:rPr>
        <w:t xml:space="preserve">and </w:t>
      </w:r>
      <w:r w:rsidR="0048563F">
        <w:rPr>
          <w:rFonts w:asciiTheme="minorHAnsi" w:hAnsiTheme="minorHAnsi"/>
          <w:color w:val="auto"/>
          <w:sz w:val="22"/>
        </w:rPr>
        <w:t>R</w:t>
      </w:r>
      <w:r w:rsidR="0048563F" w:rsidRPr="00BF09BA">
        <w:rPr>
          <w:rFonts w:asciiTheme="minorHAnsi" w:hAnsiTheme="minorHAnsi"/>
          <w:color w:val="auto"/>
          <w:sz w:val="22"/>
        </w:rPr>
        <w:t xml:space="preserve">egional </w:t>
      </w:r>
      <w:r w:rsidR="0048563F">
        <w:rPr>
          <w:rFonts w:asciiTheme="minorHAnsi" w:hAnsiTheme="minorHAnsi"/>
          <w:color w:val="auto"/>
          <w:sz w:val="22"/>
        </w:rPr>
        <w:t>G</w:t>
      </w:r>
      <w:r w:rsidR="0048563F" w:rsidRPr="00BF09BA">
        <w:rPr>
          <w:rFonts w:asciiTheme="minorHAnsi" w:hAnsiTheme="minorHAnsi"/>
          <w:color w:val="auto"/>
          <w:sz w:val="22"/>
        </w:rPr>
        <w:t>rowth</w:t>
      </w:r>
      <w:proofErr w:type="gramStart"/>
      <w:r w:rsidRPr="00BF09BA">
        <w:rPr>
          <w:rFonts w:asciiTheme="minorHAnsi" w:hAnsiTheme="minorHAnsi"/>
          <w:color w:val="auto"/>
          <w:sz w:val="22"/>
        </w:rPr>
        <w:t>?:</w:t>
      </w:r>
      <w:proofErr w:type="gramEnd"/>
      <w:r w:rsidRPr="00BF09BA">
        <w:rPr>
          <w:rFonts w:asciiTheme="minorHAnsi" w:hAnsiTheme="minorHAnsi"/>
          <w:color w:val="auto"/>
          <w:sz w:val="22"/>
        </w:rPr>
        <w:t xml:space="preserve"> A </w:t>
      </w:r>
      <w:r w:rsidR="0048563F">
        <w:rPr>
          <w:rFonts w:asciiTheme="minorHAnsi" w:hAnsiTheme="minorHAnsi"/>
          <w:color w:val="auto"/>
          <w:sz w:val="22"/>
        </w:rPr>
        <w:t>S</w:t>
      </w:r>
      <w:r w:rsidR="0048563F" w:rsidRPr="00BF09BA">
        <w:rPr>
          <w:rFonts w:asciiTheme="minorHAnsi" w:hAnsiTheme="minorHAnsi"/>
          <w:color w:val="auto"/>
          <w:sz w:val="22"/>
        </w:rPr>
        <w:t xml:space="preserve">urvey </w:t>
      </w:r>
      <w:r w:rsidRPr="00BF09BA">
        <w:rPr>
          <w:rFonts w:asciiTheme="minorHAnsi" w:hAnsiTheme="minorHAnsi"/>
          <w:color w:val="auto"/>
          <w:sz w:val="22"/>
        </w:rPr>
        <w:t xml:space="preserve">of the </w:t>
      </w:r>
      <w:r w:rsidR="0048563F">
        <w:rPr>
          <w:rFonts w:asciiTheme="minorHAnsi" w:hAnsiTheme="minorHAnsi"/>
          <w:color w:val="auto"/>
          <w:sz w:val="22"/>
        </w:rPr>
        <w:t>L</w:t>
      </w:r>
      <w:r w:rsidRPr="00BF09BA">
        <w:rPr>
          <w:rFonts w:asciiTheme="minorHAnsi" w:hAnsiTheme="minorHAnsi"/>
          <w:color w:val="auto"/>
          <w:sz w:val="22"/>
        </w:rPr>
        <w:t xml:space="preserve">iterature’, </w:t>
      </w:r>
      <w:r w:rsidRPr="00BF09BA">
        <w:rPr>
          <w:rFonts w:asciiTheme="minorHAnsi" w:hAnsiTheme="minorHAnsi"/>
          <w:i/>
          <w:color w:val="auto"/>
          <w:sz w:val="22"/>
        </w:rPr>
        <w:t>Regional Studies</w:t>
      </w:r>
      <w:r w:rsidR="000A07A2">
        <w:rPr>
          <w:rFonts w:asciiTheme="minorHAnsi" w:hAnsiTheme="minorHAnsi"/>
          <w:color w:val="auto"/>
          <w:sz w:val="22"/>
        </w:rPr>
        <w:t>, vol. 40, no. 3, pp. 375-395.</w:t>
      </w:r>
    </w:p>
    <w:p w14:paraId="4C9E8C87" w14:textId="77777777" w:rsidR="00AF6D19" w:rsidRPr="00BF09BA" w:rsidRDefault="00AF6D19">
      <w:pPr>
        <w:pStyle w:val="References"/>
        <w:jc w:val="left"/>
        <w:rPr>
          <w:rFonts w:asciiTheme="minorHAnsi" w:hAnsiTheme="minorHAnsi"/>
          <w:color w:val="auto"/>
          <w:sz w:val="22"/>
        </w:rPr>
      </w:pPr>
      <w:r w:rsidRPr="00BF09BA">
        <w:rPr>
          <w:rFonts w:asciiTheme="minorHAnsi" w:hAnsiTheme="minorHAnsi"/>
          <w:color w:val="auto"/>
          <w:sz w:val="22"/>
        </w:rPr>
        <w:t>Goodwin</w:t>
      </w:r>
      <w:r w:rsidR="001A0D8E" w:rsidRPr="00BF09BA">
        <w:rPr>
          <w:rFonts w:asciiTheme="minorHAnsi" w:hAnsiTheme="minorHAnsi"/>
          <w:color w:val="auto"/>
          <w:sz w:val="22"/>
        </w:rPr>
        <w:t>, P</w:t>
      </w:r>
      <w:r w:rsidRPr="00BF09BA">
        <w:rPr>
          <w:rFonts w:asciiTheme="minorHAnsi" w:hAnsiTheme="minorHAnsi"/>
          <w:color w:val="auto"/>
          <w:sz w:val="22"/>
        </w:rPr>
        <w:t xml:space="preserve"> 2012</w:t>
      </w:r>
      <w:r w:rsidR="001A0D8E" w:rsidRPr="00BF09BA">
        <w:rPr>
          <w:rFonts w:asciiTheme="minorHAnsi" w:hAnsiTheme="minorHAnsi"/>
          <w:color w:val="auto"/>
          <w:sz w:val="22"/>
        </w:rPr>
        <w:t>, ‘</w:t>
      </w:r>
      <w:r w:rsidR="001A0D8E" w:rsidRPr="000D14B5">
        <w:rPr>
          <w:rFonts w:asciiTheme="minorHAnsi" w:hAnsiTheme="minorHAnsi"/>
          <w:color w:val="auto"/>
          <w:sz w:val="22"/>
        </w:rPr>
        <w:t>Peak Travel, Peak Car and the Future of Mobility: Evidence, Unresolved Issues, Policy Implications and a Research Agenda</w:t>
      </w:r>
      <w:r w:rsidR="001A0D8E" w:rsidRPr="00BF09BA">
        <w:rPr>
          <w:rFonts w:asciiTheme="minorHAnsi" w:hAnsiTheme="minorHAnsi"/>
          <w:color w:val="auto"/>
          <w:sz w:val="22"/>
        </w:rPr>
        <w:t xml:space="preserve">’, </w:t>
      </w:r>
      <w:r w:rsidR="001A0D8E" w:rsidRPr="00BF09BA">
        <w:rPr>
          <w:rFonts w:asciiTheme="minorHAnsi" w:hAnsiTheme="minorHAnsi"/>
          <w:i/>
          <w:color w:val="auto"/>
          <w:sz w:val="22"/>
        </w:rPr>
        <w:t xml:space="preserve">International Transport Forum Discussion Papers, </w:t>
      </w:r>
      <w:r w:rsidR="001A0D8E" w:rsidRPr="00BF09BA">
        <w:rPr>
          <w:rFonts w:asciiTheme="minorHAnsi" w:hAnsiTheme="minorHAnsi"/>
          <w:color w:val="auto"/>
          <w:sz w:val="22"/>
        </w:rPr>
        <w:t>no. 2012-13, OECD Publishing, Paris.</w:t>
      </w:r>
    </w:p>
    <w:p w14:paraId="7981E4D1" w14:textId="77777777" w:rsidR="003501E6" w:rsidRDefault="0059098E">
      <w:pPr>
        <w:pStyle w:val="References"/>
        <w:jc w:val="left"/>
        <w:rPr>
          <w:rFonts w:asciiTheme="minorHAnsi" w:hAnsiTheme="minorHAnsi"/>
          <w:color w:val="auto"/>
          <w:sz w:val="22"/>
        </w:rPr>
        <w:sectPr w:rsidR="003501E6" w:rsidSect="005D0DBA">
          <w:footerReference w:type="first" r:id="rId117"/>
          <w:pgSz w:w="11906" w:h="16838" w:code="277"/>
          <w:pgMar w:top="1418" w:right="1418" w:bottom="1418" w:left="1418" w:header="709" w:footer="709" w:gutter="0"/>
          <w:cols w:space="708"/>
          <w:titlePg/>
          <w:docGrid w:linePitch="360"/>
        </w:sectPr>
      </w:pPr>
      <w:r w:rsidRPr="00BF09BA">
        <w:rPr>
          <w:rFonts w:asciiTheme="minorHAnsi" w:hAnsiTheme="minorHAnsi"/>
          <w:color w:val="auto"/>
          <w:sz w:val="22"/>
        </w:rPr>
        <w:t xml:space="preserve">Gregory, RG 2014, </w:t>
      </w:r>
      <w:r w:rsidRPr="00BF09BA">
        <w:rPr>
          <w:rFonts w:asciiTheme="minorHAnsi" w:hAnsiTheme="minorHAnsi"/>
          <w:i/>
          <w:color w:val="auto"/>
          <w:sz w:val="22"/>
        </w:rPr>
        <w:t xml:space="preserve">The </w:t>
      </w:r>
      <w:r w:rsidR="00641C79">
        <w:rPr>
          <w:rFonts w:asciiTheme="minorHAnsi" w:hAnsiTheme="minorHAnsi"/>
          <w:i/>
          <w:color w:val="auto"/>
          <w:sz w:val="22"/>
        </w:rPr>
        <w:t>T</w:t>
      </w:r>
      <w:r w:rsidR="00641C79" w:rsidRPr="00BF09BA">
        <w:rPr>
          <w:rFonts w:asciiTheme="minorHAnsi" w:hAnsiTheme="minorHAnsi"/>
          <w:i/>
          <w:color w:val="auto"/>
          <w:sz w:val="22"/>
        </w:rPr>
        <w:t>wo</w:t>
      </w:r>
      <w:r w:rsidRPr="00BF09BA">
        <w:rPr>
          <w:rFonts w:asciiTheme="minorHAnsi" w:hAnsiTheme="minorHAnsi"/>
          <w:i/>
          <w:color w:val="auto"/>
          <w:sz w:val="22"/>
        </w:rPr>
        <w:noBreakHyphen/>
      </w:r>
      <w:r w:rsidR="00641C79">
        <w:rPr>
          <w:rFonts w:asciiTheme="minorHAnsi" w:hAnsiTheme="minorHAnsi"/>
          <w:i/>
          <w:color w:val="auto"/>
          <w:sz w:val="22"/>
        </w:rPr>
        <w:t>S</w:t>
      </w:r>
      <w:r w:rsidR="00641C79" w:rsidRPr="00BF09BA">
        <w:rPr>
          <w:rFonts w:asciiTheme="minorHAnsi" w:hAnsiTheme="minorHAnsi"/>
          <w:i/>
          <w:color w:val="auto"/>
          <w:sz w:val="22"/>
        </w:rPr>
        <w:t xml:space="preserve">tep </w:t>
      </w:r>
      <w:r w:rsidRPr="00BF09BA">
        <w:rPr>
          <w:rFonts w:asciiTheme="minorHAnsi" w:hAnsiTheme="minorHAnsi"/>
          <w:i/>
          <w:color w:val="auto"/>
          <w:sz w:val="22"/>
        </w:rPr>
        <w:t xml:space="preserve">Australian </w:t>
      </w:r>
      <w:r w:rsidR="00641C79">
        <w:rPr>
          <w:rFonts w:asciiTheme="minorHAnsi" w:hAnsiTheme="minorHAnsi"/>
          <w:i/>
          <w:color w:val="auto"/>
          <w:sz w:val="22"/>
        </w:rPr>
        <w:t>I</w:t>
      </w:r>
      <w:r w:rsidR="00641C79" w:rsidRPr="00BF09BA">
        <w:rPr>
          <w:rFonts w:asciiTheme="minorHAnsi" w:hAnsiTheme="minorHAnsi"/>
          <w:i/>
          <w:color w:val="auto"/>
          <w:sz w:val="22"/>
        </w:rPr>
        <w:t xml:space="preserve">mmigration </w:t>
      </w:r>
      <w:r w:rsidR="00641C79">
        <w:rPr>
          <w:rFonts w:asciiTheme="minorHAnsi" w:hAnsiTheme="minorHAnsi"/>
          <w:i/>
          <w:color w:val="auto"/>
          <w:sz w:val="22"/>
        </w:rPr>
        <w:t>P</w:t>
      </w:r>
      <w:r w:rsidR="00641C79" w:rsidRPr="00BF09BA">
        <w:rPr>
          <w:rFonts w:asciiTheme="minorHAnsi" w:hAnsiTheme="minorHAnsi"/>
          <w:i/>
          <w:color w:val="auto"/>
          <w:sz w:val="22"/>
        </w:rPr>
        <w:t xml:space="preserve">olicy </w:t>
      </w:r>
      <w:r w:rsidRPr="00BF09BA">
        <w:rPr>
          <w:rFonts w:asciiTheme="minorHAnsi" w:hAnsiTheme="minorHAnsi"/>
          <w:i/>
          <w:color w:val="auto"/>
          <w:sz w:val="22"/>
        </w:rPr>
        <w:t xml:space="preserve">and its </w:t>
      </w:r>
      <w:r w:rsidR="00641C79">
        <w:rPr>
          <w:rFonts w:asciiTheme="minorHAnsi" w:hAnsiTheme="minorHAnsi"/>
          <w:i/>
          <w:color w:val="auto"/>
          <w:sz w:val="22"/>
        </w:rPr>
        <w:t>I</w:t>
      </w:r>
      <w:r w:rsidRPr="00BF09BA">
        <w:rPr>
          <w:rFonts w:asciiTheme="minorHAnsi" w:hAnsiTheme="minorHAnsi"/>
          <w:i/>
          <w:color w:val="auto"/>
          <w:sz w:val="22"/>
        </w:rPr>
        <w:t xml:space="preserve">mpact on </w:t>
      </w:r>
      <w:r w:rsidR="00641C79">
        <w:rPr>
          <w:rFonts w:asciiTheme="minorHAnsi" w:hAnsiTheme="minorHAnsi"/>
          <w:i/>
          <w:color w:val="auto"/>
          <w:sz w:val="22"/>
        </w:rPr>
        <w:t>I</w:t>
      </w:r>
      <w:r w:rsidRPr="00BF09BA">
        <w:rPr>
          <w:rFonts w:asciiTheme="minorHAnsi" w:hAnsiTheme="minorHAnsi"/>
          <w:i/>
          <w:color w:val="auto"/>
          <w:sz w:val="22"/>
        </w:rPr>
        <w:t xml:space="preserve">mmigrant </w:t>
      </w:r>
      <w:r w:rsidR="00641C79">
        <w:rPr>
          <w:rFonts w:asciiTheme="minorHAnsi" w:hAnsiTheme="minorHAnsi"/>
          <w:i/>
          <w:color w:val="auto"/>
          <w:sz w:val="22"/>
        </w:rPr>
        <w:t>E</w:t>
      </w:r>
      <w:r w:rsidR="00641C79" w:rsidRPr="00BF09BA">
        <w:rPr>
          <w:rFonts w:asciiTheme="minorHAnsi" w:hAnsiTheme="minorHAnsi"/>
          <w:i/>
          <w:color w:val="auto"/>
          <w:sz w:val="22"/>
        </w:rPr>
        <w:t xml:space="preserve">mployment </w:t>
      </w:r>
      <w:r w:rsidR="00641C79">
        <w:rPr>
          <w:rFonts w:asciiTheme="minorHAnsi" w:hAnsiTheme="minorHAnsi"/>
          <w:i/>
          <w:color w:val="auto"/>
          <w:sz w:val="22"/>
        </w:rPr>
        <w:t>O</w:t>
      </w:r>
      <w:r w:rsidR="00641C79" w:rsidRPr="00BF09BA">
        <w:rPr>
          <w:rFonts w:asciiTheme="minorHAnsi" w:hAnsiTheme="minorHAnsi"/>
          <w:i/>
          <w:color w:val="auto"/>
          <w:sz w:val="22"/>
        </w:rPr>
        <w:t>utcomes</w:t>
      </w:r>
      <w:r w:rsidRPr="00BF09BA">
        <w:rPr>
          <w:rFonts w:asciiTheme="minorHAnsi" w:hAnsiTheme="minorHAnsi"/>
          <w:color w:val="auto"/>
          <w:sz w:val="22"/>
        </w:rPr>
        <w:t xml:space="preserve">, German Institute for the Study of </w:t>
      </w:r>
      <w:proofErr w:type="spellStart"/>
      <w:r w:rsidRPr="00BF09BA">
        <w:rPr>
          <w:rFonts w:asciiTheme="minorHAnsi" w:hAnsiTheme="minorHAnsi"/>
          <w:color w:val="auto"/>
          <w:sz w:val="22"/>
        </w:rPr>
        <w:t>Labor</w:t>
      </w:r>
      <w:proofErr w:type="spellEnd"/>
      <w:r w:rsidRPr="00BF09BA">
        <w:rPr>
          <w:rFonts w:asciiTheme="minorHAnsi" w:hAnsiTheme="minorHAnsi"/>
          <w:color w:val="auto"/>
          <w:sz w:val="22"/>
        </w:rPr>
        <w:t xml:space="preserve"> discussion paper no. 8061, </w:t>
      </w:r>
      <w:r w:rsidR="00F51AB1">
        <w:rPr>
          <w:rFonts w:asciiTheme="minorHAnsi" w:hAnsiTheme="minorHAnsi"/>
          <w:color w:val="auto"/>
          <w:sz w:val="22"/>
        </w:rPr>
        <w:t>Bonn</w:t>
      </w:r>
      <w:r w:rsidR="000A07A2">
        <w:rPr>
          <w:rFonts w:asciiTheme="minorHAnsi" w:hAnsiTheme="minorHAnsi"/>
          <w:color w:val="auto"/>
          <w:sz w:val="22"/>
        </w:rPr>
        <w:t>.</w:t>
      </w:r>
    </w:p>
    <w:p w14:paraId="07341499"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lastRenderedPageBreak/>
        <w:t xml:space="preserve">Hawthorne, L 2011, </w:t>
      </w:r>
      <w:proofErr w:type="gramStart"/>
      <w:r w:rsidRPr="00BF09BA">
        <w:rPr>
          <w:rFonts w:asciiTheme="minorHAnsi" w:hAnsiTheme="minorHAnsi"/>
          <w:i/>
          <w:color w:val="auto"/>
          <w:sz w:val="22"/>
        </w:rPr>
        <w:t>Competing</w:t>
      </w:r>
      <w:proofErr w:type="gramEnd"/>
      <w:r w:rsidRPr="00BF09BA">
        <w:rPr>
          <w:rFonts w:asciiTheme="minorHAnsi" w:hAnsiTheme="minorHAnsi"/>
          <w:i/>
          <w:color w:val="auto"/>
          <w:sz w:val="22"/>
        </w:rPr>
        <w:t xml:space="preserve"> for </w:t>
      </w:r>
      <w:r w:rsidR="00641C79">
        <w:rPr>
          <w:rFonts w:asciiTheme="minorHAnsi" w:hAnsiTheme="minorHAnsi"/>
          <w:i/>
          <w:color w:val="auto"/>
          <w:sz w:val="22"/>
        </w:rPr>
        <w:t>S</w:t>
      </w:r>
      <w:r w:rsidR="00641C79" w:rsidRPr="00BF09BA">
        <w:rPr>
          <w:rFonts w:asciiTheme="minorHAnsi" w:hAnsiTheme="minorHAnsi"/>
          <w:i/>
          <w:color w:val="auto"/>
          <w:sz w:val="22"/>
        </w:rPr>
        <w:t>kills</w:t>
      </w:r>
      <w:r w:rsidRPr="00BF09BA">
        <w:rPr>
          <w:rFonts w:asciiTheme="minorHAnsi" w:hAnsiTheme="minorHAnsi"/>
          <w:i/>
          <w:color w:val="auto"/>
          <w:sz w:val="22"/>
        </w:rPr>
        <w:t xml:space="preserve">: Migration </w:t>
      </w:r>
      <w:r w:rsidR="00641C79">
        <w:rPr>
          <w:rFonts w:asciiTheme="minorHAnsi" w:hAnsiTheme="minorHAnsi"/>
          <w:i/>
          <w:color w:val="auto"/>
          <w:sz w:val="22"/>
        </w:rPr>
        <w:t>P</w:t>
      </w:r>
      <w:r w:rsidR="00641C79" w:rsidRPr="00BF09BA">
        <w:rPr>
          <w:rFonts w:asciiTheme="minorHAnsi" w:hAnsiTheme="minorHAnsi"/>
          <w:i/>
          <w:color w:val="auto"/>
          <w:sz w:val="22"/>
        </w:rPr>
        <w:t xml:space="preserve">olicies </w:t>
      </w:r>
      <w:r w:rsidRPr="00BF09BA">
        <w:rPr>
          <w:rFonts w:asciiTheme="minorHAnsi" w:hAnsiTheme="minorHAnsi"/>
          <w:i/>
          <w:color w:val="auto"/>
          <w:sz w:val="22"/>
        </w:rPr>
        <w:t xml:space="preserve">and </w:t>
      </w:r>
      <w:r w:rsidR="00641C79">
        <w:rPr>
          <w:rFonts w:asciiTheme="minorHAnsi" w:hAnsiTheme="minorHAnsi"/>
          <w:i/>
          <w:color w:val="auto"/>
          <w:sz w:val="22"/>
        </w:rPr>
        <w:t>T</w:t>
      </w:r>
      <w:r w:rsidR="00641C79" w:rsidRPr="00BF09BA">
        <w:rPr>
          <w:rFonts w:asciiTheme="minorHAnsi" w:hAnsiTheme="minorHAnsi"/>
          <w:i/>
          <w:color w:val="auto"/>
          <w:sz w:val="22"/>
        </w:rPr>
        <w:t xml:space="preserve">rends </w:t>
      </w:r>
      <w:r w:rsidRPr="00BF09BA">
        <w:rPr>
          <w:rFonts w:asciiTheme="minorHAnsi" w:hAnsiTheme="minorHAnsi"/>
          <w:i/>
          <w:color w:val="auto"/>
          <w:sz w:val="22"/>
        </w:rPr>
        <w:t>in New Zealand and Australia</w:t>
      </w:r>
      <w:r w:rsidRPr="00BF09BA">
        <w:rPr>
          <w:rFonts w:asciiTheme="minorHAnsi" w:hAnsiTheme="minorHAnsi"/>
          <w:color w:val="auto"/>
          <w:sz w:val="22"/>
        </w:rPr>
        <w:t xml:space="preserve">, report prepared for the New Zealand Department of Labour, </w:t>
      </w:r>
      <w:r w:rsidR="00F51AB1">
        <w:rPr>
          <w:rFonts w:asciiTheme="minorHAnsi" w:hAnsiTheme="minorHAnsi"/>
          <w:color w:val="auto"/>
          <w:sz w:val="22"/>
        </w:rPr>
        <w:t>Wellington</w:t>
      </w:r>
      <w:r w:rsidR="000A07A2">
        <w:rPr>
          <w:rFonts w:asciiTheme="minorHAnsi" w:hAnsiTheme="minorHAnsi"/>
          <w:color w:val="auto"/>
          <w:sz w:val="22"/>
        </w:rPr>
        <w:t>.</w:t>
      </w:r>
    </w:p>
    <w:p w14:paraId="7406EFFF" w14:textId="77777777" w:rsidR="0059098E" w:rsidRPr="00BF09BA" w:rsidRDefault="0059098E">
      <w:pPr>
        <w:spacing w:before="0" w:after="240"/>
        <w:jc w:val="left"/>
        <w:rPr>
          <w:rFonts w:asciiTheme="minorHAnsi" w:hAnsiTheme="minorHAnsi" w:cs="Arial"/>
          <w:szCs w:val="22"/>
        </w:rPr>
      </w:pPr>
      <w:proofErr w:type="spellStart"/>
      <w:r w:rsidRPr="00BF09BA">
        <w:rPr>
          <w:rFonts w:asciiTheme="minorHAnsi" w:hAnsiTheme="minorHAnsi"/>
          <w:szCs w:val="22"/>
        </w:rPr>
        <w:t>Helsley</w:t>
      </w:r>
      <w:proofErr w:type="spellEnd"/>
      <w:r w:rsidRPr="00BF09BA">
        <w:rPr>
          <w:rFonts w:asciiTheme="minorHAnsi" w:hAnsiTheme="minorHAnsi"/>
          <w:szCs w:val="22"/>
        </w:rPr>
        <w:t xml:space="preserve">, RW &amp; Strange, WC 2002, ‘Innovation and </w:t>
      </w:r>
      <w:r w:rsidR="00641C79">
        <w:rPr>
          <w:rFonts w:asciiTheme="minorHAnsi" w:hAnsiTheme="minorHAnsi"/>
          <w:szCs w:val="22"/>
        </w:rPr>
        <w:t>I</w:t>
      </w:r>
      <w:r w:rsidR="00641C79" w:rsidRPr="00BF09BA">
        <w:rPr>
          <w:rFonts w:asciiTheme="minorHAnsi" w:hAnsiTheme="minorHAnsi"/>
          <w:szCs w:val="22"/>
        </w:rPr>
        <w:t xml:space="preserve">nput </w:t>
      </w:r>
      <w:r w:rsidR="00641C79">
        <w:rPr>
          <w:rFonts w:asciiTheme="minorHAnsi" w:hAnsiTheme="minorHAnsi"/>
          <w:szCs w:val="22"/>
        </w:rPr>
        <w:t>S</w:t>
      </w:r>
      <w:r w:rsidR="00641C79" w:rsidRPr="00BF09BA">
        <w:rPr>
          <w:rFonts w:asciiTheme="minorHAnsi" w:hAnsiTheme="minorHAnsi"/>
          <w:szCs w:val="22"/>
        </w:rPr>
        <w:t>haring’</w:t>
      </w:r>
      <w:r w:rsidRPr="00BF09BA">
        <w:rPr>
          <w:rFonts w:asciiTheme="minorHAnsi" w:hAnsiTheme="minorHAnsi"/>
          <w:szCs w:val="22"/>
        </w:rPr>
        <w:t xml:space="preserve">, </w:t>
      </w:r>
      <w:r w:rsidRPr="00BF09BA">
        <w:rPr>
          <w:rFonts w:asciiTheme="minorHAnsi" w:hAnsiTheme="minorHAnsi"/>
          <w:i/>
          <w:szCs w:val="22"/>
        </w:rPr>
        <w:t>Journal of Urban Economics</w:t>
      </w:r>
      <w:r w:rsidR="000A07A2">
        <w:rPr>
          <w:rFonts w:asciiTheme="minorHAnsi" w:hAnsiTheme="minorHAnsi"/>
          <w:szCs w:val="22"/>
        </w:rPr>
        <w:t>, vol. 51, no. 1, pp. 25-45.</w:t>
      </w:r>
    </w:p>
    <w:p w14:paraId="4931EF3D"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Hotchkiss, JL 2009</w:t>
      </w:r>
      <w:r w:rsidRPr="00BF09BA">
        <w:rPr>
          <w:rFonts w:asciiTheme="minorHAnsi" w:hAnsiTheme="minorHAnsi" w:cs="Arial"/>
          <w:szCs w:val="22"/>
        </w:rPr>
        <w:t xml:space="preserve">, ‘Changes in the </w:t>
      </w:r>
      <w:r w:rsidR="0048563F">
        <w:rPr>
          <w:rFonts w:asciiTheme="minorHAnsi" w:hAnsiTheme="minorHAnsi" w:cs="Arial"/>
          <w:szCs w:val="22"/>
        </w:rPr>
        <w:t>A</w:t>
      </w:r>
      <w:r w:rsidR="0048563F" w:rsidRPr="00BF09BA">
        <w:rPr>
          <w:rFonts w:asciiTheme="minorHAnsi" w:hAnsiTheme="minorHAnsi" w:cs="Arial"/>
          <w:szCs w:val="22"/>
        </w:rPr>
        <w:t xml:space="preserve">ggregate </w:t>
      </w:r>
      <w:proofErr w:type="spellStart"/>
      <w:r w:rsidR="0048563F">
        <w:rPr>
          <w:rFonts w:asciiTheme="minorHAnsi" w:hAnsiTheme="minorHAnsi" w:cs="Arial"/>
          <w:szCs w:val="22"/>
        </w:rPr>
        <w:t>L</w:t>
      </w:r>
      <w:r w:rsidR="0048563F" w:rsidRPr="00BF09BA">
        <w:rPr>
          <w:rFonts w:asciiTheme="minorHAnsi" w:hAnsiTheme="minorHAnsi" w:cs="Arial"/>
          <w:szCs w:val="22"/>
        </w:rPr>
        <w:t>abor</w:t>
      </w:r>
      <w:proofErr w:type="spellEnd"/>
      <w:r w:rsidR="0048563F" w:rsidRPr="00BF09BA">
        <w:rPr>
          <w:rFonts w:asciiTheme="minorHAnsi" w:hAnsiTheme="minorHAnsi" w:cs="Arial"/>
          <w:szCs w:val="22"/>
        </w:rPr>
        <w:t xml:space="preserve"> </w:t>
      </w:r>
      <w:r w:rsidR="0048563F">
        <w:rPr>
          <w:rFonts w:asciiTheme="minorHAnsi" w:hAnsiTheme="minorHAnsi" w:cs="Arial"/>
          <w:szCs w:val="22"/>
        </w:rPr>
        <w:t>F</w:t>
      </w:r>
      <w:r w:rsidR="0048563F" w:rsidRPr="00BF09BA">
        <w:rPr>
          <w:rFonts w:asciiTheme="minorHAnsi" w:hAnsiTheme="minorHAnsi" w:cs="Arial"/>
          <w:szCs w:val="22"/>
        </w:rPr>
        <w:t xml:space="preserve">orce </w:t>
      </w:r>
      <w:r w:rsidR="0048563F">
        <w:rPr>
          <w:rFonts w:asciiTheme="minorHAnsi" w:hAnsiTheme="minorHAnsi" w:cs="Arial"/>
          <w:szCs w:val="22"/>
        </w:rPr>
        <w:t>P</w:t>
      </w:r>
      <w:r w:rsidR="0048563F" w:rsidRPr="00BF09BA">
        <w:rPr>
          <w:rFonts w:asciiTheme="minorHAnsi" w:hAnsiTheme="minorHAnsi" w:cs="Arial"/>
          <w:szCs w:val="22"/>
        </w:rPr>
        <w:t xml:space="preserve">articipation </w:t>
      </w:r>
      <w:r w:rsidR="0048563F">
        <w:rPr>
          <w:rFonts w:asciiTheme="minorHAnsi" w:hAnsiTheme="minorHAnsi" w:cs="Arial"/>
          <w:szCs w:val="22"/>
        </w:rPr>
        <w:t>R</w:t>
      </w:r>
      <w:r w:rsidRPr="00BF09BA">
        <w:rPr>
          <w:rFonts w:asciiTheme="minorHAnsi" w:hAnsiTheme="minorHAnsi" w:cs="Arial"/>
          <w:szCs w:val="22"/>
        </w:rPr>
        <w:t xml:space="preserve">ate’, </w:t>
      </w:r>
      <w:r w:rsidRPr="00BF09BA">
        <w:rPr>
          <w:rFonts w:asciiTheme="minorHAnsi" w:hAnsiTheme="minorHAnsi" w:cs="Arial"/>
          <w:i/>
          <w:szCs w:val="22"/>
        </w:rPr>
        <w:t>Federal Reserve Bank of Atlanta</w:t>
      </w:r>
      <w:r w:rsidRPr="00BF09BA">
        <w:rPr>
          <w:rFonts w:asciiTheme="minorHAnsi" w:hAnsiTheme="minorHAnsi" w:cs="Arial"/>
          <w:szCs w:val="22"/>
        </w:rPr>
        <w:t xml:space="preserve"> </w:t>
      </w:r>
      <w:r w:rsidRPr="00BF09BA">
        <w:rPr>
          <w:rFonts w:asciiTheme="minorHAnsi" w:hAnsiTheme="minorHAnsi" w:cs="Arial"/>
          <w:i/>
          <w:szCs w:val="22"/>
        </w:rPr>
        <w:t>Economic Review</w:t>
      </w:r>
      <w:r w:rsidR="000A07A2">
        <w:rPr>
          <w:rFonts w:asciiTheme="minorHAnsi" w:hAnsiTheme="minorHAnsi" w:cs="Arial"/>
          <w:szCs w:val="22"/>
        </w:rPr>
        <w:t>, vol. 94, no. 4, pp. 1-6.</w:t>
      </w:r>
    </w:p>
    <w:p w14:paraId="1BB3DCB1" w14:textId="77777777" w:rsidR="004C0328" w:rsidRPr="00BF09BA" w:rsidRDefault="004C0328">
      <w:pPr>
        <w:spacing w:before="0" w:after="240"/>
        <w:jc w:val="left"/>
        <w:rPr>
          <w:rFonts w:asciiTheme="minorHAnsi" w:hAnsiTheme="minorHAnsi"/>
          <w:szCs w:val="22"/>
        </w:rPr>
      </w:pPr>
      <w:r w:rsidRPr="00D83EB7">
        <w:rPr>
          <w:rFonts w:asciiTheme="minorHAnsi" w:hAnsiTheme="minorHAnsi"/>
          <w:szCs w:val="22"/>
        </w:rPr>
        <w:t>I</w:t>
      </w:r>
      <w:r w:rsidR="00D83EB7">
        <w:rPr>
          <w:rFonts w:asciiTheme="minorHAnsi" w:hAnsiTheme="minorHAnsi"/>
          <w:szCs w:val="22"/>
        </w:rPr>
        <w:t xml:space="preserve">nternational </w:t>
      </w:r>
      <w:r w:rsidRPr="00D83EB7">
        <w:rPr>
          <w:rFonts w:asciiTheme="minorHAnsi" w:hAnsiTheme="minorHAnsi"/>
          <w:szCs w:val="22"/>
        </w:rPr>
        <w:t>M</w:t>
      </w:r>
      <w:r w:rsidR="00D83EB7">
        <w:rPr>
          <w:rFonts w:asciiTheme="minorHAnsi" w:hAnsiTheme="minorHAnsi"/>
          <w:szCs w:val="22"/>
        </w:rPr>
        <w:t xml:space="preserve">onetary </w:t>
      </w:r>
      <w:r w:rsidRPr="00D83EB7">
        <w:rPr>
          <w:rFonts w:asciiTheme="minorHAnsi" w:hAnsiTheme="minorHAnsi"/>
          <w:szCs w:val="22"/>
        </w:rPr>
        <w:t>F</w:t>
      </w:r>
      <w:r w:rsidR="00641C79">
        <w:rPr>
          <w:rFonts w:asciiTheme="minorHAnsi" w:hAnsiTheme="minorHAnsi"/>
          <w:szCs w:val="22"/>
        </w:rPr>
        <w:t xml:space="preserve">und </w:t>
      </w:r>
      <w:r w:rsidR="008723EF">
        <w:rPr>
          <w:rFonts w:asciiTheme="minorHAnsi" w:hAnsiTheme="minorHAnsi"/>
          <w:szCs w:val="22"/>
        </w:rPr>
        <w:t>(IMF)</w:t>
      </w:r>
      <w:r w:rsidR="00641C79">
        <w:rPr>
          <w:rFonts w:asciiTheme="minorHAnsi" w:hAnsiTheme="minorHAnsi"/>
          <w:szCs w:val="22"/>
        </w:rPr>
        <w:t xml:space="preserve"> </w:t>
      </w:r>
      <w:r w:rsidRPr="00D83EB7">
        <w:rPr>
          <w:rFonts w:asciiTheme="minorHAnsi" w:hAnsiTheme="minorHAnsi"/>
          <w:szCs w:val="22"/>
        </w:rPr>
        <w:t>2017</w:t>
      </w:r>
      <w:r w:rsidR="00D83EB7">
        <w:rPr>
          <w:rFonts w:asciiTheme="minorHAnsi" w:hAnsiTheme="minorHAnsi"/>
          <w:szCs w:val="22"/>
        </w:rPr>
        <w:t xml:space="preserve">, ‘Regional Economic Outlook: Asia and Pacific’, </w:t>
      </w:r>
      <w:r w:rsidR="00D83EB7" w:rsidRPr="00D83EB7">
        <w:rPr>
          <w:rFonts w:asciiTheme="minorHAnsi" w:hAnsiTheme="minorHAnsi"/>
          <w:i/>
          <w:szCs w:val="22"/>
        </w:rPr>
        <w:t>World Economic and Financial Surveys</w:t>
      </w:r>
      <w:r w:rsidR="000A07A2">
        <w:rPr>
          <w:rFonts w:asciiTheme="minorHAnsi" w:hAnsiTheme="minorHAnsi"/>
          <w:szCs w:val="22"/>
        </w:rPr>
        <w:t>, Washington DC.</w:t>
      </w:r>
    </w:p>
    <w:p w14:paraId="5E262A7F" w14:textId="77777777" w:rsidR="00AF6D19" w:rsidRPr="00BF09BA" w:rsidRDefault="00AF6D19">
      <w:pPr>
        <w:spacing w:before="0" w:after="240"/>
        <w:jc w:val="left"/>
        <w:rPr>
          <w:rFonts w:asciiTheme="minorHAnsi" w:hAnsiTheme="minorHAnsi"/>
          <w:szCs w:val="22"/>
        </w:rPr>
      </w:pPr>
      <w:r w:rsidRPr="00BF09BA">
        <w:rPr>
          <w:rFonts w:asciiTheme="minorHAnsi" w:hAnsiTheme="minorHAnsi"/>
          <w:szCs w:val="22"/>
        </w:rPr>
        <w:t>Infrastructure Australia 2015</w:t>
      </w:r>
      <w:r w:rsidR="001A0D8E" w:rsidRPr="00BF09BA">
        <w:rPr>
          <w:rFonts w:asciiTheme="minorHAnsi" w:hAnsiTheme="minorHAnsi"/>
          <w:szCs w:val="22"/>
        </w:rPr>
        <w:t xml:space="preserve">, </w:t>
      </w:r>
      <w:r w:rsidR="001A0D8E" w:rsidRPr="00BF09BA">
        <w:rPr>
          <w:rFonts w:asciiTheme="minorHAnsi" w:hAnsiTheme="minorHAnsi"/>
          <w:i/>
          <w:szCs w:val="22"/>
        </w:rPr>
        <w:t>Australian Infrastructure Audit: Our Infrastructure Challenges</w:t>
      </w:r>
      <w:r w:rsidR="001A0D8E" w:rsidRPr="00BF09BA">
        <w:rPr>
          <w:rFonts w:asciiTheme="minorHAnsi" w:hAnsiTheme="minorHAnsi"/>
          <w:szCs w:val="22"/>
        </w:rPr>
        <w:t xml:space="preserve">, </w:t>
      </w:r>
      <w:r w:rsidR="00292B1C">
        <w:rPr>
          <w:rFonts w:asciiTheme="minorHAnsi" w:hAnsiTheme="minorHAnsi"/>
          <w:szCs w:val="22"/>
        </w:rPr>
        <w:t xml:space="preserve">report, </w:t>
      </w:r>
      <w:r w:rsidR="005927F0" w:rsidRPr="00BF09BA">
        <w:rPr>
          <w:rFonts w:asciiTheme="minorHAnsi" w:hAnsiTheme="minorHAnsi"/>
          <w:szCs w:val="22"/>
        </w:rPr>
        <w:t>Canberra.</w:t>
      </w:r>
    </w:p>
    <w:p w14:paraId="79392CD0" w14:textId="77777777" w:rsidR="0059098E" w:rsidRPr="00BF09BA" w:rsidRDefault="0059098E">
      <w:pPr>
        <w:spacing w:before="0" w:after="240"/>
        <w:jc w:val="left"/>
        <w:rPr>
          <w:rFonts w:asciiTheme="minorHAnsi" w:hAnsiTheme="minorHAnsi" w:cs="Arial"/>
          <w:szCs w:val="22"/>
        </w:rPr>
      </w:pPr>
      <w:proofErr w:type="spellStart"/>
      <w:r w:rsidRPr="00BF09BA">
        <w:rPr>
          <w:rFonts w:asciiTheme="minorHAnsi" w:hAnsiTheme="minorHAnsi"/>
          <w:szCs w:val="22"/>
        </w:rPr>
        <w:t>Jaumotte</w:t>
      </w:r>
      <w:proofErr w:type="spellEnd"/>
      <w:r w:rsidRPr="00BF09BA">
        <w:rPr>
          <w:rFonts w:asciiTheme="minorHAnsi" w:hAnsiTheme="minorHAnsi"/>
          <w:szCs w:val="22"/>
        </w:rPr>
        <w:t xml:space="preserve">, F, </w:t>
      </w:r>
      <w:proofErr w:type="spellStart"/>
      <w:r w:rsidRPr="00BF09BA">
        <w:rPr>
          <w:rFonts w:asciiTheme="minorHAnsi" w:hAnsiTheme="minorHAnsi"/>
          <w:szCs w:val="22"/>
        </w:rPr>
        <w:t>Koloskova</w:t>
      </w:r>
      <w:proofErr w:type="spellEnd"/>
      <w:r w:rsidRPr="00BF09BA">
        <w:rPr>
          <w:rFonts w:asciiTheme="minorHAnsi" w:hAnsiTheme="minorHAnsi"/>
          <w:szCs w:val="22"/>
        </w:rPr>
        <w:t xml:space="preserve">, K &amp; </w:t>
      </w:r>
      <w:proofErr w:type="spellStart"/>
      <w:r w:rsidRPr="00BF09BA">
        <w:rPr>
          <w:rFonts w:asciiTheme="minorHAnsi" w:hAnsiTheme="minorHAnsi"/>
          <w:szCs w:val="22"/>
        </w:rPr>
        <w:t>Saxena</w:t>
      </w:r>
      <w:proofErr w:type="spellEnd"/>
      <w:r w:rsidRPr="00BF09BA">
        <w:rPr>
          <w:rFonts w:asciiTheme="minorHAnsi" w:hAnsiTheme="minorHAnsi"/>
          <w:szCs w:val="22"/>
        </w:rPr>
        <w:t xml:space="preserve"> S 2016</w:t>
      </w:r>
      <w:r w:rsidRPr="00BF09BA">
        <w:rPr>
          <w:rFonts w:asciiTheme="minorHAnsi" w:hAnsiTheme="minorHAnsi" w:cs="Arial"/>
          <w:szCs w:val="22"/>
        </w:rPr>
        <w:t xml:space="preserve">, </w:t>
      </w:r>
      <w:r w:rsidRPr="00BF09BA">
        <w:rPr>
          <w:rFonts w:asciiTheme="minorHAnsi" w:hAnsiTheme="minorHAnsi" w:cs="Arial"/>
          <w:i/>
          <w:szCs w:val="22"/>
        </w:rPr>
        <w:t xml:space="preserve">Impact of </w:t>
      </w:r>
      <w:r w:rsidR="00641C79">
        <w:rPr>
          <w:rFonts w:asciiTheme="minorHAnsi" w:hAnsiTheme="minorHAnsi" w:cs="Arial"/>
          <w:i/>
          <w:szCs w:val="22"/>
        </w:rPr>
        <w:t>M</w:t>
      </w:r>
      <w:r w:rsidR="00641C79" w:rsidRPr="00BF09BA">
        <w:rPr>
          <w:rFonts w:asciiTheme="minorHAnsi" w:hAnsiTheme="minorHAnsi" w:cs="Arial"/>
          <w:i/>
          <w:szCs w:val="22"/>
        </w:rPr>
        <w:t xml:space="preserve">igration </w:t>
      </w:r>
      <w:r w:rsidRPr="00BF09BA">
        <w:rPr>
          <w:rFonts w:asciiTheme="minorHAnsi" w:hAnsiTheme="minorHAnsi" w:cs="Arial"/>
          <w:i/>
          <w:szCs w:val="22"/>
        </w:rPr>
        <w:t xml:space="preserve">on </w:t>
      </w:r>
      <w:r w:rsidR="00641C79">
        <w:rPr>
          <w:rFonts w:asciiTheme="minorHAnsi" w:hAnsiTheme="minorHAnsi" w:cs="Arial"/>
          <w:i/>
          <w:szCs w:val="22"/>
        </w:rPr>
        <w:t>I</w:t>
      </w:r>
      <w:r w:rsidR="00641C79" w:rsidRPr="00BF09BA">
        <w:rPr>
          <w:rFonts w:asciiTheme="minorHAnsi" w:hAnsiTheme="minorHAnsi" w:cs="Arial"/>
          <w:i/>
          <w:szCs w:val="22"/>
        </w:rPr>
        <w:t xml:space="preserve">ncome </w:t>
      </w:r>
      <w:r w:rsidR="00641C79">
        <w:rPr>
          <w:rFonts w:asciiTheme="minorHAnsi" w:hAnsiTheme="minorHAnsi" w:cs="Arial"/>
          <w:i/>
          <w:szCs w:val="22"/>
        </w:rPr>
        <w:t>L</w:t>
      </w:r>
      <w:r w:rsidR="00641C79" w:rsidRPr="00BF09BA">
        <w:rPr>
          <w:rFonts w:asciiTheme="minorHAnsi" w:hAnsiTheme="minorHAnsi" w:cs="Arial"/>
          <w:i/>
          <w:szCs w:val="22"/>
        </w:rPr>
        <w:t xml:space="preserve">evels </w:t>
      </w:r>
      <w:r w:rsidRPr="00BF09BA">
        <w:rPr>
          <w:rFonts w:asciiTheme="minorHAnsi" w:hAnsiTheme="minorHAnsi" w:cs="Arial"/>
          <w:i/>
          <w:szCs w:val="22"/>
        </w:rPr>
        <w:t xml:space="preserve">in </w:t>
      </w:r>
      <w:r w:rsidR="00641C79">
        <w:rPr>
          <w:rFonts w:asciiTheme="minorHAnsi" w:hAnsiTheme="minorHAnsi" w:cs="Arial"/>
          <w:i/>
          <w:szCs w:val="22"/>
        </w:rPr>
        <w:t>A</w:t>
      </w:r>
      <w:r w:rsidR="00641C79" w:rsidRPr="00BF09BA">
        <w:rPr>
          <w:rFonts w:asciiTheme="minorHAnsi" w:hAnsiTheme="minorHAnsi" w:cs="Arial"/>
          <w:i/>
          <w:szCs w:val="22"/>
        </w:rPr>
        <w:t xml:space="preserve">dvanced </w:t>
      </w:r>
      <w:r w:rsidR="00641C79">
        <w:rPr>
          <w:rFonts w:asciiTheme="minorHAnsi" w:hAnsiTheme="minorHAnsi" w:cs="Arial"/>
          <w:i/>
          <w:szCs w:val="22"/>
        </w:rPr>
        <w:t>E</w:t>
      </w:r>
      <w:r w:rsidR="00641C79" w:rsidRPr="00BF09BA">
        <w:rPr>
          <w:rFonts w:asciiTheme="minorHAnsi" w:hAnsiTheme="minorHAnsi" w:cs="Arial"/>
          <w:i/>
          <w:szCs w:val="22"/>
        </w:rPr>
        <w:t>conomies</w:t>
      </w:r>
      <w:r w:rsidRPr="00BF09BA">
        <w:rPr>
          <w:rFonts w:asciiTheme="minorHAnsi" w:hAnsiTheme="minorHAnsi" w:cs="Arial"/>
          <w:szCs w:val="22"/>
        </w:rPr>
        <w:t xml:space="preserve">, International Monetary Fund, </w:t>
      </w:r>
      <w:r w:rsidR="00641C79">
        <w:rPr>
          <w:rFonts w:asciiTheme="minorHAnsi" w:hAnsiTheme="minorHAnsi" w:cs="Arial"/>
          <w:szCs w:val="22"/>
        </w:rPr>
        <w:t>Washington DC</w:t>
      </w:r>
      <w:r w:rsidRPr="00BF09BA">
        <w:rPr>
          <w:rFonts w:asciiTheme="minorHAnsi" w:hAnsiTheme="minorHAnsi" w:cs="Arial"/>
          <w:szCs w:val="22"/>
        </w:rPr>
        <w:t>.</w:t>
      </w:r>
    </w:p>
    <w:p w14:paraId="2179303C" w14:textId="77777777" w:rsidR="0059098E" w:rsidRPr="00BF09BA" w:rsidRDefault="0059098E">
      <w:pPr>
        <w:spacing w:before="0" w:after="240"/>
        <w:jc w:val="left"/>
        <w:rPr>
          <w:rFonts w:asciiTheme="minorHAnsi" w:hAnsiTheme="minorHAnsi" w:cs="Arial"/>
          <w:szCs w:val="22"/>
        </w:rPr>
      </w:pPr>
      <w:proofErr w:type="spellStart"/>
      <w:r w:rsidRPr="00BF09BA">
        <w:rPr>
          <w:rFonts w:asciiTheme="minorHAnsi" w:hAnsiTheme="minorHAnsi"/>
          <w:szCs w:val="22"/>
        </w:rPr>
        <w:t>Jupp</w:t>
      </w:r>
      <w:proofErr w:type="spellEnd"/>
      <w:r w:rsidRPr="00BF09BA">
        <w:rPr>
          <w:rFonts w:asciiTheme="minorHAnsi" w:hAnsiTheme="minorHAnsi"/>
          <w:szCs w:val="22"/>
        </w:rPr>
        <w:t>, J (ed.) 2001</w:t>
      </w:r>
      <w:r w:rsidRPr="00BF09BA">
        <w:rPr>
          <w:rFonts w:asciiTheme="minorHAnsi" w:hAnsiTheme="minorHAnsi" w:cs="Arial"/>
          <w:szCs w:val="22"/>
        </w:rPr>
        <w:t xml:space="preserve">, </w:t>
      </w:r>
      <w:r w:rsidRPr="00BF09BA">
        <w:rPr>
          <w:rFonts w:asciiTheme="minorHAnsi" w:hAnsiTheme="minorHAnsi" w:cs="Arial"/>
          <w:i/>
          <w:szCs w:val="22"/>
        </w:rPr>
        <w:t xml:space="preserve">The Australian </w:t>
      </w:r>
      <w:r w:rsidR="00641C79">
        <w:rPr>
          <w:rFonts w:asciiTheme="minorHAnsi" w:hAnsiTheme="minorHAnsi" w:cs="Arial"/>
          <w:i/>
          <w:szCs w:val="22"/>
        </w:rPr>
        <w:t>P</w:t>
      </w:r>
      <w:r w:rsidR="00641C79" w:rsidRPr="00BF09BA">
        <w:rPr>
          <w:rFonts w:asciiTheme="minorHAnsi" w:hAnsiTheme="minorHAnsi" w:cs="Arial"/>
          <w:i/>
          <w:szCs w:val="22"/>
        </w:rPr>
        <w:t>eople</w:t>
      </w:r>
      <w:r w:rsidRPr="00BF09BA">
        <w:rPr>
          <w:rFonts w:asciiTheme="minorHAnsi" w:hAnsiTheme="minorHAnsi" w:cs="Arial"/>
          <w:i/>
          <w:szCs w:val="22"/>
        </w:rPr>
        <w:t xml:space="preserve">: </w:t>
      </w:r>
      <w:r w:rsidR="00641C79">
        <w:rPr>
          <w:rFonts w:asciiTheme="minorHAnsi" w:hAnsiTheme="minorHAnsi" w:cs="Arial"/>
          <w:i/>
          <w:szCs w:val="22"/>
        </w:rPr>
        <w:t>A</w:t>
      </w:r>
      <w:r w:rsidR="00641C79" w:rsidRPr="00BF09BA">
        <w:rPr>
          <w:rFonts w:asciiTheme="minorHAnsi" w:hAnsiTheme="minorHAnsi" w:cs="Arial"/>
          <w:i/>
          <w:szCs w:val="22"/>
        </w:rPr>
        <w:t xml:space="preserve">n </w:t>
      </w:r>
      <w:r w:rsidR="00641C79">
        <w:rPr>
          <w:rFonts w:asciiTheme="minorHAnsi" w:hAnsiTheme="minorHAnsi" w:cs="Arial"/>
          <w:i/>
          <w:szCs w:val="22"/>
        </w:rPr>
        <w:t>E</w:t>
      </w:r>
      <w:r w:rsidR="00641C79" w:rsidRPr="00BF09BA">
        <w:rPr>
          <w:rFonts w:asciiTheme="minorHAnsi" w:hAnsiTheme="minorHAnsi" w:cs="Arial"/>
          <w:i/>
          <w:szCs w:val="22"/>
        </w:rPr>
        <w:t xml:space="preserve">ncyclopaedia </w:t>
      </w:r>
      <w:r w:rsidRPr="00BF09BA">
        <w:rPr>
          <w:rFonts w:asciiTheme="minorHAnsi" w:hAnsiTheme="minorHAnsi" w:cs="Arial"/>
          <w:i/>
          <w:szCs w:val="22"/>
        </w:rPr>
        <w:t xml:space="preserve">of the </w:t>
      </w:r>
      <w:r w:rsidR="00641C79">
        <w:rPr>
          <w:rFonts w:asciiTheme="minorHAnsi" w:hAnsiTheme="minorHAnsi" w:cs="Arial"/>
          <w:i/>
          <w:szCs w:val="22"/>
        </w:rPr>
        <w:t>N</w:t>
      </w:r>
      <w:r w:rsidR="00641C79" w:rsidRPr="00BF09BA">
        <w:rPr>
          <w:rFonts w:asciiTheme="minorHAnsi" w:hAnsiTheme="minorHAnsi" w:cs="Arial"/>
          <w:i/>
          <w:szCs w:val="22"/>
        </w:rPr>
        <w:t>ation</w:t>
      </w:r>
      <w:r w:rsidRPr="00BF09BA">
        <w:rPr>
          <w:rFonts w:asciiTheme="minorHAnsi" w:hAnsiTheme="minorHAnsi" w:cs="Arial"/>
          <w:i/>
          <w:szCs w:val="22"/>
        </w:rPr>
        <w:t xml:space="preserve">, its </w:t>
      </w:r>
      <w:r w:rsidR="00641C79">
        <w:rPr>
          <w:rFonts w:asciiTheme="minorHAnsi" w:hAnsiTheme="minorHAnsi" w:cs="Arial"/>
          <w:i/>
          <w:szCs w:val="22"/>
        </w:rPr>
        <w:t>P</w:t>
      </w:r>
      <w:r w:rsidR="00641C79" w:rsidRPr="00BF09BA">
        <w:rPr>
          <w:rFonts w:asciiTheme="minorHAnsi" w:hAnsiTheme="minorHAnsi" w:cs="Arial"/>
          <w:i/>
          <w:szCs w:val="22"/>
        </w:rPr>
        <w:t xml:space="preserve">eople </w:t>
      </w:r>
      <w:r w:rsidRPr="00BF09BA">
        <w:rPr>
          <w:rFonts w:asciiTheme="minorHAnsi" w:hAnsiTheme="minorHAnsi" w:cs="Arial"/>
          <w:i/>
          <w:szCs w:val="22"/>
        </w:rPr>
        <w:t xml:space="preserve">and their </w:t>
      </w:r>
      <w:r w:rsidR="00641C79">
        <w:rPr>
          <w:rFonts w:asciiTheme="minorHAnsi" w:hAnsiTheme="minorHAnsi" w:cs="Arial"/>
          <w:i/>
          <w:szCs w:val="22"/>
        </w:rPr>
        <w:t>O</w:t>
      </w:r>
      <w:r w:rsidR="00641C79" w:rsidRPr="00BF09BA">
        <w:rPr>
          <w:rFonts w:asciiTheme="minorHAnsi" w:hAnsiTheme="minorHAnsi" w:cs="Arial"/>
          <w:i/>
          <w:szCs w:val="22"/>
        </w:rPr>
        <w:t>rigins</w:t>
      </w:r>
      <w:r w:rsidRPr="00BF09BA">
        <w:rPr>
          <w:rFonts w:asciiTheme="minorHAnsi" w:hAnsiTheme="minorHAnsi" w:cs="Arial"/>
          <w:szCs w:val="22"/>
        </w:rPr>
        <w:t xml:space="preserve">, 2nd </w:t>
      </w:r>
      <w:proofErr w:type="spellStart"/>
      <w:r w:rsidRPr="00BF09BA">
        <w:rPr>
          <w:rFonts w:asciiTheme="minorHAnsi" w:hAnsiTheme="minorHAnsi" w:cs="Arial"/>
          <w:szCs w:val="22"/>
        </w:rPr>
        <w:t>edn</w:t>
      </w:r>
      <w:proofErr w:type="spellEnd"/>
      <w:r w:rsidRPr="00BF09BA">
        <w:rPr>
          <w:rFonts w:asciiTheme="minorHAnsi" w:hAnsiTheme="minorHAnsi" w:cs="Arial"/>
          <w:szCs w:val="22"/>
        </w:rPr>
        <w:t>, Cambridge University Press, United Kingdom.</w:t>
      </w:r>
    </w:p>
    <w:p w14:paraId="413C2D43"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 xml:space="preserve">Kelly, </w:t>
      </w:r>
      <w:r w:rsidRPr="00BF09BA">
        <w:rPr>
          <w:rFonts w:asciiTheme="minorHAnsi" w:hAnsiTheme="minorHAnsi" w:cs="Arial"/>
          <w:szCs w:val="22"/>
        </w:rPr>
        <w:t>JF</w:t>
      </w:r>
      <w:r w:rsidRPr="00BF09BA">
        <w:rPr>
          <w:rFonts w:asciiTheme="minorHAnsi" w:hAnsiTheme="minorHAnsi"/>
          <w:szCs w:val="22"/>
        </w:rPr>
        <w:t>, Mares, P, Harrison, C, O’Toole, M &amp; Hunter, J 2013</w:t>
      </w:r>
      <w:r w:rsidRPr="00BF09BA">
        <w:rPr>
          <w:rFonts w:asciiTheme="minorHAnsi" w:hAnsiTheme="minorHAnsi" w:cs="Arial"/>
          <w:szCs w:val="22"/>
        </w:rPr>
        <w:t xml:space="preserve">, </w:t>
      </w:r>
      <w:r w:rsidRPr="00BF09BA">
        <w:rPr>
          <w:rFonts w:asciiTheme="minorHAnsi" w:hAnsiTheme="minorHAnsi" w:cs="Arial"/>
          <w:i/>
          <w:szCs w:val="22"/>
        </w:rPr>
        <w:t xml:space="preserve">Productive </w:t>
      </w:r>
      <w:r w:rsidR="0048563F">
        <w:rPr>
          <w:rFonts w:asciiTheme="minorHAnsi" w:hAnsiTheme="minorHAnsi" w:cs="Arial"/>
          <w:i/>
          <w:szCs w:val="22"/>
        </w:rPr>
        <w:t>C</w:t>
      </w:r>
      <w:r w:rsidR="0048563F" w:rsidRPr="00BF09BA">
        <w:rPr>
          <w:rFonts w:asciiTheme="minorHAnsi" w:hAnsiTheme="minorHAnsi" w:cs="Arial"/>
          <w:i/>
          <w:szCs w:val="22"/>
        </w:rPr>
        <w:t>ities</w:t>
      </w:r>
      <w:r w:rsidRPr="00BF09BA">
        <w:rPr>
          <w:rFonts w:asciiTheme="minorHAnsi" w:hAnsiTheme="minorHAnsi" w:cs="Arial"/>
          <w:i/>
          <w:szCs w:val="22"/>
        </w:rPr>
        <w:t xml:space="preserve">: Opportunities in a </w:t>
      </w:r>
      <w:r w:rsidR="0048563F">
        <w:rPr>
          <w:rFonts w:asciiTheme="minorHAnsi" w:hAnsiTheme="minorHAnsi" w:cs="Arial"/>
          <w:i/>
          <w:szCs w:val="22"/>
        </w:rPr>
        <w:t>C</w:t>
      </w:r>
      <w:r w:rsidR="0048563F" w:rsidRPr="00BF09BA">
        <w:rPr>
          <w:rFonts w:asciiTheme="minorHAnsi" w:hAnsiTheme="minorHAnsi" w:cs="Arial"/>
          <w:i/>
          <w:szCs w:val="22"/>
        </w:rPr>
        <w:t xml:space="preserve">hanging </w:t>
      </w:r>
      <w:r w:rsidR="0048563F">
        <w:rPr>
          <w:rFonts w:asciiTheme="minorHAnsi" w:hAnsiTheme="minorHAnsi" w:cs="Arial"/>
          <w:i/>
          <w:szCs w:val="22"/>
        </w:rPr>
        <w:t>E</w:t>
      </w:r>
      <w:r w:rsidR="0048563F" w:rsidRPr="00BF09BA">
        <w:rPr>
          <w:rFonts w:asciiTheme="minorHAnsi" w:hAnsiTheme="minorHAnsi" w:cs="Arial"/>
          <w:i/>
          <w:szCs w:val="22"/>
        </w:rPr>
        <w:t>conomy</w:t>
      </w:r>
      <w:r w:rsidRPr="00BF09BA">
        <w:rPr>
          <w:rFonts w:asciiTheme="minorHAnsi" w:hAnsiTheme="minorHAnsi" w:cs="Arial"/>
          <w:szCs w:val="22"/>
        </w:rPr>
        <w:t xml:space="preserve">, Grattan Institute report no. 2013-5, </w:t>
      </w:r>
      <w:r w:rsidR="0000608A" w:rsidRPr="00BF09BA">
        <w:rPr>
          <w:rFonts w:asciiTheme="minorHAnsi" w:hAnsiTheme="minorHAnsi" w:cs="Arial"/>
          <w:szCs w:val="22"/>
        </w:rPr>
        <w:t>Melbourne</w:t>
      </w:r>
      <w:r w:rsidRPr="00BF09BA">
        <w:rPr>
          <w:rFonts w:asciiTheme="minorHAnsi" w:hAnsiTheme="minorHAnsi" w:cs="Arial"/>
          <w:szCs w:val="22"/>
        </w:rPr>
        <w:t>.</w:t>
      </w:r>
    </w:p>
    <w:p w14:paraId="3CA13769" w14:textId="77777777" w:rsidR="00566496" w:rsidRDefault="00566496">
      <w:pPr>
        <w:spacing w:before="0" w:after="240"/>
        <w:jc w:val="left"/>
        <w:rPr>
          <w:rFonts w:asciiTheme="minorHAnsi" w:hAnsiTheme="minorHAnsi"/>
          <w:szCs w:val="22"/>
        </w:rPr>
      </w:pPr>
      <w:proofErr w:type="spellStart"/>
      <w:r>
        <w:rPr>
          <w:rFonts w:asciiTheme="minorHAnsi" w:hAnsiTheme="minorHAnsi"/>
          <w:szCs w:val="22"/>
        </w:rPr>
        <w:t>Keywood</w:t>
      </w:r>
      <w:proofErr w:type="spellEnd"/>
      <w:r w:rsidR="00DF4F57">
        <w:rPr>
          <w:rFonts w:asciiTheme="minorHAnsi" w:hAnsiTheme="minorHAnsi"/>
          <w:szCs w:val="22"/>
        </w:rPr>
        <w:t>,</w:t>
      </w:r>
      <w:r>
        <w:rPr>
          <w:rFonts w:asciiTheme="minorHAnsi" w:hAnsiTheme="minorHAnsi"/>
          <w:szCs w:val="22"/>
        </w:rPr>
        <w:t xml:space="preserve"> MD, Hibberd</w:t>
      </w:r>
      <w:r w:rsidR="00DF4F57">
        <w:rPr>
          <w:rFonts w:asciiTheme="minorHAnsi" w:hAnsiTheme="minorHAnsi"/>
          <w:szCs w:val="22"/>
        </w:rPr>
        <w:t>,</w:t>
      </w:r>
      <w:r>
        <w:rPr>
          <w:rFonts w:asciiTheme="minorHAnsi" w:hAnsiTheme="minorHAnsi"/>
          <w:szCs w:val="22"/>
        </w:rPr>
        <w:t xml:space="preserve"> MF &amp; Emmerson</w:t>
      </w:r>
      <w:r w:rsidR="00DF4F57">
        <w:rPr>
          <w:rFonts w:asciiTheme="minorHAnsi" w:hAnsiTheme="minorHAnsi"/>
          <w:szCs w:val="22"/>
        </w:rPr>
        <w:t>,</w:t>
      </w:r>
      <w:r>
        <w:rPr>
          <w:rFonts w:asciiTheme="minorHAnsi" w:hAnsiTheme="minorHAnsi"/>
          <w:szCs w:val="22"/>
        </w:rPr>
        <w:t xml:space="preserve"> KM </w:t>
      </w:r>
      <w:r w:rsidRPr="00B23893">
        <w:rPr>
          <w:rFonts w:asciiTheme="minorHAnsi" w:hAnsiTheme="minorHAnsi"/>
          <w:szCs w:val="22"/>
        </w:rPr>
        <w:t>2017</w:t>
      </w:r>
      <w:r>
        <w:rPr>
          <w:rFonts w:asciiTheme="minorHAnsi" w:hAnsiTheme="minorHAnsi"/>
          <w:szCs w:val="22"/>
        </w:rPr>
        <w:t>,</w:t>
      </w:r>
      <w:r w:rsidRPr="00B23893">
        <w:rPr>
          <w:rFonts w:asciiTheme="minorHAnsi" w:hAnsiTheme="minorHAnsi"/>
          <w:szCs w:val="22"/>
        </w:rPr>
        <w:t xml:space="preserve"> </w:t>
      </w:r>
      <w:r w:rsidRPr="001A522E">
        <w:rPr>
          <w:rFonts w:asciiTheme="minorHAnsi" w:hAnsiTheme="minorHAnsi"/>
          <w:i/>
          <w:szCs w:val="22"/>
        </w:rPr>
        <w:t xml:space="preserve">Australia </w:t>
      </w:r>
      <w:r w:rsidR="00DF4F57">
        <w:rPr>
          <w:rFonts w:asciiTheme="minorHAnsi" w:hAnsiTheme="minorHAnsi"/>
          <w:i/>
          <w:szCs w:val="22"/>
        </w:rPr>
        <w:t>S</w:t>
      </w:r>
      <w:r w:rsidRPr="001A522E">
        <w:rPr>
          <w:rFonts w:asciiTheme="minorHAnsi" w:hAnsiTheme="minorHAnsi"/>
          <w:i/>
          <w:szCs w:val="22"/>
        </w:rPr>
        <w:t xml:space="preserve">tate of the </w:t>
      </w:r>
      <w:r w:rsidR="00DF4F57">
        <w:rPr>
          <w:rFonts w:asciiTheme="minorHAnsi" w:hAnsiTheme="minorHAnsi"/>
          <w:i/>
          <w:szCs w:val="22"/>
        </w:rPr>
        <w:t>E</w:t>
      </w:r>
      <w:r w:rsidRPr="001A522E">
        <w:rPr>
          <w:rFonts w:asciiTheme="minorHAnsi" w:hAnsiTheme="minorHAnsi"/>
          <w:i/>
          <w:szCs w:val="22"/>
        </w:rPr>
        <w:t xml:space="preserve">nvironment 2016: </w:t>
      </w:r>
      <w:r w:rsidR="00DF4F57">
        <w:rPr>
          <w:rFonts w:asciiTheme="minorHAnsi" w:hAnsiTheme="minorHAnsi"/>
          <w:i/>
          <w:szCs w:val="22"/>
        </w:rPr>
        <w:t>A</w:t>
      </w:r>
      <w:r w:rsidRPr="001A522E">
        <w:rPr>
          <w:rFonts w:asciiTheme="minorHAnsi" w:hAnsiTheme="minorHAnsi"/>
          <w:i/>
          <w:szCs w:val="22"/>
        </w:rPr>
        <w:t>tmosphere</w:t>
      </w:r>
      <w:r w:rsidRPr="00B23893">
        <w:rPr>
          <w:rFonts w:asciiTheme="minorHAnsi" w:hAnsiTheme="minorHAnsi"/>
          <w:szCs w:val="22"/>
        </w:rPr>
        <w:t>, independent report to the Australian Government Minister for the Environment and Energy, Australian Government Department of the Environment and Energy, Canberra</w:t>
      </w:r>
      <w:r>
        <w:rPr>
          <w:rFonts w:asciiTheme="minorHAnsi" w:hAnsiTheme="minorHAnsi"/>
          <w:szCs w:val="22"/>
        </w:rPr>
        <w:t>.</w:t>
      </w:r>
    </w:p>
    <w:p w14:paraId="0FD78958"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Kohler, M &amp; Van der Merwe, M 2015, ‘Long-run </w:t>
      </w:r>
      <w:r w:rsidR="0048563F">
        <w:rPr>
          <w:rFonts w:asciiTheme="minorHAnsi" w:hAnsiTheme="minorHAnsi"/>
          <w:color w:val="auto"/>
          <w:sz w:val="22"/>
        </w:rPr>
        <w:t>T</w:t>
      </w:r>
      <w:r w:rsidRPr="00BF09BA">
        <w:rPr>
          <w:rFonts w:asciiTheme="minorHAnsi" w:hAnsiTheme="minorHAnsi"/>
          <w:color w:val="auto"/>
          <w:sz w:val="22"/>
        </w:rPr>
        <w:t xml:space="preserve">rends in </w:t>
      </w:r>
      <w:r w:rsidR="0048563F">
        <w:rPr>
          <w:rFonts w:asciiTheme="minorHAnsi" w:hAnsiTheme="minorHAnsi"/>
          <w:color w:val="auto"/>
          <w:sz w:val="22"/>
        </w:rPr>
        <w:t>H</w:t>
      </w:r>
      <w:r w:rsidR="0048563F" w:rsidRPr="00BF09BA">
        <w:rPr>
          <w:rFonts w:asciiTheme="minorHAnsi" w:hAnsiTheme="minorHAnsi"/>
          <w:color w:val="auto"/>
          <w:sz w:val="22"/>
        </w:rPr>
        <w:t xml:space="preserve">ousing </w:t>
      </w:r>
      <w:r w:rsidR="0048563F">
        <w:rPr>
          <w:rFonts w:asciiTheme="minorHAnsi" w:hAnsiTheme="minorHAnsi"/>
          <w:color w:val="auto"/>
          <w:sz w:val="22"/>
        </w:rPr>
        <w:t>P</w:t>
      </w:r>
      <w:r w:rsidRPr="00BF09BA">
        <w:rPr>
          <w:rFonts w:asciiTheme="minorHAnsi" w:hAnsiTheme="minorHAnsi"/>
          <w:color w:val="auto"/>
          <w:sz w:val="22"/>
        </w:rPr>
        <w:t xml:space="preserve">rice </w:t>
      </w:r>
      <w:r w:rsidR="0048563F">
        <w:rPr>
          <w:rFonts w:asciiTheme="minorHAnsi" w:hAnsiTheme="minorHAnsi"/>
          <w:color w:val="auto"/>
          <w:sz w:val="22"/>
        </w:rPr>
        <w:t>G</w:t>
      </w:r>
      <w:r w:rsidR="0048563F" w:rsidRPr="00BF09BA">
        <w:rPr>
          <w:rFonts w:asciiTheme="minorHAnsi" w:hAnsiTheme="minorHAnsi"/>
          <w:color w:val="auto"/>
          <w:sz w:val="22"/>
        </w:rPr>
        <w:t>rowth’</w:t>
      </w:r>
      <w:r w:rsidRPr="00BF09BA">
        <w:rPr>
          <w:rFonts w:asciiTheme="minorHAnsi" w:hAnsiTheme="minorHAnsi"/>
          <w:color w:val="auto"/>
          <w:sz w:val="22"/>
        </w:rPr>
        <w:t xml:space="preserve">, </w:t>
      </w:r>
      <w:r w:rsidRPr="00BF09BA">
        <w:rPr>
          <w:rFonts w:asciiTheme="minorHAnsi" w:hAnsiTheme="minorHAnsi"/>
          <w:i/>
          <w:color w:val="auto"/>
          <w:sz w:val="22"/>
        </w:rPr>
        <w:t>Reserve Bank of Australia Bulletin</w:t>
      </w:r>
      <w:r w:rsidRPr="00BF09BA">
        <w:rPr>
          <w:rFonts w:asciiTheme="minorHAnsi" w:hAnsiTheme="minorHAnsi"/>
          <w:color w:val="auto"/>
          <w:sz w:val="22"/>
        </w:rPr>
        <w:t>, September Quarter 2015,</w:t>
      </w:r>
      <w:r w:rsidR="00C067AD" w:rsidRPr="00BF09BA">
        <w:rPr>
          <w:rFonts w:asciiTheme="minorHAnsi" w:hAnsiTheme="minorHAnsi"/>
          <w:color w:val="auto"/>
          <w:sz w:val="22"/>
        </w:rPr>
        <w:t xml:space="preserve"> Canberra</w:t>
      </w:r>
      <w:r w:rsidR="000A07A2">
        <w:rPr>
          <w:rFonts w:asciiTheme="minorHAnsi" w:hAnsiTheme="minorHAnsi"/>
          <w:color w:val="auto"/>
          <w:sz w:val="22"/>
        </w:rPr>
        <w:t>.</w:t>
      </w:r>
    </w:p>
    <w:p w14:paraId="5ABCB269" w14:textId="77777777" w:rsidR="0059098E" w:rsidRPr="00717E93" w:rsidRDefault="0059098E">
      <w:pPr>
        <w:spacing w:before="0" w:after="240"/>
        <w:jc w:val="left"/>
        <w:rPr>
          <w:rFonts w:asciiTheme="minorHAnsi" w:hAnsiTheme="minorHAnsi" w:cs="Arial"/>
          <w:szCs w:val="22"/>
        </w:rPr>
      </w:pPr>
      <w:r w:rsidRPr="00717E93">
        <w:rPr>
          <w:rFonts w:asciiTheme="minorHAnsi" w:hAnsiTheme="minorHAnsi"/>
          <w:szCs w:val="22"/>
        </w:rPr>
        <w:t>Krueger, AB 2016</w:t>
      </w:r>
      <w:r w:rsidRPr="00717E93">
        <w:rPr>
          <w:rFonts w:asciiTheme="minorHAnsi" w:hAnsiTheme="minorHAnsi" w:cs="Arial"/>
          <w:szCs w:val="22"/>
        </w:rPr>
        <w:t xml:space="preserve">, ‘Where </w:t>
      </w:r>
      <w:r w:rsidR="0048563F" w:rsidRPr="00717E93">
        <w:rPr>
          <w:rFonts w:asciiTheme="minorHAnsi" w:hAnsiTheme="minorHAnsi" w:cs="Arial"/>
          <w:szCs w:val="22"/>
        </w:rPr>
        <w:t xml:space="preserve">Have All </w:t>
      </w:r>
      <w:r w:rsidRPr="00717E93">
        <w:rPr>
          <w:rFonts w:asciiTheme="minorHAnsi" w:hAnsiTheme="minorHAnsi" w:cs="Arial"/>
          <w:szCs w:val="22"/>
        </w:rPr>
        <w:t xml:space="preserve">the </w:t>
      </w:r>
      <w:r w:rsidR="0048563F" w:rsidRPr="00717E93">
        <w:rPr>
          <w:rFonts w:asciiTheme="minorHAnsi" w:hAnsiTheme="minorHAnsi" w:cs="Arial"/>
          <w:szCs w:val="22"/>
        </w:rPr>
        <w:t>Workers Gone</w:t>
      </w:r>
      <w:r w:rsidRPr="00717E93">
        <w:rPr>
          <w:rFonts w:asciiTheme="minorHAnsi" w:hAnsiTheme="minorHAnsi" w:cs="Arial"/>
          <w:szCs w:val="22"/>
        </w:rPr>
        <w:t xml:space="preserve">?’, paper presented at the </w:t>
      </w:r>
      <w:r w:rsidRPr="00717E93">
        <w:rPr>
          <w:rFonts w:asciiTheme="minorHAnsi" w:hAnsiTheme="minorHAnsi" w:cs="Arial"/>
          <w:i/>
          <w:szCs w:val="22"/>
        </w:rPr>
        <w:t>Boston Federal Reserve Bank’s 60</w:t>
      </w:r>
      <w:r w:rsidRPr="00717E93">
        <w:rPr>
          <w:rFonts w:asciiTheme="minorHAnsi" w:hAnsiTheme="minorHAnsi" w:cs="Arial"/>
          <w:i/>
          <w:szCs w:val="22"/>
          <w:vertAlign w:val="superscript"/>
        </w:rPr>
        <w:t>th</w:t>
      </w:r>
      <w:r w:rsidRPr="00717E93">
        <w:rPr>
          <w:rFonts w:asciiTheme="minorHAnsi" w:hAnsiTheme="minorHAnsi" w:cs="Arial"/>
          <w:i/>
          <w:szCs w:val="22"/>
        </w:rPr>
        <w:t xml:space="preserve"> Economic Conference</w:t>
      </w:r>
      <w:r w:rsidRPr="00717E93">
        <w:rPr>
          <w:rFonts w:asciiTheme="minorHAnsi" w:hAnsiTheme="minorHAnsi" w:cs="Arial"/>
          <w:szCs w:val="22"/>
        </w:rPr>
        <w:t xml:space="preserve">, </w:t>
      </w:r>
      <w:r w:rsidR="0000608A" w:rsidRPr="00717E93">
        <w:rPr>
          <w:rFonts w:asciiTheme="minorHAnsi" w:hAnsiTheme="minorHAnsi" w:cs="Arial"/>
          <w:szCs w:val="22"/>
        </w:rPr>
        <w:t xml:space="preserve">available at </w:t>
      </w:r>
      <w:hyperlink r:id="rId118" w:history="1">
        <w:r w:rsidRPr="00717E93">
          <w:rPr>
            <w:rStyle w:val="Hyperlink"/>
            <w:szCs w:val="22"/>
          </w:rPr>
          <w:t>https://www.bostonfed.org/-/media/Documents/economic/...2016/Alan-B-Krueger.pdf</w:t>
        </w:r>
      </w:hyperlink>
      <w:r w:rsidRPr="00717E93">
        <w:rPr>
          <w:rStyle w:val="HTMLCite"/>
          <w:rFonts w:asciiTheme="minorHAnsi" w:hAnsiTheme="minorHAnsi"/>
          <w:szCs w:val="22"/>
        </w:rPr>
        <w:t>.</w:t>
      </w:r>
    </w:p>
    <w:p w14:paraId="14153DE3" w14:textId="77777777" w:rsidR="0059098E" w:rsidRPr="00BF09BA" w:rsidRDefault="0059098E">
      <w:pPr>
        <w:pStyle w:val="References"/>
        <w:jc w:val="left"/>
        <w:rPr>
          <w:rFonts w:asciiTheme="minorHAnsi" w:hAnsiTheme="minorHAnsi"/>
          <w:i/>
          <w:color w:val="auto"/>
          <w:sz w:val="22"/>
        </w:rPr>
      </w:pPr>
      <w:r w:rsidRPr="00BF09BA">
        <w:rPr>
          <w:rFonts w:asciiTheme="minorHAnsi" w:hAnsiTheme="minorHAnsi"/>
          <w:color w:val="auto"/>
          <w:sz w:val="22"/>
        </w:rPr>
        <w:t xml:space="preserve">Markus, A 2012, </w:t>
      </w:r>
      <w:r w:rsidRPr="00BF09BA">
        <w:rPr>
          <w:rFonts w:asciiTheme="minorHAnsi" w:hAnsiTheme="minorHAnsi"/>
          <w:i/>
          <w:color w:val="auto"/>
          <w:sz w:val="22"/>
        </w:rPr>
        <w:t xml:space="preserve">Mapping </w:t>
      </w:r>
      <w:r w:rsidR="0048563F">
        <w:rPr>
          <w:rFonts w:asciiTheme="minorHAnsi" w:hAnsiTheme="minorHAnsi"/>
          <w:i/>
          <w:color w:val="auto"/>
          <w:sz w:val="22"/>
        </w:rPr>
        <w:t>S</w:t>
      </w:r>
      <w:r w:rsidR="0048563F" w:rsidRPr="00BF09BA">
        <w:rPr>
          <w:rFonts w:asciiTheme="minorHAnsi" w:hAnsiTheme="minorHAnsi"/>
          <w:i/>
          <w:color w:val="auto"/>
          <w:sz w:val="22"/>
        </w:rPr>
        <w:t xml:space="preserve">ocial </w:t>
      </w:r>
      <w:r w:rsidR="0048563F">
        <w:rPr>
          <w:rFonts w:asciiTheme="minorHAnsi" w:hAnsiTheme="minorHAnsi"/>
          <w:i/>
          <w:color w:val="auto"/>
          <w:sz w:val="22"/>
        </w:rPr>
        <w:t>C</w:t>
      </w:r>
      <w:r w:rsidR="0048563F" w:rsidRPr="00BF09BA">
        <w:rPr>
          <w:rFonts w:asciiTheme="minorHAnsi" w:hAnsiTheme="minorHAnsi"/>
          <w:i/>
          <w:color w:val="auto"/>
          <w:sz w:val="22"/>
        </w:rPr>
        <w:t xml:space="preserve">ohesion </w:t>
      </w:r>
      <w:r w:rsidRPr="00BF09BA">
        <w:rPr>
          <w:rFonts w:asciiTheme="minorHAnsi" w:hAnsiTheme="minorHAnsi"/>
          <w:i/>
          <w:color w:val="auto"/>
          <w:sz w:val="22"/>
        </w:rPr>
        <w:t xml:space="preserve">– The Scanlon Foundation </w:t>
      </w:r>
      <w:r w:rsidR="0048563F">
        <w:rPr>
          <w:rFonts w:asciiTheme="minorHAnsi" w:hAnsiTheme="minorHAnsi"/>
          <w:i/>
          <w:color w:val="auto"/>
          <w:sz w:val="22"/>
        </w:rPr>
        <w:t>S</w:t>
      </w:r>
      <w:r w:rsidR="0048563F" w:rsidRPr="00BF09BA">
        <w:rPr>
          <w:rFonts w:asciiTheme="minorHAnsi" w:hAnsiTheme="minorHAnsi"/>
          <w:i/>
          <w:color w:val="auto"/>
          <w:sz w:val="22"/>
        </w:rPr>
        <w:t xml:space="preserve">urveys </w:t>
      </w:r>
      <w:r w:rsidR="0048563F">
        <w:rPr>
          <w:rFonts w:asciiTheme="minorHAnsi" w:hAnsiTheme="minorHAnsi"/>
          <w:i/>
          <w:color w:val="auto"/>
          <w:sz w:val="22"/>
        </w:rPr>
        <w:t>N</w:t>
      </w:r>
      <w:r w:rsidR="0048563F" w:rsidRPr="00BF09BA">
        <w:rPr>
          <w:rFonts w:asciiTheme="minorHAnsi" w:hAnsiTheme="minorHAnsi"/>
          <w:i/>
          <w:color w:val="auto"/>
          <w:sz w:val="22"/>
        </w:rPr>
        <w:t xml:space="preserve">eighbourhoods </w:t>
      </w:r>
      <w:r w:rsidR="0048563F">
        <w:rPr>
          <w:rFonts w:asciiTheme="minorHAnsi" w:hAnsiTheme="minorHAnsi"/>
          <w:i/>
          <w:color w:val="auto"/>
          <w:sz w:val="22"/>
        </w:rPr>
        <w:t>R</w:t>
      </w:r>
      <w:r w:rsidR="0048563F" w:rsidRPr="00BF09BA">
        <w:rPr>
          <w:rFonts w:asciiTheme="minorHAnsi" w:hAnsiTheme="minorHAnsi"/>
          <w:i/>
          <w:color w:val="auto"/>
          <w:sz w:val="22"/>
        </w:rPr>
        <w:t>eport</w:t>
      </w:r>
      <w:r w:rsidRPr="00BF09BA">
        <w:rPr>
          <w:rFonts w:asciiTheme="minorHAnsi" w:hAnsiTheme="minorHAnsi"/>
          <w:i/>
          <w:color w:val="auto"/>
          <w:sz w:val="22"/>
        </w:rPr>
        <w:t xml:space="preserve">: </w:t>
      </w:r>
      <w:r w:rsidR="0048563F">
        <w:rPr>
          <w:rFonts w:asciiTheme="minorHAnsi" w:hAnsiTheme="minorHAnsi"/>
          <w:i/>
          <w:color w:val="auto"/>
          <w:sz w:val="22"/>
        </w:rPr>
        <w:t>A</w:t>
      </w:r>
      <w:r w:rsidR="0048563F" w:rsidRPr="00BF09BA">
        <w:rPr>
          <w:rFonts w:asciiTheme="minorHAnsi" w:hAnsiTheme="minorHAnsi"/>
          <w:i/>
          <w:color w:val="auto"/>
          <w:sz w:val="22"/>
        </w:rPr>
        <w:t xml:space="preserve">reas </w:t>
      </w:r>
      <w:r w:rsidRPr="00BF09BA">
        <w:rPr>
          <w:rFonts w:asciiTheme="minorHAnsi" w:hAnsiTheme="minorHAnsi"/>
          <w:i/>
          <w:color w:val="auto"/>
          <w:sz w:val="22"/>
        </w:rPr>
        <w:t xml:space="preserve">of </w:t>
      </w:r>
      <w:r w:rsidR="0048563F">
        <w:rPr>
          <w:rFonts w:asciiTheme="minorHAnsi" w:hAnsiTheme="minorHAnsi"/>
          <w:i/>
          <w:color w:val="auto"/>
          <w:sz w:val="22"/>
        </w:rPr>
        <w:t>I</w:t>
      </w:r>
      <w:r w:rsidR="0048563F" w:rsidRPr="00BF09BA">
        <w:rPr>
          <w:rFonts w:asciiTheme="minorHAnsi" w:hAnsiTheme="minorHAnsi"/>
          <w:i/>
          <w:color w:val="auto"/>
          <w:sz w:val="22"/>
        </w:rPr>
        <w:t xml:space="preserve">mmigrant </w:t>
      </w:r>
      <w:r w:rsidR="0048563F">
        <w:rPr>
          <w:rFonts w:asciiTheme="minorHAnsi" w:hAnsiTheme="minorHAnsi"/>
          <w:i/>
          <w:color w:val="auto"/>
          <w:sz w:val="22"/>
        </w:rPr>
        <w:t>C</w:t>
      </w:r>
      <w:r w:rsidR="0048563F" w:rsidRPr="00BF09BA">
        <w:rPr>
          <w:rFonts w:asciiTheme="minorHAnsi" w:hAnsiTheme="minorHAnsi"/>
          <w:i/>
          <w:color w:val="auto"/>
          <w:sz w:val="22"/>
        </w:rPr>
        <w:t xml:space="preserve">oncentration </w:t>
      </w:r>
      <w:r w:rsidRPr="00BF09BA">
        <w:rPr>
          <w:rFonts w:asciiTheme="minorHAnsi" w:hAnsiTheme="minorHAnsi"/>
          <w:i/>
          <w:color w:val="auto"/>
          <w:sz w:val="22"/>
        </w:rPr>
        <w:t>2012</w:t>
      </w:r>
      <w:r w:rsidRPr="00BF09BA">
        <w:rPr>
          <w:rFonts w:asciiTheme="minorHAnsi" w:hAnsiTheme="minorHAnsi"/>
          <w:color w:val="auto"/>
          <w:sz w:val="22"/>
        </w:rPr>
        <w:t>, Scanlon Foundation</w:t>
      </w:r>
      <w:r w:rsidR="00DF4F57">
        <w:rPr>
          <w:rFonts w:asciiTheme="minorHAnsi" w:hAnsiTheme="minorHAnsi"/>
          <w:color w:val="auto"/>
          <w:sz w:val="22"/>
        </w:rPr>
        <w:t xml:space="preserve"> report</w:t>
      </w:r>
      <w:r w:rsidRPr="00BF09BA">
        <w:rPr>
          <w:rFonts w:asciiTheme="minorHAnsi" w:hAnsiTheme="minorHAnsi"/>
          <w:color w:val="auto"/>
          <w:sz w:val="22"/>
        </w:rPr>
        <w:t xml:space="preserve">, </w:t>
      </w:r>
      <w:r w:rsidR="00641C79">
        <w:rPr>
          <w:rFonts w:asciiTheme="minorHAnsi" w:hAnsiTheme="minorHAnsi"/>
          <w:color w:val="auto"/>
          <w:sz w:val="22"/>
        </w:rPr>
        <w:t xml:space="preserve">Monash University, </w:t>
      </w:r>
      <w:r w:rsidR="00DF4F57">
        <w:rPr>
          <w:rFonts w:asciiTheme="minorHAnsi" w:hAnsiTheme="minorHAnsi"/>
          <w:color w:val="auto"/>
          <w:sz w:val="22"/>
        </w:rPr>
        <w:t>Caulfield</w:t>
      </w:r>
      <w:r w:rsidRPr="00BF09BA">
        <w:rPr>
          <w:rFonts w:asciiTheme="minorHAnsi" w:hAnsiTheme="minorHAnsi"/>
          <w:color w:val="auto"/>
          <w:sz w:val="22"/>
        </w:rPr>
        <w:t>.</w:t>
      </w:r>
    </w:p>
    <w:p w14:paraId="0DF3FBD8"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Markus, A 2016a</w:t>
      </w:r>
      <w:r w:rsidRPr="00BF09BA">
        <w:rPr>
          <w:rFonts w:asciiTheme="minorHAnsi" w:hAnsiTheme="minorHAnsi" w:cs="Arial"/>
          <w:szCs w:val="22"/>
        </w:rPr>
        <w:t xml:space="preserve">, </w:t>
      </w:r>
      <w:r w:rsidRPr="00BF09BA">
        <w:rPr>
          <w:rFonts w:asciiTheme="minorHAnsi" w:hAnsiTheme="minorHAnsi" w:cs="Arial"/>
          <w:i/>
          <w:szCs w:val="22"/>
        </w:rPr>
        <w:t xml:space="preserve">Australians </w:t>
      </w:r>
      <w:r w:rsidR="0048563F">
        <w:rPr>
          <w:rFonts w:asciiTheme="minorHAnsi" w:hAnsiTheme="minorHAnsi" w:cs="Arial"/>
          <w:i/>
          <w:szCs w:val="22"/>
        </w:rPr>
        <w:t>T</w:t>
      </w:r>
      <w:r w:rsidR="0048563F" w:rsidRPr="00BF09BA">
        <w:rPr>
          <w:rFonts w:asciiTheme="minorHAnsi" w:hAnsiTheme="minorHAnsi" w:cs="Arial"/>
          <w:i/>
          <w:szCs w:val="22"/>
        </w:rPr>
        <w:t>oday</w:t>
      </w:r>
      <w:r w:rsidRPr="00BF09BA">
        <w:rPr>
          <w:rFonts w:asciiTheme="minorHAnsi" w:hAnsiTheme="minorHAnsi" w:cs="Arial"/>
          <w:i/>
          <w:szCs w:val="22"/>
        </w:rPr>
        <w:t>: The Australia@2015 Scanlon Foundation Survey</w:t>
      </w:r>
      <w:r w:rsidRPr="00BF09BA">
        <w:rPr>
          <w:rFonts w:asciiTheme="minorHAnsi" w:hAnsiTheme="minorHAnsi" w:cs="Arial"/>
          <w:szCs w:val="22"/>
        </w:rPr>
        <w:t>, Scanlon</w:t>
      </w:r>
      <w:r w:rsidR="00AF0916">
        <w:rPr>
          <w:rFonts w:asciiTheme="minorHAnsi" w:hAnsiTheme="minorHAnsi" w:cs="Arial"/>
          <w:szCs w:val="22"/>
        </w:rPr>
        <w:t> </w:t>
      </w:r>
      <w:r w:rsidRPr="00BF09BA">
        <w:rPr>
          <w:rFonts w:asciiTheme="minorHAnsi" w:hAnsiTheme="minorHAnsi" w:cs="Arial"/>
          <w:szCs w:val="22"/>
        </w:rPr>
        <w:t>Foundation</w:t>
      </w:r>
      <w:r w:rsidR="00DF4F57">
        <w:rPr>
          <w:rFonts w:asciiTheme="minorHAnsi" w:hAnsiTheme="minorHAnsi" w:cs="Arial"/>
          <w:szCs w:val="22"/>
        </w:rPr>
        <w:t xml:space="preserve"> report</w:t>
      </w:r>
      <w:r w:rsidRPr="00BF09BA">
        <w:rPr>
          <w:rFonts w:asciiTheme="minorHAnsi" w:hAnsiTheme="minorHAnsi" w:cs="Arial"/>
          <w:szCs w:val="22"/>
        </w:rPr>
        <w:t xml:space="preserve">, </w:t>
      </w:r>
      <w:r w:rsidR="00641C79">
        <w:rPr>
          <w:rFonts w:asciiTheme="minorHAnsi" w:hAnsiTheme="minorHAnsi"/>
        </w:rPr>
        <w:t xml:space="preserve">Monash University, </w:t>
      </w:r>
      <w:r w:rsidR="00DF4F57">
        <w:rPr>
          <w:rFonts w:asciiTheme="minorHAnsi" w:hAnsiTheme="minorHAnsi"/>
        </w:rPr>
        <w:t>Caulfield</w:t>
      </w:r>
      <w:r w:rsidRPr="00BF09BA">
        <w:rPr>
          <w:rFonts w:asciiTheme="minorHAnsi" w:hAnsiTheme="minorHAnsi" w:cs="Arial"/>
          <w:szCs w:val="22"/>
        </w:rPr>
        <w:t>.</w:t>
      </w:r>
    </w:p>
    <w:p w14:paraId="641140CB"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Markus, A 2016b</w:t>
      </w:r>
      <w:r w:rsidRPr="00BF09BA">
        <w:rPr>
          <w:rFonts w:asciiTheme="minorHAnsi" w:hAnsiTheme="minorHAnsi" w:cs="Arial"/>
          <w:szCs w:val="22"/>
        </w:rPr>
        <w:t xml:space="preserve">, </w:t>
      </w:r>
      <w:r w:rsidRPr="00BF09BA">
        <w:rPr>
          <w:rFonts w:asciiTheme="minorHAnsi" w:hAnsiTheme="minorHAnsi" w:cs="Arial"/>
          <w:i/>
          <w:szCs w:val="22"/>
        </w:rPr>
        <w:t xml:space="preserve">Mapping </w:t>
      </w:r>
      <w:r w:rsidR="0048563F">
        <w:rPr>
          <w:rFonts w:asciiTheme="minorHAnsi" w:hAnsiTheme="minorHAnsi" w:cs="Arial"/>
          <w:i/>
          <w:szCs w:val="22"/>
        </w:rPr>
        <w:t>S</w:t>
      </w:r>
      <w:r w:rsidR="0048563F" w:rsidRPr="00BF09BA">
        <w:rPr>
          <w:rFonts w:asciiTheme="minorHAnsi" w:hAnsiTheme="minorHAnsi" w:cs="Arial"/>
          <w:i/>
          <w:szCs w:val="22"/>
        </w:rPr>
        <w:t xml:space="preserve">ocial </w:t>
      </w:r>
      <w:r w:rsidR="0048563F">
        <w:rPr>
          <w:rFonts w:asciiTheme="minorHAnsi" w:hAnsiTheme="minorHAnsi" w:cs="Arial"/>
          <w:i/>
          <w:szCs w:val="22"/>
        </w:rPr>
        <w:t>C</w:t>
      </w:r>
      <w:r w:rsidR="0048563F" w:rsidRPr="00BF09BA">
        <w:rPr>
          <w:rFonts w:asciiTheme="minorHAnsi" w:hAnsiTheme="minorHAnsi" w:cs="Arial"/>
          <w:i/>
          <w:szCs w:val="22"/>
        </w:rPr>
        <w:t>ohesion</w:t>
      </w:r>
      <w:r w:rsidRPr="00BF09BA">
        <w:rPr>
          <w:rFonts w:asciiTheme="minorHAnsi" w:hAnsiTheme="minorHAnsi" w:cs="Arial"/>
          <w:i/>
          <w:szCs w:val="22"/>
        </w:rPr>
        <w:t xml:space="preserve">: The Scanlon Foundation </w:t>
      </w:r>
      <w:r w:rsidR="0048563F">
        <w:rPr>
          <w:rFonts w:asciiTheme="minorHAnsi" w:hAnsiTheme="minorHAnsi" w:cs="Arial"/>
          <w:i/>
          <w:szCs w:val="22"/>
        </w:rPr>
        <w:t>S</w:t>
      </w:r>
      <w:r w:rsidR="0048563F" w:rsidRPr="00BF09BA">
        <w:rPr>
          <w:rFonts w:asciiTheme="minorHAnsi" w:hAnsiTheme="minorHAnsi" w:cs="Arial"/>
          <w:i/>
          <w:szCs w:val="22"/>
        </w:rPr>
        <w:t xml:space="preserve">urveys </w:t>
      </w:r>
      <w:r w:rsidRPr="00BF09BA">
        <w:rPr>
          <w:rFonts w:asciiTheme="minorHAnsi" w:hAnsiTheme="minorHAnsi" w:cs="Arial"/>
          <w:i/>
          <w:szCs w:val="22"/>
        </w:rPr>
        <w:t>2016</w:t>
      </w:r>
      <w:r w:rsidRPr="00BF09BA">
        <w:rPr>
          <w:rFonts w:asciiTheme="minorHAnsi" w:hAnsiTheme="minorHAnsi" w:cs="Arial"/>
          <w:szCs w:val="22"/>
        </w:rPr>
        <w:t>, Scanlon</w:t>
      </w:r>
      <w:r w:rsidR="00AF0916">
        <w:rPr>
          <w:rFonts w:asciiTheme="minorHAnsi" w:hAnsiTheme="minorHAnsi" w:cs="Arial"/>
          <w:szCs w:val="22"/>
        </w:rPr>
        <w:t> </w:t>
      </w:r>
      <w:r w:rsidRPr="00BF09BA">
        <w:rPr>
          <w:rFonts w:asciiTheme="minorHAnsi" w:hAnsiTheme="minorHAnsi" w:cs="Arial"/>
          <w:szCs w:val="22"/>
        </w:rPr>
        <w:t>Foundation</w:t>
      </w:r>
      <w:r w:rsidR="00DF4F57">
        <w:rPr>
          <w:rFonts w:asciiTheme="minorHAnsi" w:hAnsiTheme="minorHAnsi" w:cs="Arial"/>
          <w:szCs w:val="22"/>
        </w:rPr>
        <w:t xml:space="preserve"> report</w:t>
      </w:r>
      <w:r w:rsidRPr="00BF09BA">
        <w:rPr>
          <w:rFonts w:asciiTheme="minorHAnsi" w:hAnsiTheme="minorHAnsi" w:cs="Arial"/>
          <w:szCs w:val="22"/>
        </w:rPr>
        <w:t>,</w:t>
      </w:r>
      <w:r w:rsidR="0000608A" w:rsidRPr="00BF09BA">
        <w:rPr>
          <w:rFonts w:asciiTheme="minorHAnsi" w:hAnsiTheme="minorHAnsi" w:cs="Arial"/>
          <w:szCs w:val="22"/>
        </w:rPr>
        <w:t xml:space="preserve"> </w:t>
      </w:r>
      <w:r w:rsidR="00641C79">
        <w:rPr>
          <w:rFonts w:asciiTheme="minorHAnsi" w:hAnsiTheme="minorHAnsi"/>
        </w:rPr>
        <w:t xml:space="preserve">Monash University, </w:t>
      </w:r>
      <w:r w:rsidR="00DF4F57">
        <w:rPr>
          <w:rFonts w:asciiTheme="minorHAnsi" w:hAnsiTheme="minorHAnsi"/>
        </w:rPr>
        <w:t>Caulfield</w:t>
      </w:r>
      <w:r w:rsidRPr="00BF09BA">
        <w:rPr>
          <w:rFonts w:asciiTheme="minorHAnsi" w:hAnsiTheme="minorHAnsi" w:cs="Arial"/>
          <w:szCs w:val="22"/>
        </w:rPr>
        <w:t>.</w:t>
      </w:r>
    </w:p>
    <w:p w14:paraId="04EF95D9" w14:textId="77777777" w:rsidR="003501E6" w:rsidRDefault="0059098E">
      <w:pPr>
        <w:spacing w:before="0" w:after="240"/>
        <w:jc w:val="left"/>
        <w:rPr>
          <w:rFonts w:asciiTheme="minorHAnsi" w:hAnsiTheme="minorHAnsi" w:cs="Arial"/>
          <w:szCs w:val="22"/>
        </w:rPr>
        <w:sectPr w:rsidR="003501E6" w:rsidSect="005D0DBA">
          <w:footerReference w:type="first" r:id="rId119"/>
          <w:pgSz w:w="11906" w:h="16838" w:code="277"/>
          <w:pgMar w:top="1418" w:right="1418" w:bottom="1418" w:left="1418" w:header="709" w:footer="709" w:gutter="0"/>
          <w:cols w:space="708"/>
          <w:titlePg/>
          <w:docGrid w:linePitch="360"/>
        </w:sectPr>
      </w:pPr>
      <w:proofErr w:type="spellStart"/>
      <w:r w:rsidRPr="00BF09BA">
        <w:rPr>
          <w:rFonts w:asciiTheme="minorHAnsi" w:hAnsiTheme="minorHAnsi"/>
          <w:szCs w:val="22"/>
        </w:rPr>
        <w:t>Megalogenis</w:t>
      </w:r>
      <w:proofErr w:type="spellEnd"/>
      <w:r w:rsidRPr="00BF09BA">
        <w:rPr>
          <w:rFonts w:asciiTheme="minorHAnsi" w:hAnsiTheme="minorHAnsi"/>
          <w:szCs w:val="22"/>
        </w:rPr>
        <w:t>, G 2015</w:t>
      </w:r>
      <w:r w:rsidRPr="00BF09BA">
        <w:rPr>
          <w:rFonts w:asciiTheme="minorHAnsi" w:hAnsiTheme="minorHAnsi" w:cs="Arial"/>
          <w:szCs w:val="22"/>
        </w:rPr>
        <w:t xml:space="preserve">, </w:t>
      </w:r>
      <w:r w:rsidRPr="00BF09BA">
        <w:rPr>
          <w:rFonts w:asciiTheme="minorHAnsi" w:hAnsiTheme="minorHAnsi" w:cs="Arial"/>
          <w:i/>
          <w:szCs w:val="22"/>
        </w:rPr>
        <w:t xml:space="preserve">Australia’s </w:t>
      </w:r>
      <w:r w:rsidR="0048563F">
        <w:rPr>
          <w:rFonts w:asciiTheme="minorHAnsi" w:hAnsiTheme="minorHAnsi" w:cs="Arial"/>
          <w:i/>
          <w:szCs w:val="22"/>
        </w:rPr>
        <w:t>S</w:t>
      </w:r>
      <w:r w:rsidR="0048563F" w:rsidRPr="00BF09BA">
        <w:rPr>
          <w:rFonts w:asciiTheme="minorHAnsi" w:hAnsiTheme="minorHAnsi" w:cs="Arial"/>
          <w:i/>
          <w:szCs w:val="22"/>
        </w:rPr>
        <w:t xml:space="preserve">econd </w:t>
      </w:r>
      <w:r w:rsidR="0048563F">
        <w:rPr>
          <w:rFonts w:asciiTheme="minorHAnsi" w:hAnsiTheme="minorHAnsi" w:cs="Arial"/>
          <w:i/>
          <w:szCs w:val="22"/>
        </w:rPr>
        <w:t>C</w:t>
      </w:r>
      <w:r w:rsidR="0048563F" w:rsidRPr="00BF09BA">
        <w:rPr>
          <w:rFonts w:asciiTheme="minorHAnsi" w:hAnsiTheme="minorHAnsi" w:cs="Arial"/>
          <w:i/>
          <w:szCs w:val="22"/>
        </w:rPr>
        <w:t>hance</w:t>
      </w:r>
      <w:r w:rsidRPr="00BF09BA">
        <w:rPr>
          <w:rFonts w:asciiTheme="minorHAnsi" w:hAnsiTheme="minorHAnsi" w:cs="Arial"/>
          <w:i/>
          <w:szCs w:val="22"/>
        </w:rPr>
        <w:t xml:space="preserve">: What </w:t>
      </w:r>
      <w:r w:rsidR="0048563F">
        <w:rPr>
          <w:rFonts w:asciiTheme="minorHAnsi" w:hAnsiTheme="minorHAnsi" w:cs="Arial"/>
          <w:i/>
          <w:szCs w:val="22"/>
        </w:rPr>
        <w:t>O</w:t>
      </w:r>
      <w:r w:rsidR="0048563F" w:rsidRPr="00BF09BA">
        <w:rPr>
          <w:rFonts w:asciiTheme="minorHAnsi" w:hAnsiTheme="minorHAnsi" w:cs="Arial"/>
          <w:i/>
          <w:szCs w:val="22"/>
        </w:rPr>
        <w:t xml:space="preserve">ur </w:t>
      </w:r>
      <w:r w:rsidR="0048563F">
        <w:rPr>
          <w:rFonts w:asciiTheme="minorHAnsi" w:hAnsiTheme="minorHAnsi" w:cs="Arial"/>
          <w:i/>
          <w:szCs w:val="22"/>
        </w:rPr>
        <w:t>H</w:t>
      </w:r>
      <w:r w:rsidR="0048563F" w:rsidRPr="00BF09BA">
        <w:rPr>
          <w:rFonts w:asciiTheme="minorHAnsi" w:hAnsiTheme="minorHAnsi" w:cs="Arial"/>
          <w:i/>
          <w:szCs w:val="22"/>
        </w:rPr>
        <w:t xml:space="preserve">istory </w:t>
      </w:r>
      <w:r w:rsidR="0048563F">
        <w:rPr>
          <w:rFonts w:asciiTheme="minorHAnsi" w:hAnsiTheme="minorHAnsi" w:cs="Arial"/>
          <w:i/>
          <w:szCs w:val="22"/>
        </w:rPr>
        <w:t>T</w:t>
      </w:r>
      <w:r w:rsidR="0048563F" w:rsidRPr="00BF09BA">
        <w:rPr>
          <w:rFonts w:asciiTheme="minorHAnsi" w:hAnsiTheme="minorHAnsi" w:cs="Arial"/>
          <w:i/>
          <w:szCs w:val="22"/>
        </w:rPr>
        <w:t xml:space="preserve">ells </w:t>
      </w:r>
      <w:r w:rsidR="0048563F">
        <w:rPr>
          <w:rFonts w:asciiTheme="minorHAnsi" w:hAnsiTheme="minorHAnsi" w:cs="Arial"/>
          <w:i/>
          <w:szCs w:val="22"/>
        </w:rPr>
        <w:t>U</w:t>
      </w:r>
      <w:r w:rsidR="0048563F" w:rsidRPr="00BF09BA">
        <w:rPr>
          <w:rFonts w:asciiTheme="minorHAnsi" w:hAnsiTheme="minorHAnsi" w:cs="Arial"/>
          <w:i/>
          <w:szCs w:val="22"/>
        </w:rPr>
        <w:t xml:space="preserve">s </w:t>
      </w:r>
      <w:proofErr w:type="gramStart"/>
      <w:r w:rsidR="0048563F">
        <w:rPr>
          <w:rFonts w:asciiTheme="minorHAnsi" w:hAnsiTheme="minorHAnsi" w:cs="Arial"/>
          <w:i/>
          <w:szCs w:val="22"/>
        </w:rPr>
        <w:t>A</w:t>
      </w:r>
      <w:r w:rsidR="0048563F" w:rsidRPr="00BF09BA">
        <w:rPr>
          <w:rFonts w:asciiTheme="minorHAnsi" w:hAnsiTheme="minorHAnsi" w:cs="Arial"/>
          <w:i/>
          <w:szCs w:val="22"/>
        </w:rPr>
        <w:t>bout</w:t>
      </w:r>
      <w:proofErr w:type="gramEnd"/>
      <w:r w:rsidR="0048563F" w:rsidRPr="00BF09BA">
        <w:rPr>
          <w:rFonts w:asciiTheme="minorHAnsi" w:hAnsiTheme="minorHAnsi" w:cs="Arial"/>
          <w:i/>
          <w:szCs w:val="22"/>
        </w:rPr>
        <w:t xml:space="preserve"> </w:t>
      </w:r>
      <w:r w:rsidR="0048563F">
        <w:rPr>
          <w:rFonts w:asciiTheme="minorHAnsi" w:hAnsiTheme="minorHAnsi" w:cs="Arial"/>
          <w:i/>
          <w:szCs w:val="22"/>
        </w:rPr>
        <w:t>O</w:t>
      </w:r>
      <w:r w:rsidR="0048563F" w:rsidRPr="00BF09BA">
        <w:rPr>
          <w:rFonts w:asciiTheme="minorHAnsi" w:hAnsiTheme="minorHAnsi" w:cs="Arial"/>
          <w:i/>
          <w:szCs w:val="22"/>
        </w:rPr>
        <w:t xml:space="preserve">ur </w:t>
      </w:r>
      <w:r w:rsidR="0048563F">
        <w:rPr>
          <w:rFonts w:asciiTheme="minorHAnsi" w:hAnsiTheme="minorHAnsi" w:cs="Arial"/>
          <w:i/>
          <w:szCs w:val="22"/>
        </w:rPr>
        <w:t>F</w:t>
      </w:r>
      <w:r w:rsidR="0048563F" w:rsidRPr="00BF09BA">
        <w:rPr>
          <w:rFonts w:asciiTheme="minorHAnsi" w:hAnsiTheme="minorHAnsi" w:cs="Arial"/>
          <w:i/>
          <w:szCs w:val="22"/>
        </w:rPr>
        <w:t>uture</w:t>
      </w:r>
      <w:r w:rsidRPr="00BF09BA">
        <w:rPr>
          <w:rFonts w:asciiTheme="minorHAnsi" w:hAnsiTheme="minorHAnsi" w:cs="Arial"/>
          <w:szCs w:val="22"/>
        </w:rPr>
        <w:t>, Penguin, United Kingdom.</w:t>
      </w:r>
    </w:p>
    <w:p w14:paraId="76546119" w14:textId="77777777" w:rsidR="0059098E" w:rsidRPr="00BF09BA" w:rsidRDefault="0059098E">
      <w:pPr>
        <w:keepNext/>
        <w:keepLines/>
        <w:spacing w:before="0" w:after="240"/>
        <w:jc w:val="left"/>
        <w:rPr>
          <w:rFonts w:asciiTheme="minorHAnsi" w:hAnsiTheme="minorHAnsi" w:cs="Arial"/>
          <w:szCs w:val="22"/>
        </w:rPr>
      </w:pPr>
      <w:r w:rsidRPr="00BF09BA">
        <w:rPr>
          <w:rFonts w:asciiTheme="minorHAnsi" w:hAnsiTheme="minorHAnsi" w:cs="Arial"/>
          <w:szCs w:val="22"/>
        </w:rPr>
        <w:lastRenderedPageBreak/>
        <w:t xml:space="preserve">Niebuhr, A 2010, ‘Migration and </w:t>
      </w:r>
      <w:r w:rsidR="009A41EA">
        <w:rPr>
          <w:rFonts w:asciiTheme="minorHAnsi" w:hAnsiTheme="minorHAnsi" w:cs="Arial"/>
          <w:szCs w:val="22"/>
        </w:rPr>
        <w:t>I</w:t>
      </w:r>
      <w:r w:rsidR="009A41EA" w:rsidRPr="00BF09BA">
        <w:rPr>
          <w:rFonts w:asciiTheme="minorHAnsi" w:hAnsiTheme="minorHAnsi" w:cs="Arial"/>
          <w:szCs w:val="22"/>
        </w:rPr>
        <w:t>nnovation</w:t>
      </w:r>
      <w:r w:rsidRPr="00BF09BA">
        <w:rPr>
          <w:rFonts w:asciiTheme="minorHAnsi" w:hAnsiTheme="minorHAnsi" w:cs="Arial"/>
          <w:szCs w:val="22"/>
        </w:rPr>
        <w:t xml:space="preserve">: Does </w:t>
      </w:r>
      <w:r w:rsidR="009A41EA">
        <w:rPr>
          <w:rFonts w:asciiTheme="minorHAnsi" w:hAnsiTheme="minorHAnsi" w:cs="Arial"/>
          <w:szCs w:val="22"/>
        </w:rPr>
        <w:t>C</w:t>
      </w:r>
      <w:r w:rsidR="009A41EA" w:rsidRPr="00BF09BA">
        <w:rPr>
          <w:rFonts w:asciiTheme="minorHAnsi" w:hAnsiTheme="minorHAnsi" w:cs="Arial"/>
          <w:szCs w:val="22"/>
        </w:rPr>
        <w:t xml:space="preserve">ultural </w:t>
      </w:r>
      <w:r w:rsidR="009A41EA">
        <w:rPr>
          <w:rFonts w:asciiTheme="minorHAnsi" w:hAnsiTheme="minorHAnsi" w:cs="Arial"/>
          <w:szCs w:val="22"/>
        </w:rPr>
        <w:t>D</w:t>
      </w:r>
      <w:r w:rsidR="009A41EA" w:rsidRPr="00BF09BA">
        <w:rPr>
          <w:rFonts w:asciiTheme="minorHAnsi" w:hAnsiTheme="minorHAnsi" w:cs="Arial"/>
          <w:szCs w:val="22"/>
        </w:rPr>
        <w:t xml:space="preserve">iversity </w:t>
      </w:r>
      <w:r w:rsidR="009A41EA">
        <w:rPr>
          <w:rFonts w:asciiTheme="minorHAnsi" w:hAnsiTheme="minorHAnsi" w:cs="Arial"/>
          <w:szCs w:val="22"/>
        </w:rPr>
        <w:t>M</w:t>
      </w:r>
      <w:r w:rsidR="009A41EA" w:rsidRPr="00BF09BA">
        <w:rPr>
          <w:rFonts w:asciiTheme="minorHAnsi" w:hAnsiTheme="minorHAnsi" w:cs="Arial"/>
          <w:szCs w:val="22"/>
        </w:rPr>
        <w:t xml:space="preserve">atter </w:t>
      </w:r>
      <w:r w:rsidRPr="00BF09BA">
        <w:rPr>
          <w:rFonts w:asciiTheme="minorHAnsi" w:hAnsiTheme="minorHAnsi" w:cs="Arial"/>
          <w:szCs w:val="22"/>
        </w:rPr>
        <w:t xml:space="preserve">for </w:t>
      </w:r>
      <w:r w:rsidR="009A41EA">
        <w:rPr>
          <w:rFonts w:asciiTheme="minorHAnsi" w:hAnsiTheme="minorHAnsi" w:cs="Arial"/>
          <w:szCs w:val="22"/>
        </w:rPr>
        <w:t>R</w:t>
      </w:r>
      <w:r w:rsidR="009A41EA" w:rsidRPr="00BF09BA">
        <w:rPr>
          <w:rFonts w:asciiTheme="minorHAnsi" w:hAnsiTheme="minorHAnsi" w:cs="Arial"/>
          <w:szCs w:val="22"/>
        </w:rPr>
        <w:t xml:space="preserve">egional </w:t>
      </w:r>
      <w:r w:rsidRPr="00BF09BA">
        <w:rPr>
          <w:rFonts w:asciiTheme="minorHAnsi" w:hAnsiTheme="minorHAnsi" w:cs="Arial"/>
          <w:szCs w:val="22"/>
        </w:rPr>
        <w:t xml:space="preserve">R&amp;D </w:t>
      </w:r>
      <w:r w:rsidR="009A41EA">
        <w:rPr>
          <w:rFonts w:asciiTheme="minorHAnsi" w:hAnsiTheme="minorHAnsi" w:cs="Arial"/>
          <w:szCs w:val="22"/>
        </w:rPr>
        <w:t>A</w:t>
      </w:r>
      <w:r w:rsidR="009A41EA" w:rsidRPr="00BF09BA">
        <w:rPr>
          <w:rFonts w:asciiTheme="minorHAnsi" w:hAnsiTheme="minorHAnsi" w:cs="Arial"/>
          <w:szCs w:val="22"/>
        </w:rPr>
        <w:t>ctivity</w:t>
      </w:r>
      <w:r w:rsidRPr="00BF09BA">
        <w:rPr>
          <w:rFonts w:asciiTheme="minorHAnsi" w:hAnsiTheme="minorHAnsi" w:cs="Arial"/>
          <w:szCs w:val="22"/>
        </w:rPr>
        <w:t>?</w:t>
      </w:r>
      <w:proofErr w:type="gramStart"/>
      <w:r w:rsidRPr="00BF09BA">
        <w:rPr>
          <w:rFonts w:asciiTheme="minorHAnsi" w:hAnsiTheme="minorHAnsi" w:cs="Arial"/>
          <w:szCs w:val="22"/>
        </w:rPr>
        <w:t>’,</w:t>
      </w:r>
      <w:proofErr w:type="gramEnd"/>
      <w:r w:rsidRPr="00BF09BA">
        <w:rPr>
          <w:rFonts w:asciiTheme="minorHAnsi" w:hAnsiTheme="minorHAnsi" w:cs="Arial"/>
          <w:szCs w:val="22"/>
        </w:rPr>
        <w:t xml:space="preserve"> </w:t>
      </w:r>
      <w:r w:rsidRPr="00BF09BA">
        <w:rPr>
          <w:rFonts w:asciiTheme="minorHAnsi" w:hAnsiTheme="minorHAnsi" w:cs="Arial"/>
          <w:i/>
          <w:szCs w:val="22"/>
        </w:rPr>
        <w:t>Papers in Regional Science</w:t>
      </w:r>
      <w:r w:rsidRPr="00BF09BA">
        <w:rPr>
          <w:rFonts w:asciiTheme="minorHAnsi" w:hAnsiTheme="minorHAnsi" w:cs="Arial"/>
          <w:szCs w:val="22"/>
        </w:rPr>
        <w:t>,</w:t>
      </w:r>
      <w:r w:rsidRPr="00BF09BA">
        <w:rPr>
          <w:rFonts w:asciiTheme="minorHAnsi" w:hAnsiTheme="minorHAnsi" w:cs="Arial"/>
          <w:i/>
          <w:szCs w:val="22"/>
        </w:rPr>
        <w:t xml:space="preserve"> </w:t>
      </w:r>
      <w:r w:rsidRPr="00BF09BA">
        <w:rPr>
          <w:rFonts w:asciiTheme="minorHAnsi" w:hAnsiTheme="minorHAnsi" w:cs="Arial"/>
          <w:szCs w:val="22"/>
        </w:rPr>
        <w:t>vol. 89, no. 3, pp. 563-585</w:t>
      </w:r>
      <w:r w:rsidR="000A07A2">
        <w:rPr>
          <w:rFonts w:asciiTheme="minorHAnsi" w:hAnsiTheme="minorHAnsi"/>
          <w:lang w:val="en"/>
        </w:rPr>
        <w:t>.</w:t>
      </w:r>
    </w:p>
    <w:p w14:paraId="1E1DEFEC" w14:textId="77777777" w:rsidR="00B858CF" w:rsidRPr="00BF09BA" w:rsidRDefault="0059098E">
      <w:pPr>
        <w:keepNext/>
        <w:keepLines/>
        <w:spacing w:before="0" w:after="240"/>
        <w:jc w:val="left"/>
        <w:rPr>
          <w:rFonts w:asciiTheme="minorHAnsi" w:hAnsiTheme="minorHAnsi"/>
          <w:szCs w:val="22"/>
        </w:rPr>
      </w:pPr>
      <w:r w:rsidRPr="00BF09BA">
        <w:rPr>
          <w:rFonts w:asciiTheme="minorHAnsi" w:hAnsiTheme="minorHAnsi"/>
          <w:szCs w:val="22"/>
        </w:rPr>
        <w:t xml:space="preserve">Organisation for Economic Cooperation and Development (OECD) </w:t>
      </w:r>
      <w:r w:rsidR="00B858CF" w:rsidRPr="00BF09BA">
        <w:rPr>
          <w:rFonts w:asciiTheme="minorHAnsi" w:hAnsiTheme="minorHAnsi"/>
          <w:szCs w:val="22"/>
        </w:rPr>
        <w:t>201</w:t>
      </w:r>
      <w:r w:rsidR="00655BB8" w:rsidRPr="00BF09BA">
        <w:rPr>
          <w:rFonts w:asciiTheme="minorHAnsi" w:hAnsiTheme="minorHAnsi"/>
          <w:szCs w:val="22"/>
        </w:rPr>
        <w:t>1</w:t>
      </w:r>
      <w:r w:rsidR="00B858CF" w:rsidRPr="00BF09BA">
        <w:rPr>
          <w:rFonts w:asciiTheme="minorHAnsi" w:hAnsiTheme="minorHAnsi"/>
          <w:szCs w:val="22"/>
        </w:rPr>
        <w:t xml:space="preserve">, </w:t>
      </w:r>
      <w:r w:rsidR="00B858CF" w:rsidRPr="00BF09BA">
        <w:rPr>
          <w:rFonts w:asciiTheme="minorHAnsi" w:hAnsiTheme="minorHAnsi"/>
          <w:i/>
          <w:szCs w:val="22"/>
        </w:rPr>
        <w:t>Perspectives on Global Development 2012</w:t>
      </w:r>
      <w:r w:rsidR="00655BB8" w:rsidRPr="00BF09BA">
        <w:rPr>
          <w:rFonts w:asciiTheme="minorHAnsi" w:hAnsiTheme="minorHAnsi"/>
          <w:i/>
          <w:szCs w:val="22"/>
        </w:rPr>
        <w:t>:</w:t>
      </w:r>
      <w:r w:rsidR="00B858CF" w:rsidRPr="00BF09BA">
        <w:rPr>
          <w:rFonts w:asciiTheme="minorHAnsi" w:hAnsiTheme="minorHAnsi"/>
          <w:i/>
          <w:szCs w:val="22"/>
        </w:rPr>
        <w:t xml:space="preserve"> Social </w:t>
      </w:r>
      <w:r w:rsidR="00641C79">
        <w:rPr>
          <w:rFonts w:asciiTheme="minorHAnsi" w:hAnsiTheme="minorHAnsi"/>
          <w:i/>
          <w:szCs w:val="22"/>
        </w:rPr>
        <w:t>C</w:t>
      </w:r>
      <w:r w:rsidR="00641C79" w:rsidRPr="00BF09BA">
        <w:rPr>
          <w:rFonts w:asciiTheme="minorHAnsi" w:hAnsiTheme="minorHAnsi"/>
          <w:i/>
          <w:szCs w:val="22"/>
        </w:rPr>
        <w:t xml:space="preserve">ohesion </w:t>
      </w:r>
      <w:r w:rsidR="00B858CF" w:rsidRPr="00BF09BA">
        <w:rPr>
          <w:rFonts w:asciiTheme="minorHAnsi" w:hAnsiTheme="minorHAnsi"/>
          <w:i/>
          <w:szCs w:val="22"/>
        </w:rPr>
        <w:t xml:space="preserve">in a </w:t>
      </w:r>
      <w:r w:rsidR="00641C79">
        <w:rPr>
          <w:rFonts w:asciiTheme="minorHAnsi" w:hAnsiTheme="minorHAnsi"/>
          <w:i/>
          <w:szCs w:val="22"/>
        </w:rPr>
        <w:t>S</w:t>
      </w:r>
      <w:r w:rsidR="00641C79" w:rsidRPr="00BF09BA">
        <w:rPr>
          <w:rFonts w:asciiTheme="minorHAnsi" w:hAnsiTheme="minorHAnsi"/>
          <w:i/>
          <w:szCs w:val="22"/>
        </w:rPr>
        <w:t xml:space="preserve">hifting </w:t>
      </w:r>
      <w:r w:rsidR="00641C79">
        <w:rPr>
          <w:rFonts w:asciiTheme="minorHAnsi" w:hAnsiTheme="minorHAnsi"/>
          <w:i/>
          <w:szCs w:val="22"/>
        </w:rPr>
        <w:t>W</w:t>
      </w:r>
      <w:r w:rsidR="00641C79" w:rsidRPr="00BF09BA">
        <w:rPr>
          <w:rFonts w:asciiTheme="minorHAnsi" w:hAnsiTheme="minorHAnsi"/>
          <w:i/>
          <w:szCs w:val="22"/>
        </w:rPr>
        <w:t>orld</w:t>
      </w:r>
      <w:r w:rsidR="00B858CF" w:rsidRPr="00BF09BA">
        <w:rPr>
          <w:rFonts w:asciiTheme="minorHAnsi" w:hAnsiTheme="minorHAnsi"/>
          <w:szCs w:val="22"/>
        </w:rPr>
        <w:t xml:space="preserve">, </w:t>
      </w:r>
      <w:r w:rsidR="00641C79" w:rsidRPr="00BF09BA">
        <w:rPr>
          <w:rFonts w:asciiTheme="minorHAnsi" w:hAnsiTheme="minorHAnsi" w:cs="Arial"/>
          <w:szCs w:val="22"/>
        </w:rPr>
        <w:t>OECD Publishing, Paris</w:t>
      </w:r>
      <w:r w:rsidR="000A07A2">
        <w:rPr>
          <w:rFonts w:asciiTheme="minorHAnsi" w:hAnsiTheme="minorHAnsi"/>
          <w:szCs w:val="22"/>
        </w:rPr>
        <w:t>.</w:t>
      </w:r>
    </w:p>
    <w:p w14:paraId="7D8A0387" w14:textId="77777777" w:rsidR="00896AD2" w:rsidRPr="00BF09BA" w:rsidRDefault="00896AD2">
      <w:pPr>
        <w:pStyle w:val="References"/>
        <w:jc w:val="left"/>
        <w:rPr>
          <w:rFonts w:asciiTheme="minorHAnsi" w:hAnsiTheme="minorHAnsi"/>
          <w:color w:val="auto"/>
          <w:sz w:val="22"/>
        </w:rPr>
      </w:pPr>
      <w:proofErr w:type="gramStart"/>
      <w:r w:rsidRPr="00BF09BA">
        <w:rPr>
          <w:rFonts w:asciiTheme="minorHAnsi" w:hAnsiTheme="minorHAnsi"/>
          <w:color w:val="auto"/>
          <w:sz w:val="22"/>
        </w:rPr>
        <w:t xml:space="preserve">OECD 2015, </w:t>
      </w:r>
      <w:r w:rsidRPr="0048563F">
        <w:rPr>
          <w:rFonts w:asciiTheme="minorHAnsi" w:hAnsiTheme="minorHAnsi"/>
          <w:i/>
          <w:color w:val="auto"/>
          <w:sz w:val="22"/>
        </w:rPr>
        <w:t xml:space="preserve">Helping </w:t>
      </w:r>
      <w:r w:rsidR="009A41EA">
        <w:rPr>
          <w:rFonts w:asciiTheme="minorHAnsi" w:hAnsiTheme="minorHAnsi"/>
          <w:i/>
          <w:color w:val="auto"/>
          <w:sz w:val="22"/>
        </w:rPr>
        <w:t>I</w:t>
      </w:r>
      <w:r w:rsidR="009A41EA" w:rsidRPr="0048563F">
        <w:rPr>
          <w:rFonts w:asciiTheme="minorHAnsi" w:hAnsiTheme="minorHAnsi"/>
          <w:i/>
          <w:color w:val="auto"/>
          <w:sz w:val="22"/>
        </w:rPr>
        <w:t xml:space="preserve">mmigrant </w:t>
      </w:r>
      <w:r w:rsidR="009A41EA">
        <w:rPr>
          <w:rFonts w:asciiTheme="minorHAnsi" w:hAnsiTheme="minorHAnsi"/>
          <w:i/>
          <w:color w:val="auto"/>
          <w:sz w:val="22"/>
        </w:rPr>
        <w:t>S</w:t>
      </w:r>
      <w:r w:rsidR="009A41EA" w:rsidRPr="0048563F">
        <w:rPr>
          <w:rFonts w:asciiTheme="minorHAnsi" w:hAnsiTheme="minorHAnsi"/>
          <w:i/>
          <w:color w:val="auto"/>
          <w:sz w:val="22"/>
        </w:rPr>
        <w:t xml:space="preserve">tudents </w:t>
      </w:r>
      <w:r w:rsidRPr="0048563F">
        <w:rPr>
          <w:rFonts w:asciiTheme="minorHAnsi" w:hAnsiTheme="minorHAnsi"/>
          <w:i/>
          <w:color w:val="auto"/>
          <w:sz w:val="22"/>
        </w:rPr>
        <w:t xml:space="preserve">to </w:t>
      </w:r>
      <w:r w:rsidR="009A41EA">
        <w:rPr>
          <w:rFonts w:asciiTheme="minorHAnsi" w:hAnsiTheme="minorHAnsi"/>
          <w:i/>
          <w:color w:val="auto"/>
          <w:sz w:val="22"/>
        </w:rPr>
        <w:t>S</w:t>
      </w:r>
      <w:r w:rsidR="009A41EA" w:rsidRPr="0048563F">
        <w:rPr>
          <w:rFonts w:asciiTheme="minorHAnsi" w:hAnsiTheme="minorHAnsi"/>
          <w:i/>
          <w:color w:val="auto"/>
          <w:sz w:val="22"/>
        </w:rPr>
        <w:t xml:space="preserve">ucceed </w:t>
      </w:r>
      <w:r w:rsidRPr="0048563F">
        <w:rPr>
          <w:rFonts w:asciiTheme="minorHAnsi" w:hAnsiTheme="minorHAnsi"/>
          <w:i/>
          <w:color w:val="auto"/>
          <w:sz w:val="22"/>
        </w:rPr>
        <w:t xml:space="preserve">at </w:t>
      </w:r>
      <w:r w:rsidR="009A41EA">
        <w:rPr>
          <w:rFonts w:asciiTheme="minorHAnsi" w:hAnsiTheme="minorHAnsi"/>
          <w:i/>
          <w:color w:val="auto"/>
          <w:sz w:val="22"/>
        </w:rPr>
        <w:t>S</w:t>
      </w:r>
      <w:r w:rsidR="009A41EA" w:rsidRPr="0048563F">
        <w:rPr>
          <w:rFonts w:asciiTheme="minorHAnsi" w:hAnsiTheme="minorHAnsi"/>
          <w:i/>
          <w:color w:val="auto"/>
          <w:sz w:val="22"/>
        </w:rPr>
        <w:t xml:space="preserve">chool </w:t>
      </w:r>
      <w:r w:rsidRPr="0048563F">
        <w:rPr>
          <w:rFonts w:asciiTheme="minorHAnsi" w:hAnsiTheme="minorHAnsi"/>
          <w:i/>
          <w:color w:val="auto"/>
          <w:sz w:val="22"/>
        </w:rPr>
        <w:t xml:space="preserve">– and </w:t>
      </w:r>
      <w:r w:rsidR="009A41EA">
        <w:rPr>
          <w:rFonts w:asciiTheme="minorHAnsi" w:hAnsiTheme="minorHAnsi"/>
          <w:i/>
          <w:color w:val="auto"/>
          <w:sz w:val="22"/>
        </w:rPr>
        <w:t>B</w:t>
      </w:r>
      <w:r w:rsidR="009A41EA" w:rsidRPr="0048563F">
        <w:rPr>
          <w:rFonts w:asciiTheme="minorHAnsi" w:hAnsiTheme="minorHAnsi"/>
          <w:i/>
          <w:color w:val="auto"/>
          <w:sz w:val="22"/>
        </w:rPr>
        <w:t>eyond</w:t>
      </w:r>
      <w:r w:rsidRPr="00BF09BA">
        <w:rPr>
          <w:rFonts w:asciiTheme="minorHAnsi" w:hAnsiTheme="minorHAnsi"/>
          <w:color w:val="auto"/>
          <w:sz w:val="22"/>
        </w:rPr>
        <w:t xml:space="preserve">, OECD </w:t>
      </w:r>
      <w:r w:rsidR="00641C79" w:rsidRPr="00641C79">
        <w:rPr>
          <w:rFonts w:asciiTheme="minorHAnsi" w:hAnsiTheme="minorHAnsi"/>
          <w:color w:val="auto"/>
          <w:sz w:val="22"/>
        </w:rPr>
        <w:t>Publishing, Paris.</w:t>
      </w:r>
      <w:proofErr w:type="gramEnd"/>
    </w:p>
    <w:p w14:paraId="32B6473B" w14:textId="3FE23B8B" w:rsidR="00B858CF" w:rsidRPr="00BF09BA" w:rsidRDefault="00B858CF">
      <w:pPr>
        <w:pStyle w:val="References"/>
        <w:jc w:val="left"/>
        <w:rPr>
          <w:rFonts w:asciiTheme="minorHAnsi" w:hAnsiTheme="minorHAnsi"/>
          <w:color w:val="auto"/>
          <w:sz w:val="22"/>
        </w:rPr>
      </w:pPr>
      <w:proofErr w:type="gramStart"/>
      <w:r w:rsidRPr="00BF09BA">
        <w:rPr>
          <w:rFonts w:asciiTheme="minorHAnsi" w:hAnsiTheme="minorHAnsi"/>
          <w:color w:val="auto"/>
          <w:sz w:val="22"/>
        </w:rPr>
        <w:t xml:space="preserve">OECD 2017, </w:t>
      </w:r>
      <w:r w:rsidR="00292B1C">
        <w:rPr>
          <w:rFonts w:asciiTheme="minorHAnsi" w:hAnsiTheme="minorHAnsi"/>
          <w:color w:val="auto"/>
          <w:sz w:val="22"/>
        </w:rPr>
        <w:t>‘</w:t>
      </w:r>
      <w:r w:rsidRPr="00292B1C">
        <w:rPr>
          <w:rFonts w:asciiTheme="minorHAnsi" w:hAnsiTheme="minorHAnsi"/>
          <w:color w:val="auto"/>
          <w:sz w:val="22"/>
        </w:rPr>
        <w:t xml:space="preserve">Infrastructure </w:t>
      </w:r>
      <w:r w:rsidR="009A41EA" w:rsidRPr="00292B1C">
        <w:rPr>
          <w:rFonts w:asciiTheme="minorHAnsi" w:hAnsiTheme="minorHAnsi"/>
          <w:color w:val="auto"/>
          <w:sz w:val="22"/>
        </w:rPr>
        <w:t>I</w:t>
      </w:r>
      <w:r w:rsidRPr="00292B1C">
        <w:rPr>
          <w:rFonts w:asciiTheme="minorHAnsi" w:hAnsiTheme="minorHAnsi"/>
          <w:color w:val="auto"/>
          <w:sz w:val="22"/>
        </w:rPr>
        <w:t>nvestment</w:t>
      </w:r>
      <w:r w:rsidR="00292B1C">
        <w:rPr>
          <w:rFonts w:asciiTheme="minorHAnsi" w:hAnsiTheme="minorHAnsi"/>
          <w:color w:val="auto"/>
          <w:sz w:val="22"/>
        </w:rPr>
        <w:t>’</w:t>
      </w:r>
      <w:r w:rsidR="0000608A" w:rsidRPr="00BF09BA">
        <w:rPr>
          <w:rFonts w:asciiTheme="minorHAnsi" w:hAnsiTheme="minorHAnsi"/>
          <w:color w:val="auto"/>
          <w:sz w:val="22"/>
        </w:rPr>
        <w:t>,</w:t>
      </w:r>
      <w:r w:rsidR="00641C79">
        <w:rPr>
          <w:rFonts w:asciiTheme="minorHAnsi" w:hAnsiTheme="minorHAnsi"/>
          <w:color w:val="auto"/>
          <w:sz w:val="22"/>
        </w:rPr>
        <w:t xml:space="preserve"> </w:t>
      </w:r>
      <w:r w:rsidR="00641C79" w:rsidRPr="00292B1C">
        <w:rPr>
          <w:rFonts w:asciiTheme="minorHAnsi" w:hAnsiTheme="minorHAnsi" w:cs="Arial"/>
          <w:i/>
          <w:color w:val="auto"/>
          <w:sz w:val="22"/>
        </w:rPr>
        <w:t xml:space="preserve">OECD </w:t>
      </w:r>
      <w:r w:rsidR="00DF4F57" w:rsidRPr="00292B1C">
        <w:rPr>
          <w:rFonts w:asciiTheme="minorHAnsi" w:hAnsiTheme="minorHAnsi" w:cs="Arial"/>
          <w:i/>
          <w:color w:val="auto"/>
          <w:sz w:val="22"/>
        </w:rPr>
        <w:t>D</w:t>
      </w:r>
      <w:r w:rsidR="00641C79" w:rsidRPr="00292B1C">
        <w:rPr>
          <w:rFonts w:asciiTheme="minorHAnsi" w:hAnsiTheme="minorHAnsi" w:cs="Arial"/>
          <w:i/>
          <w:color w:val="auto"/>
          <w:sz w:val="22"/>
        </w:rPr>
        <w:t>ata</w:t>
      </w:r>
      <w:r w:rsidR="00641C79" w:rsidRPr="00B75CFD">
        <w:rPr>
          <w:rFonts w:asciiTheme="minorHAnsi" w:hAnsiTheme="minorHAnsi" w:cs="Arial"/>
          <w:color w:val="auto"/>
          <w:sz w:val="22"/>
        </w:rPr>
        <w:t xml:space="preserve">, </w:t>
      </w:r>
      <w:r w:rsidR="00DF4F57">
        <w:rPr>
          <w:rFonts w:asciiTheme="minorHAnsi" w:hAnsiTheme="minorHAnsi" w:cs="Arial"/>
          <w:color w:val="auto"/>
          <w:sz w:val="22"/>
        </w:rPr>
        <w:t xml:space="preserve">available at </w:t>
      </w:r>
      <w:hyperlink r:id="rId120" w:history="1">
        <w:r w:rsidR="00DF4F57" w:rsidRPr="00360269">
          <w:rPr>
            <w:rStyle w:val="Hyperlink"/>
            <w:sz w:val="22"/>
          </w:rPr>
          <w:t>https://data.oecd.org/transport/infrastructure-investment.htm</w:t>
        </w:r>
      </w:hyperlink>
      <w:r w:rsidRPr="00BF09BA">
        <w:rPr>
          <w:rFonts w:asciiTheme="minorHAnsi" w:hAnsiTheme="minorHAnsi"/>
          <w:color w:val="auto"/>
          <w:sz w:val="22"/>
        </w:rPr>
        <w:t>.</w:t>
      </w:r>
      <w:proofErr w:type="gramEnd"/>
    </w:p>
    <w:p w14:paraId="15D77F93" w14:textId="77777777" w:rsidR="00EE78B9" w:rsidRPr="00BF09BA" w:rsidRDefault="00EE78B9">
      <w:pPr>
        <w:pStyle w:val="References"/>
        <w:jc w:val="left"/>
        <w:rPr>
          <w:rFonts w:asciiTheme="minorHAnsi" w:hAnsiTheme="minorHAnsi"/>
          <w:color w:val="auto"/>
          <w:sz w:val="22"/>
        </w:rPr>
      </w:pPr>
      <w:r w:rsidRPr="00BF09BA">
        <w:rPr>
          <w:rFonts w:asciiTheme="minorHAnsi" w:hAnsiTheme="minorHAnsi"/>
          <w:color w:val="auto"/>
          <w:sz w:val="22"/>
        </w:rPr>
        <w:t xml:space="preserve">OECD &amp; European Union 2015, </w:t>
      </w:r>
      <w:r w:rsidRPr="00BF09BA">
        <w:rPr>
          <w:rFonts w:asciiTheme="minorHAnsi" w:hAnsiTheme="minorHAnsi"/>
          <w:i/>
          <w:color w:val="auto"/>
          <w:sz w:val="22"/>
        </w:rPr>
        <w:t>Indicators of Immigrant Integration 2015: Settling In</w:t>
      </w:r>
      <w:r w:rsidR="000A07A2">
        <w:rPr>
          <w:rFonts w:asciiTheme="minorHAnsi" w:hAnsiTheme="minorHAnsi"/>
          <w:color w:val="auto"/>
          <w:sz w:val="22"/>
        </w:rPr>
        <w:t>, OECD Publishing, Paris.</w:t>
      </w:r>
    </w:p>
    <w:p w14:paraId="0745D56A" w14:textId="77777777" w:rsidR="0059098E" w:rsidRPr="00BF09BA" w:rsidRDefault="0059098E">
      <w:pPr>
        <w:spacing w:before="0" w:after="240"/>
        <w:jc w:val="left"/>
        <w:rPr>
          <w:rFonts w:asciiTheme="minorHAnsi" w:hAnsiTheme="minorHAnsi"/>
        </w:rPr>
      </w:pPr>
      <w:proofErr w:type="spellStart"/>
      <w:r w:rsidRPr="00BF09BA">
        <w:rPr>
          <w:rFonts w:asciiTheme="minorHAnsi" w:hAnsiTheme="minorHAnsi"/>
          <w:szCs w:val="22"/>
        </w:rPr>
        <w:t>Papademetriou</w:t>
      </w:r>
      <w:proofErr w:type="spellEnd"/>
      <w:r w:rsidRPr="00BF09BA">
        <w:rPr>
          <w:rFonts w:asciiTheme="minorHAnsi" w:hAnsiTheme="minorHAnsi"/>
          <w:szCs w:val="22"/>
        </w:rPr>
        <w:t xml:space="preserve">, D &amp; </w:t>
      </w:r>
      <w:proofErr w:type="spellStart"/>
      <w:r w:rsidRPr="00BF09BA">
        <w:rPr>
          <w:rFonts w:asciiTheme="minorHAnsi" w:hAnsiTheme="minorHAnsi"/>
          <w:szCs w:val="22"/>
        </w:rPr>
        <w:t>Sumption</w:t>
      </w:r>
      <w:proofErr w:type="spellEnd"/>
      <w:r w:rsidRPr="00BF09BA">
        <w:rPr>
          <w:rFonts w:asciiTheme="minorHAnsi" w:hAnsiTheme="minorHAnsi"/>
          <w:szCs w:val="22"/>
        </w:rPr>
        <w:t>, M 2013</w:t>
      </w:r>
      <w:r w:rsidRPr="00BF09BA">
        <w:rPr>
          <w:rFonts w:asciiTheme="minorHAnsi" w:hAnsiTheme="minorHAnsi" w:cs="Arial"/>
          <w:szCs w:val="22"/>
        </w:rPr>
        <w:t xml:space="preserve">, </w:t>
      </w:r>
      <w:r w:rsidRPr="00BF09BA">
        <w:rPr>
          <w:rFonts w:asciiTheme="minorHAnsi" w:hAnsiTheme="minorHAnsi" w:cs="Arial"/>
          <w:i/>
          <w:szCs w:val="22"/>
        </w:rPr>
        <w:t xml:space="preserve">Attracting and </w:t>
      </w:r>
      <w:r w:rsidR="009A41EA">
        <w:rPr>
          <w:rFonts w:asciiTheme="minorHAnsi" w:hAnsiTheme="minorHAnsi" w:cs="Arial"/>
          <w:i/>
          <w:szCs w:val="22"/>
        </w:rPr>
        <w:t>S</w:t>
      </w:r>
      <w:r w:rsidR="009A41EA" w:rsidRPr="00BF09BA">
        <w:rPr>
          <w:rFonts w:asciiTheme="minorHAnsi" w:hAnsiTheme="minorHAnsi" w:cs="Arial"/>
          <w:i/>
          <w:szCs w:val="22"/>
        </w:rPr>
        <w:t xml:space="preserve">electing </w:t>
      </w:r>
      <w:r w:rsidRPr="00BF09BA">
        <w:rPr>
          <w:rFonts w:asciiTheme="minorHAnsi" w:hAnsiTheme="minorHAnsi" w:cs="Arial"/>
          <w:i/>
          <w:szCs w:val="22"/>
        </w:rPr>
        <w:t xml:space="preserve">from the </w:t>
      </w:r>
      <w:r w:rsidR="009A41EA">
        <w:rPr>
          <w:rFonts w:asciiTheme="minorHAnsi" w:hAnsiTheme="minorHAnsi" w:cs="Arial"/>
          <w:i/>
          <w:szCs w:val="22"/>
        </w:rPr>
        <w:t>G</w:t>
      </w:r>
      <w:r w:rsidR="009A41EA" w:rsidRPr="00BF09BA">
        <w:rPr>
          <w:rFonts w:asciiTheme="minorHAnsi" w:hAnsiTheme="minorHAnsi" w:cs="Arial"/>
          <w:i/>
          <w:szCs w:val="22"/>
        </w:rPr>
        <w:t xml:space="preserve">lobal </w:t>
      </w:r>
      <w:r w:rsidR="009A41EA">
        <w:rPr>
          <w:rFonts w:asciiTheme="minorHAnsi" w:hAnsiTheme="minorHAnsi" w:cs="Arial"/>
          <w:i/>
          <w:szCs w:val="22"/>
        </w:rPr>
        <w:t>T</w:t>
      </w:r>
      <w:r w:rsidR="009A41EA" w:rsidRPr="00BF09BA">
        <w:rPr>
          <w:rFonts w:asciiTheme="minorHAnsi" w:hAnsiTheme="minorHAnsi" w:cs="Arial"/>
          <w:i/>
          <w:szCs w:val="22"/>
        </w:rPr>
        <w:t xml:space="preserve">alent </w:t>
      </w:r>
      <w:r w:rsidR="009A41EA">
        <w:rPr>
          <w:rFonts w:asciiTheme="minorHAnsi" w:hAnsiTheme="minorHAnsi" w:cs="Arial"/>
          <w:i/>
          <w:szCs w:val="22"/>
        </w:rPr>
        <w:t>P</w:t>
      </w:r>
      <w:r w:rsidR="009A41EA" w:rsidRPr="00BF09BA">
        <w:rPr>
          <w:rFonts w:asciiTheme="minorHAnsi" w:hAnsiTheme="minorHAnsi" w:cs="Arial"/>
          <w:i/>
          <w:szCs w:val="22"/>
        </w:rPr>
        <w:t>ool</w:t>
      </w:r>
      <w:r w:rsidRPr="00BF09BA">
        <w:rPr>
          <w:rFonts w:asciiTheme="minorHAnsi" w:hAnsiTheme="minorHAnsi" w:cs="Arial"/>
          <w:i/>
          <w:szCs w:val="22"/>
        </w:rPr>
        <w:t>: Policy</w:t>
      </w:r>
      <w:r w:rsidR="00AF0916">
        <w:rPr>
          <w:rFonts w:asciiTheme="minorHAnsi" w:hAnsiTheme="minorHAnsi" w:cs="Arial"/>
          <w:i/>
          <w:szCs w:val="22"/>
        </w:rPr>
        <w:t> </w:t>
      </w:r>
      <w:r w:rsidR="009A41EA">
        <w:rPr>
          <w:rFonts w:asciiTheme="minorHAnsi" w:hAnsiTheme="minorHAnsi" w:cs="Arial"/>
          <w:i/>
          <w:szCs w:val="22"/>
        </w:rPr>
        <w:t>C</w:t>
      </w:r>
      <w:r w:rsidR="009A41EA" w:rsidRPr="00BF09BA">
        <w:rPr>
          <w:rFonts w:asciiTheme="minorHAnsi" w:hAnsiTheme="minorHAnsi" w:cs="Arial"/>
          <w:i/>
          <w:szCs w:val="22"/>
        </w:rPr>
        <w:t>hallenges</w:t>
      </w:r>
      <w:r w:rsidRPr="00BF09BA">
        <w:rPr>
          <w:rFonts w:asciiTheme="minorHAnsi" w:hAnsiTheme="minorHAnsi" w:cs="Arial"/>
          <w:szCs w:val="22"/>
        </w:rPr>
        <w:t xml:space="preserve">, Migration Policy Institute, </w:t>
      </w:r>
      <w:r w:rsidR="00641C79">
        <w:rPr>
          <w:rFonts w:asciiTheme="minorHAnsi" w:hAnsiTheme="minorHAnsi" w:cs="Arial"/>
          <w:szCs w:val="22"/>
        </w:rPr>
        <w:t>Washington DC</w:t>
      </w:r>
      <w:r w:rsidRPr="00BF09BA">
        <w:rPr>
          <w:rFonts w:asciiTheme="minorHAnsi" w:hAnsiTheme="minorHAnsi" w:cs="Arial"/>
          <w:szCs w:val="22"/>
        </w:rPr>
        <w:t>.</w:t>
      </w:r>
    </w:p>
    <w:p w14:paraId="1D190107"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Parham, D, To, H, </w:t>
      </w:r>
      <w:proofErr w:type="spellStart"/>
      <w:r w:rsidRPr="00BF09BA">
        <w:rPr>
          <w:rFonts w:asciiTheme="minorHAnsi" w:hAnsiTheme="minorHAnsi"/>
          <w:color w:val="auto"/>
          <w:sz w:val="22"/>
        </w:rPr>
        <w:t>Ratna</w:t>
      </w:r>
      <w:proofErr w:type="spellEnd"/>
      <w:r w:rsidRPr="00BF09BA">
        <w:rPr>
          <w:rFonts w:asciiTheme="minorHAnsi" w:hAnsiTheme="minorHAnsi"/>
          <w:color w:val="auto"/>
          <w:sz w:val="22"/>
        </w:rPr>
        <w:t xml:space="preserve">, N, Regan, S &amp; Grafton, Q 2015, </w:t>
      </w:r>
      <w:r w:rsidRPr="00BF09BA">
        <w:rPr>
          <w:rFonts w:asciiTheme="minorHAnsi" w:hAnsiTheme="minorHAnsi"/>
          <w:i/>
          <w:color w:val="auto"/>
          <w:sz w:val="22"/>
        </w:rPr>
        <w:t>Migration and Productivity in Australia</w:t>
      </w:r>
      <w:r w:rsidRPr="00BF09BA">
        <w:rPr>
          <w:rFonts w:asciiTheme="minorHAnsi" w:hAnsiTheme="minorHAnsi"/>
          <w:color w:val="auto"/>
          <w:sz w:val="22"/>
        </w:rPr>
        <w:t>, Crawford School of Public Policy</w:t>
      </w:r>
      <w:r w:rsidR="006B3901" w:rsidRPr="00BF09BA">
        <w:rPr>
          <w:rFonts w:asciiTheme="minorHAnsi" w:hAnsiTheme="minorHAnsi"/>
          <w:color w:val="auto"/>
          <w:sz w:val="22"/>
        </w:rPr>
        <w:t xml:space="preserve">, </w:t>
      </w:r>
      <w:r w:rsidRPr="00BF09BA">
        <w:rPr>
          <w:rFonts w:asciiTheme="minorHAnsi" w:hAnsiTheme="minorHAnsi"/>
          <w:color w:val="auto"/>
          <w:sz w:val="22"/>
        </w:rPr>
        <w:t xml:space="preserve">Australian National University, </w:t>
      </w:r>
      <w:r w:rsidR="000A07A2">
        <w:rPr>
          <w:rFonts w:asciiTheme="minorHAnsi" w:hAnsiTheme="minorHAnsi"/>
          <w:color w:val="auto"/>
          <w:sz w:val="22"/>
        </w:rPr>
        <w:t>Canberra.</w:t>
      </w:r>
    </w:p>
    <w:p w14:paraId="634921E3"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Phillips, J, </w:t>
      </w:r>
      <w:proofErr w:type="spellStart"/>
      <w:r w:rsidRPr="00BF09BA">
        <w:rPr>
          <w:rFonts w:asciiTheme="minorHAnsi" w:hAnsiTheme="minorHAnsi"/>
          <w:color w:val="auto"/>
          <w:sz w:val="22"/>
        </w:rPr>
        <w:t>Klapdor</w:t>
      </w:r>
      <w:proofErr w:type="spellEnd"/>
      <w:r w:rsidRPr="00BF09BA">
        <w:rPr>
          <w:rFonts w:asciiTheme="minorHAnsi" w:hAnsiTheme="minorHAnsi"/>
          <w:color w:val="auto"/>
          <w:sz w:val="22"/>
        </w:rPr>
        <w:t>, M, &amp; Simon</w:t>
      </w:r>
      <w:r w:rsidRPr="00BF09BA">
        <w:rPr>
          <w:rFonts w:asciiTheme="minorHAnsi" w:hAnsiTheme="minorHAnsi"/>
          <w:color w:val="auto"/>
          <w:sz w:val="22"/>
        </w:rPr>
        <w:noBreakHyphen/>
        <w:t xml:space="preserve">Davies, J 2010, </w:t>
      </w:r>
      <w:r w:rsidRPr="00BF09BA">
        <w:rPr>
          <w:rFonts w:asciiTheme="minorHAnsi" w:hAnsiTheme="minorHAnsi"/>
          <w:i/>
          <w:color w:val="auto"/>
          <w:sz w:val="22"/>
        </w:rPr>
        <w:t xml:space="preserve">Migration to Australia </w:t>
      </w:r>
      <w:proofErr w:type="gramStart"/>
      <w:r w:rsidR="009A41EA">
        <w:rPr>
          <w:rFonts w:asciiTheme="minorHAnsi" w:hAnsiTheme="minorHAnsi"/>
          <w:i/>
          <w:color w:val="auto"/>
          <w:sz w:val="22"/>
        </w:rPr>
        <w:t>S</w:t>
      </w:r>
      <w:r w:rsidRPr="00BF09BA">
        <w:rPr>
          <w:rFonts w:asciiTheme="minorHAnsi" w:hAnsiTheme="minorHAnsi"/>
          <w:i/>
          <w:color w:val="auto"/>
          <w:sz w:val="22"/>
        </w:rPr>
        <w:t>ince</w:t>
      </w:r>
      <w:proofErr w:type="gramEnd"/>
      <w:r w:rsidRPr="00BF09BA">
        <w:rPr>
          <w:rFonts w:asciiTheme="minorHAnsi" w:hAnsiTheme="minorHAnsi"/>
          <w:i/>
          <w:color w:val="auto"/>
          <w:sz w:val="22"/>
        </w:rPr>
        <w:t xml:space="preserve"> </w:t>
      </w:r>
      <w:r w:rsidR="009A41EA">
        <w:rPr>
          <w:rFonts w:asciiTheme="minorHAnsi" w:hAnsiTheme="minorHAnsi"/>
          <w:i/>
          <w:color w:val="auto"/>
          <w:sz w:val="22"/>
        </w:rPr>
        <w:t>F</w:t>
      </w:r>
      <w:r w:rsidR="009A41EA" w:rsidRPr="00BF09BA">
        <w:rPr>
          <w:rFonts w:asciiTheme="minorHAnsi" w:hAnsiTheme="minorHAnsi"/>
          <w:i/>
          <w:color w:val="auto"/>
          <w:sz w:val="22"/>
        </w:rPr>
        <w:t>ederation</w:t>
      </w:r>
      <w:r w:rsidRPr="00BF09BA">
        <w:rPr>
          <w:rFonts w:asciiTheme="minorHAnsi" w:hAnsiTheme="minorHAnsi"/>
          <w:i/>
          <w:color w:val="auto"/>
          <w:sz w:val="22"/>
        </w:rPr>
        <w:t xml:space="preserve">: </w:t>
      </w:r>
      <w:r w:rsidR="009A41EA">
        <w:rPr>
          <w:rFonts w:asciiTheme="minorHAnsi" w:hAnsiTheme="minorHAnsi"/>
          <w:i/>
          <w:color w:val="auto"/>
          <w:sz w:val="22"/>
        </w:rPr>
        <w:t xml:space="preserve">A </w:t>
      </w:r>
      <w:r w:rsidR="00AE410B">
        <w:rPr>
          <w:rFonts w:asciiTheme="minorHAnsi" w:hAnsiTheme="minorHAnsi"/>
          <w:i/>
          <w:color w:val="auto"/>
          <w:sz w:val="22"/>
        </w:rPr>
        <w:t>G</w:t>
      </w:r>
      <w:r w:rsidRPr="00BF09BA">
        <w:rPr>
          <w:rFonts w:asciiTheme="minorHAnsi" w:hAnsiTheme="minorHAnsi"/>
          <w:i/>
          <w:color w:val="auto"/>
          <w:sz w:val="22"/>
        </w:rPr>
        <w:t xml:space="preserve">uide to the </w:t>
      </w:r>
      <w:r w:rsidR="009A41EA">
        <w:rPr>
          <w:rFonts w:asciiTheme="minorHAnsi" w:hAnsiTheme="minorHAnsi"/>
          <w:i/>
          <w:color w:val="auto"/>
          <w:sz w:val="22"/>
        </w:rPr>
        <w:t>S</w:t>
      </w:r>
      <w:r w:rsidR="009A41EA" w:rsidRPr="00BF09BA">
        <w:rPr>
          <w:rFonts w:asciiTheme="minorHAnsi" w:hAnsiTheme="minorHAnsi"/>
          <w:i/>
          <w:color w:val="auto"/>
          <w:sz w:val="22"/>
        </w:rPr>
        <w:t>tatistics</w:t>
      </w:r>
      <w:r w:rsidRPr="00BF09BA">
        <w:rPr>
          <w:rFonts w:asciiTheme="minorHAnsi" w:hAnsiTheme="minorHAnsi"/>
          <w:color w:val="auto"/>
          <w:sz w:val="22"/>
        </w:rPr>
        <w:t>, Department of Pa</w:t>
      </w:r>
      <w:r w:rsidR="000A07A2">
        <w:rPr>
          <w:rFonts w:asciiTheme="minorHAnsi" w:hAnsiTheme="minorHAnsi"/>
          <w:color w:val="auto"/>
          <w:sz w:val="22"/>
        </w:rPr>
        <w:t>rliamentary Services</w:t>
      </w:r>
      <w:r w:rsidR="00292B1C">
        <w:rPr>
          <w:rFonts w:asciiTheme="minorHAnsi" w:hAnsiTheme="minorHAnsi"/>
          <w:color w:val="auto"/>
          <w:sz w:val="22"/>
        </w:rPr>
        <w:t xml:space="preserve"> background note</w:t>
      </w:r>
      <w:r w:rsidR="000A07A2">
        <w:rPr>
          <w:rFonts w:asciiTheme="minorHAnsi" w:hAnsiTheme="minorHAnsi"/>
          <w:color w:val="auto"/>
          <w:sz w:val="22"/>
        </w:rPr>
        <w:t>, Canberra.</w:t>
      </w:r>
    </w:p>
    <w:p w14:paraId="07A5F216" w14:textId="77777777" w:rsidR="00DA2607" w:rsidRPr="00BF09BA" w:rsidRDefault="00DA2607">
      <w:pPr>
        <w:pStyle w:val="References"/>
        <w:jc w:val="left"/>
        <w:rPr>
          <w:rFonts w:asciiTheme="minorHAnsi" w:hAnsiTheme="minorHAnsi"/>
          <w:color w:val="auto"/>
          <w:sz w:val="22"/>
        </w:rPr>
      </w:pPr>
      <w:r w:rsidRPr="00BF09BA">
        <w:rPr>
          <w:rFonts w:asciiTheme="minorHAnsi" w:hAnsiTheme="minorHAnsi"/>
          <w:color w:val="auto"/>
          <w:sz w:val="22"/>
        </w:rPr>
        <w:t>P</w:t>
      </w:r>
      <w:r w:rsidR="00E45081">
        <w:rPr>
          <w:rFonts w:asciiTheme="minorHAnsi" w:hAnsiTheme="minorHAnsi"/>
          <w:color w:val="auto"/>
          <w:sz w:val="22"/>
        </w:rPr>
        <w:t xml:space="preserve">roductivity </w:t>
      </w:r>
      <w:r w:rsidRPr="00BF09BA">
        <w:rPr>
          <w:rFonts w:asciiTheme="minorHAnsi" w:hAnsiTheme="minorHAnsi"/>
          <w:color w:val="auto"/>
          <w:sz w:val="22"/>
        </w:rPr>
        <w:t>C</w:t>
      </w:r>
      <w:r w:rsidR="00E45081">
        <w:rPr>
          <w:rFonts w:asciiTheme="minorHAnsi" w:hAnsiTheme="minorHAnsi"/>
          <w:color w:val="auto"/>
          <w:sz w:val="22"/>
        </w:rPr>
        <w:t>ommission (</w:t>
      </w:r>
      <w:r w:rsidRPr="00BF09BA">
        <w:rPr>
          <w:rFonts w:asciiTheme="minorHAnsi" w:hAnsiTheme="minorHAnsi"/>
          <w:color w:val="auto"/>
          <w:sz w:val="22"/>
        </w:rPr>
        <w:t>PC</w:t>
      </w:r>
      <w:r w:rsidR="00E45081">
        <w:rPr>
          <w:rFonts w:asciiTheme="minorHAnsi" w:hAnsiTheme="minorHAnsi"/>
          <w:color w:val="auto"/>
          <w:sz w:val="22"/>
        </w:rPr>
        <w:t>)</w:t>
      </w:r>
      <w:r w:rsidRPr="00BF09BA">
        <w:rPr>
          <w:rFonts w:asciiTheme="minorHAnsi" w:hAnsiTheme="minorHAnsi"/>
          <w:color w:val="auto"/>
          <w:sz w:val="22"/>
        </w:rPr>
        <w:t xml:space="preserve"> 2010, </w:t>
      </w:r>
      <w:r w:rsidRPr="00BF09BA">
        <w:rPr>
          <w:rFonts w:asciiTheme="minorHAnsi" w:hAnsiTheme="minorHAnsi"/>
          <w:i/>
          <w:color w:val="auto"/>
          <w:sz w:val="22"/>
        </w:rPr>
        <w:t>Population and Migration: Understanding the Numbers</w:t>
      </w:r>
      <w:r w:rsidRPr="00BF09BA">
        <w:rPr>
          <w:rFonts w:asciiTheme="minorHAnsi" w:hAnsiTheme="minorHAnsi"/>
          <w:color w:val="auto"/>
          <w:sz w:val="22"/>
        </w:rPr>
        <w:t xml:space="preserve">, </w:t>
      </w:r>
      <w:r w:rsidR="00641C79">
        <w:rPr>
          <w:rFonts w:asciiTheme="minorHAnsi" w:hAnsiTheme="minorHAnsi"/>
          <w:color w:val="auto"/>
          <w:sz w:val="22"/>
        </w:rPr>
        <w:t>r</w:t>
      </w:r>
      <w:r w:rsidRPr="00BF09BA">
        <w:rPr>
          <w:rFonts w:asciiTheme="minorHAnsi" w:hAnsiTheme="minorHAnsi"/>
          <w:color w:val="auto"/>
          <w:sz w:val="22"/>
        </w:rPr>
        <w:t xml:space="preserve">esearch </w:t>
      </w:r>
      <w:r w:rsidR="00641C79">
        <w:rPr>
          <w:rFonts w:asciiTheme="minorHAnsi" w:hAnsiTheme="minorHAnsi"/>
          <w:color w:val="auto"/>
          <w:sz w:val="22"/>
        </w:rPr>
        <w:t>p</w:t>
      </w:r>
      <w:r w:rsidR="000A07A2">
        <w:rPr>
          <w:rFonts w:asciiTheme="minorHAnsi" w:hAnsiTheme="minorHAnsi"/>
          <w:color w:val="auto"/>
          <w:sz w:val="22"/>
        </w:rPr>
        <w:t>aper, Canberra.</w:t>
      </w:r>
    </w:p>
    <w:p w14:paraId="0444E9B2" w14:textId="77777777" w:rsidR="0059098E" w:rsidRPr="00BF09BA" w:rsidRDefault="0059098E">
      <w:pPr>
        <w:pStyle w:val="References"/>
        <w:jc w:val="left"/>
        <w:rPr>
          <w:rFonts w:asciiTheme="minorHAnsi" w:hAnsiTheme="minorHAnsi"/>
          <w:color w:val="auto"/>
          <w:sz w:val="22"/>
          <w:lang w:eastAsia="en-AU"/>
        </w:rPr>
      </w:pPr>
      <w:r w:rsidRPr="00BF09BA">
        <w:rPr>
          <w:rFonts w:asciiTheme="minorHAnsi" w:hAnsiTheme="minorHAnsi"/>
          <w:color w:val="auto"/>
          <w:sz w:val="22"/>
        </w:rPr>
        <w:t xml:space="preserve">PC 2015, </w:t>
      </w:r>
      <w:r w:rsidRPr="00BF09BA">
        <w:rPr>
          <w:rFonts w:asciiTheme="minorHAnsi" w:hAnsiTheme="minorHAnsi"/>
          <w:i/>
          <w:color w:val="auto"/>
          <w:sz w:val="22"/>
        </w:rPr>
        <w:t xml:space="preserve">Migrant Intake into Australia: Draft </w:t>
      </w:r>
      <w:r w:rsidR="009133B4">
        <w:rPr>
          <w:rFonts w:asciiTheme="minorHAnsi" w:hAnsiTheme="minorHAnsi"/>
          <w:i/>
          <w:color w:val="auto"/>
          <w:sz w:val="22"/>
        </w:rPr>
        <w:t>R</w:t>
      </w:r>
      <w:r w:rsidR="009133B4" w:rsidRPr="00BF09BA">
        <w:rPr>
          <w:rFonts w:asciiTheme="minorHAnsi" w:hAnsiTheme="minorHAnsi"/>
          <w:i/>
          <w:color w:val="auto"/>
          <w:sz w:val="22"/>
        </w:rPr>
        <w:t>eport</w:t>
      </w:r>
      <w:r w:rsidRPr="00BF09BA">
        <w:rPr>
          <w:rFonts w:asciiTheme="minorHAnsi" w:hAnsiTheme="minorHAnsi"/>
          <w:color w:val="auto"/>
          <w:sz w:val="22"/>
        </w:rPr>
        <w:t xml:space="preserve">, draft </w:t>
      </w:r>
      <w:r w:rsidR="00AE410B">
        <w:rPr>
          <w:rFonts w:asciiTheme="minorHAnsi" w:hAnsiTheme="minorHAnsi"/>
          <w:color w:val="auto"/>
          <w:sz w:val="22"/>
        </w:rPr>
        <w:t>i</w:t>
      </w:r>
      <w:r w:rsidRPr="00BF09BA">
        <w:rPr>
          <w:rFonts w:asciiTheme="minorHAnsi" w:hAnsiTheme="minorHAnsi"/>
          <w:color w:val="auto"/>
          <w:sz w:val="22"/>
        </w:rPr>
        <w:t xml:space="preserve">nquiry </w:t>
      </w:r>
      <w:r w:rsidR="00AE410B">
        <w:rPr>
          <w:rFonts w:asciiTheme="minorHAnsi" w:hAnsiTheme="minorHAnsi"/>
          <w:color w:val="auto"/>
          <w:sz w:val="22"/>
        </w:rPr>
        <w:t>r</w:t>
      </w:r>
      <w:r w:rsidRPr="00BF09BA">
        <w:rPr>
          <w:rFonts w:asciiTheme="minorHAnsi" w:hAnsiTheme="minorHAnsi"/>
          <w:color w:val="auto"/>
          <w:sz w:val="22"/>
        </w:rPr>
        <w:t xml:space="preserve">eport </w:t>
      </w:r>
      <w:r w:rsidR="00AE410B">
        <w:rPr>
          <w:rFonts w:asciiTheme="minorHAnsi" w:hAnsiTheme="minorHAnsi"/>
          <w:color w:val="auto"/>
          <w:sz w:val="22"/>
        </w:rPr>
        <w:t>n</w:t>
      </w:r>
      <w:r w:rsidRPr="00BF09BA">
        <w:rPr>
          <w:rFonts w:asciiTheme="minorHAnsi" w:hAnsiTheme="minorHAnsi"/>
          <w:color w:val="auto"/>
          <w:sz w:val="22"/>
        </w:rPr>
        <w:t xml:space="preserve">o. 77, </w:t>
      </w:r>
      <w:hyperlink r:id="rId121" w:history="1">
        <w:r w:rsidR="0000608A" w:rsidRPr="00BF09BA">
          <w:rPr>
            <w:rStyle w:val="Hyperlink"/>
            <w:rFonts w:asciiTheme="minorHAnsi" w:hAnsiTheme="minorHAnsi"/>
            <w:b w:val="0"/>
            <w:color w:val="auto"/>
            <w:sz w:val="22"/>
          </w:rPr>
          <w:t>Canberra</w:t>
        </w:r>
      </w:hyperlink>
      <w:r w:rsidR="000A07A2">
        <w:rPr>
          <w:rFonts w:asciiTheme="minorHAnsi" w:hAnsiTheme="minorHAnsi"/>
          <w:color w:val="auto"/>
          <w:sz w:val="22"/>
        </w:rPr>
        <w:t>.</w:t>
      </w:r>
    </w:p>
    <w:p w14:paraId="62C611E0"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PC 2016</w:t>
      </w:r>
      <w:r w:rsidRPr="00BF09BA">
        <w:rPr>
          <w:rFonts w:asciiTheme="minorHAnsi" w:hAnsiTheme="minorHAnsi" w:cs="Arial"/>
          <w:szCs w:val="22"/>
        </w:rPr>
        <w:t xml:space="preserve">, </w:t>
      </w:r>
      <w:r w:rsidRPr="00BF09BA">
        <w:rPr>
          <w:rFonts w:asciiTheme="minorHAnsi" w:hAnsiTheme="minorHAnsi" w:cs="Arial"/>
          <w:i/>
          <w:szCs w:val="22"/>
        </w:rPr>
        <w:t>Migrant Intake into Australia</w:t>
      </w:r>
      <w:r w:rsidRPr="00BF09BA">
        <w:rPr>
          <w:rFonts w:asciiTheme="minorHAnsi" w:hAnsiTheme="minorHAnsi" w:cs="Arial"/>
          <w:szCs w:val="22"/>
        </w:rPr>
        <w:t xml:space="preserve">, </w:t>
      </w:r>
      <w:r w:rsidR="00AE410B">
        <w:rPr>
          <w:rFonts w:asciiTheme="minorHAnsi" w:hAnsiTheme="minorHAnsi" w:cs="Arial"/>
          <w:szCs w:val="22"/>
        </w:rPr>
        <w:t>i</w:t>
      </w:r>
      <w:r w:rsidRPr="00BF09BA">
        <w:rPr>
          <w:rFonts w:asciiTheme="minorHAnsi" w:hAnsiTheme="minorHAnsi" w:cs="Arial"/>
          <w:szCs w:val="22"/>
        </w:rPr>
        <w:t xml:space="preserve">nquiry </w:t>
      </w:r>
      <w:r w:rsidR="00AE410B">
        <w:rPr>
          <w:rFonts w:asciiTheme="minorHAnsi" w:hAnsiTheme="minorHAnsi" w:cs="Arial"/>
          <w:szCs w:val="22"/>
        </w:rPr>
        <w:t>r</w:t>
      </w:r>
      <w:r w:rsidRPr="00BF09BA">
        <w:rPr>
          <w:rFonts w:asciiTheme="minorHAnsi" w:hAnsiTheme="minorHAnsi" w:cs="Arial"/>
          <w:szCs w:val="22"/>
        </w:rPr>
        <w:t xml:space="preserve">eport </w:t>
      </w:r>
      <w:r w:rsidR="00AE410B">
        <w:rPr>
          <w:rFonts w:asciiTheme="minorHAnsi" w:hAnsiTheme="minorHAnsi" w:cs="Arial"/>
          <w:szCs w:val="22"/>
        </w:rPr>
        <w:t>n</w:t>
      </w:r>
      <w:r w:rsidRPr="00BF09BA">
        <w:rPr>
          <w:rFonts w:asciiTheme="minorHAnsi" w:hAnsiTheme="minorHAnsi" w:cs="Arial"/>
          <w:szCs w:val="22"/>
        </w:rPr>
        <w:t xml:space="preserve">o. 77, </w:t>
      </w:r>
      <w:hyperlink r:id="rId122" w:history="1">
        <w:r w:rsidR="0000608A" w:rsidRPr="00BF09BA">
          <w:rPr>
            <w:rStyle w:val="Hyperlink"/>
            <w:rFonts w:asciiTheme="minorHAnsi" w:hAnsiTheme="minorHAnsi"/>
            <w:b w:val="0"/>
            <w:color w:val="auto"/>
          </w:rPr>
          <w:t>Canberra</w:t>
        </w:r>
      </w:hyperlink>
      <w:r w:rsidRPr="00BF09BA">
        <w:rPr>
          <w:rFonts w:asciiTheme="minorHAnsi" w:hAnsiTheme="minorHAnsi" w:cs="Arial"/>
          <w:szCs w:val="22"/>
        </w:rPr>
        <w:t>.</w:t>
      </w:r>
    </w:p>
    <w:p w14:paraId="63A8B1C3" w14:textId="77777777" w:rsidR="00EA0DFE" w:rsidRPr="00BF09BA" w:rsidRDefault="00EA0DFE">
      <w:pPr>
        <w:pStyle w:val="References"/>
        <w:jc w:val="left"/>
        <w:rPr>
          <w:rFonts w:asciiTheme="minorHAnsi" w:eastAsia="Times New Roman" w:hAnsiTheme="minorHAnsi"/>
          <w:color w:val="auto"/>
          <w:sz w:val="22"/>
          <w:lang w:eastAsia="en-AU"/>
        </w:rPr>
      </w:pPr>
      <w:r w:rsidRPr="00BF09BA">
        <w:rPr>
          <w:rFonts w:asciiTheme="minorHAnsi" w:eastAsia="Times New Roman" w:hAnsiTheme="minorHAnsi"/>
          <w:color w:val="auto"/>
          <w:sz w:val="22"/>
          <w:lang w:eastAsia="en-AU"/>
        </w:rPr>
        <w:t xml:space="preserve">Qian, H, </w:t>
      </w:r>
      <w:proofErr w:type="spellStart"/>
      <w:r w:rsidRPr="00BF09BA">
        <w:rPr>
          <w:rFonts w:asciiTheme="minorHAnsi" w:eastAsia="Times New Roman" w:hAnsiTheme="minorHAnsi"/>
          <w:color w:val="auto"/>
          <w:sz w:val="22"/>
          <w:lang w:eastAsia="en-AU"/>
        </w:rPr>
        <w:t>Acs</w:t>
      </w:r>
      <w:proofErr w:type="spellEnd"/>
      <w:r w:rsidRPr="00BF09BA">
        <w:rPr>
          <w:rFonts w:asciiTheme="minorHAnsi" w:eastAsia="Times New Roman" w:hAnsiTheme="minorHAnsi"/>
          <w:color w:val="auto"/>
          <w:sz w:val="22"/>
          <w:lang w:eastAsia="en-AU"/>
        </w:rPr>
        <w:t xml:space="preserve"> Z, &amp; </w:t>
      </w:r>
      <w:proofErr w:type="spellStart"/>
      <w:r w:rsidRPr="00BF09BA">
        <w:rPr>
          <w:rFonts w:asciiTheme="minorHAnsi" w:eastAsia="Times New Roman" w:hAnsiTheme="minorHAnsi"/>
          <w:color w:val="auto"/>
          <w:sz w:val="22"/>
          <w:lang w:eastAsia="en-AU"/>
        </w:rPr>
        <w:t>Stough</w:t>
      </w:r>
      <w:proofErr w:type="spellEnd"/>
      <w:r w:rsidRPr="00BF09BA">
        <w:rPr>
          <w:rFonts w:asciiTheme="minorHAnsi" w:eastAsia="Times New Roman" w:hAnsiTheme="minorHAnsi"/>
          <w:color w:val="auto"/>
          <w:sz w:val="22"/>
          <w:lang w:eastAsia="en-AU"/>
        </w:rPr>
        <w:t xml:space="preserve">, R 2013, </w:t>
      </w:r>
      <w:r w:rsidRPr="00BF09BA">
        <w:rPr>
          <w:rFonts w:asciiTheme="minorHAnsi" w:eastAsia="Times New Roman" w:hAnsiTheme="minorHAnsi" w:hint="eastAsia"/>
          <w:color w:val="auto"/>
          <w:sz w:val="22"/>
          <w:lang w:eastAsia="en-AU"/>
        </w:rPr>
        <w:t>‘</w:t>
      </w:r>
      <w:r w:rsidRPr="00BF09BA">
        <w:rPr>
          <w:rFonts w:asciiTheme="minorHAnsi" w:eastAsia="Times New Roman" w:hAnsiTheme="minorHAnsi"/>
          <w:color w:val="auto"/>
          <w:sz w:val="22"/>
          <w:lang w:eastAsia="en-AU"/>
        </w:rPr>
        <w:t xml:space="preserve">Regional </w:t>
      </w:r>
      <w:r w:rsidR="009A41EA">
        <w:rPr>
          <w:rFonts w:asciiTheme="minorHAnsi" w:eastAsia="Times New Roman" w:hAnsiTheme="minorHAnsi"/>
          <w:color w:val="auto"/>
          <w:sz w:val="22"/>
          <w:lang w:eastAsia="en-AU"/>
        </w:rPr>
        <w:t>S</w:t>
      </w:r>
      <w:r w:rsidR="009A41EA" w:rsidRPr="00BF09BA">
        <w:rPr>
          <w:rFonts w:asciiTheme="minorHAnsi" w:eastAsia="Times New Roman" w:hAnsiTheme="minorHAnsi"/>
          <w:color w:val="auto"/>
          <w:sz w:val="22"/>
          <w:lang w:eastAsia="en-AU"/>
        </w:rPr>
        <w:t xml:space="preserve">ystems </w:t>
      </w:r>
      <w:r w:rsidRPr="00BF09BA">
        <w:rPr>
          <w:rFonts w:asciiTheme="minorHAnsi" w:eastAsia="Times New Roman" w:hAnsiTheme="minorHAnsi"/>
          <w:color w:val="auto"/>
          <w:sz w:val="22"/>
          <w:lang w:eastAsia="en-AU"/>
        </w:rPr>
        <w:t xml:space="preserve">of </w:t>
      </w:r>
      <w:r w:rsidR="009A41EA">
        <w:rPr>
          <w:rFonts w:asciiTheme="minorHAnsi" w:eastAsia="Times New Roman" w:hAnsiTheme="minorHAnsi"/>
          <w:color w:val="auto"/>
          <w:sz w:val="22"/>
          <w:lang w:eastAsia="en-AU"/>
        </w:rPr>
        <w:t>E</w:t>
      </w:r>
      <w:r w:rsidR="009A41EA" w:rsidRPr="00BF09BA">
        <w:rPr>
          <w:rFonts w:asciiTheme="minorHAnsi" w:eastAsia="Times New Roman" w:hAnsiTheme="minorHAnsi"/>
          <w:color w:val="auto"/>
          <w:sz w:val="22"/>
          <w:lang w:eastAsia="en-AU"/>
        </w:rPr>
        <w:t>ntrepreneurship</w:t>
      </w:r>
      <w:r w:rsidRPr="00BF09BA">
        <w:rPr>
          <w:rFonts w:asciiTheme="minorHAnsi" w:eastAsia="Times New Roman" w:hAnsiTheme="minorHAnsi"/>
          <w:color w:val="auto"/>
          <w:sz w:val="22"/>
          <w:lang w:eastAsia="en-AU"/>
        </w:rPr>
        <w:t xml:space="preserve">: </w:t>
      </w:r>
      <w:r w:rsidR="009A41EA">
        <w:rPr>
          <w:rFonts w:asciiTheme="minorHAnsi" w:eastAsia="Times New Roman" w:hAnsiTheme="minorHAnsi"/>
          <w:color w:val="auto"/>
          <w:sz w:val="22"/>
          <w:lang w:eastAsia="en-AU"/>
        </w:rPr>
        <w:t>T</w:t>
      </w:r>
      <w:r w:rsidR="009A41EA" w:rsidRPr="00BF09BA">
        <w:rPr>
          <w:rFonts w:asciiTheme="minorHAnsi" w:eastAsia="Times New Roman" w:hAnsiTheme="minorHAnsi"/>
          <w:color w:val="auto"/>
          <w:sz w:val="22"/>
          <w:lang w:eastAsia="en-AU"/>
        </w:rPr>
        <w:t xml:space="preserve">he </w:t>
      </w:r>
      <w:r w:rsidR="009A41EA">
        <w:rPr>
          <w:rFonts w:asciiTheme="minorHAnsi" w:eastAsia="Times New Roman" w:hAnsiTheme="minorHAnsi"/>
          <w:color w:val="auto"/>
          <w:sz w:val="22"/>
          <w:lang w:eastAsia="en-AU"/>
        </w:rPr>
        <w:t>N</w:t>
      </w:r>
      <w:r w:rsidR="009A41EA" w:rsidRPr="00BF09BA">
        <w:rPr>
          <w:rFonts w:asciiTheme="minorHAnsi" w:eastAsia="Times New Roman" w:hAnsiTheme="minorHAnsi"/>
          <w:color w:val="auto"/>
          <w:sz w:val="22"/>
          <w:lang w:eastAsia="en-AU"/>
        </w:rPr>
        <w:t xml:space="preserve">exus </w:t>
      </w:r>
      <w:r w:rsidRPr="00BF09BA">
        <w:rPr>
          <w:rFonts w:asciiTheme="minorHAnsi" w:eastAsia="Times New Roman" w:hAnsiTheme="minorHAnsi"/>
          <w:color w:val="auto"/>
          <w:sz w:val="22"/>
          <w:lang w:eastAsia="en-AU"/>
        </w:rPr>
        <w:t xml:space="preserve">of </w:t>
      </w:r>
      <w:r w:rsidR="009A41EA">
        <w:rPr>
          <w:rFonts w:asciiTheme="minorHAnsi" w:eastAsia="Times New Roman" w:hAnsiTheme="minorHAnsi"/>
          <w:color w:val="auto"/>
          <w:sz w:val="22"/>
          <w:lang w:eastAsia="en-AU"/>
        </w:rPr>
        <w:t>H</w:t>
      </w:r>
      <w:r w:rsidR="009A41EA" w:rsidRPr="00BF09BA">
        <w:rPr>
          <w:rFonts w:asciiTheme="minorHAnsi" w:eastAsia="Times New Roman" w:hAnsiTheme="minorHAnsi"/>
          <w:color w:val="auto"/>
          <w:sz w:val="22"/>
          <w:lang w:eastAsia="en-AU"/>
        </w:rPr>
        <w:t xml:space="preserve">uman </w:t>
      </w:r>
      <w:r w:rsidR="009A41EA">
        <w:rPr>
          <w:rFonts w:asciiTheme="minorHAnsi" w:eastAsia="Times New Roman" w:hAnsiTheme="minorHAnsi"/>
          <w:color w:val="auto"/>
          <w:sz w:val="22"/>
          <w:lang w:eastAsia="en-AU"/>
        </w:rPr>
        <w:t>C</w:t>
      </w:r>
      <w:r w:rsidR="009A41EA" w:rsidRPr="00BF09BA">
        <w:rPr>
          <w:rFonts w:asciiTheme="minorHAnsi" w:eastAsia="Times New Roman" w:hAnsiTheme="minorHAnsi"/>
          <w:color w:val="auto"/>
          <w:sz w:val="22"/>
          <w:lang w:eastAsia="en-AU"/>
        </w:rPr>
        <w:t>apital</w:t>
      </w:r>
      <w:r w:rsidRPr="00BF09BA">
        <w:rPr>
          <w:rFonts w:asciiTheme="minorHAnsi" w:eastAsia="Times New Roman" w:hAnsiTheme="minorHAnsi"/>
          <w:color w:val="auto"/>
          <w:sz w:val="22"/>
          <w:lang w:eastAsia="en-AU"/>
        </w:rPr>
        <w:t xml:space="preserve">, </w:t>
      </w:r>
      <w:r w:rsidR="009A41EA">
        <w:rPr>
          <w:rFonts w:asciiTheme="minorHAnsi" w:eastAsia="Times New Roman" w:hAnsiTheme="minorHAnsi"/>
          <w:color w:val="auto"/>
          <w:sz w:val="22"/>
          <w:lang w:eastAsia="en-AU"/>
        </w:rPr>
        <w:t>K</w:t>
      </w:r>
      <w:r w:rsidR="009A41EA" w:rsidRPr="00BF09BA">
        <w:rPr>
          <w:rFonts w:asciiTheme="minorHAnsi" w:eastAsia="Times New Roman" w:hAnsiTheme="minorHAnsi"/>
          <w:color w:val="auto"/>
          <w:sz w:val="22"/>
          <w:lang w:eastAsia="en-AU"/>
        </w:rPr>
        <w:t xml:space="preserve">nowledge </w:t>
      </w:r>
      <w:r w:rsidRPr="00BF09BA">
        <w:rPr>
          <w:rFonts w:asciiTheme="minorHAnsi" w:eastAsia="Times New Roman" w:hAnsiTheme="minorHAnsi"/>
          <w:color w:val="auto"/>
          <w:sz w:val="22"/>
          <w:lang w:eastAsia="en-AU"/>
        </w:rPr>
        <w:t xml:space="preserve">and </w:t>
      </w:r>
      <w:r w:rsidR="009A41EA">
        <w:rPr>
          <w:rFonts w:asciiTheme="minorHAnsi" w:eastAsia="Times New Roman" w:hAnsiTheme="minorHAnsi"/>
          <w:color w:val="auto"/>
          <w:sz w:val="22"/>
          <w:lang w:eastAsia="en-AU"/>
        </w:rPr>
        <w:t>N</w:t>
      </w:r>
      <w:r w:rsidR="009A41EA" w:rsidRPr="00BF09BA">
        <w:rPr>
          <w:rFonts w:asciiTheme="minorHAnsi" w:eastAsia="Times New Roman" w:hAnsiTheme="minorHAnsi"/>
          <w:color w:val="auto"/>
          <w:sz w:val="22"/>
          <w:lang w:eastAsia="en-AU"/>
        </w:rPr>
        <w:t xml:space="preserve">ew </w:t>
      </w:r>
      <w:r w:rsidR="009A41EA">
        <w:rPr>
          <w:rFonts w:asciiTheme="minorHAnsi" w:eastAsia="Times New Roman" w:hAnsiTheme="minorHAnsi"/>
          <w:color w:val="auto"/>
          <w:sz w:val="22"/>
          <w:lang w:eastAsia="en-AU"/>
        </w:rPr>
        <w:t>F</w:t>
      </w:r>
      <w:r w:rsidR="009A41EA" w:rsidRPr="00BF09BA">
        <w:rPr>
          <w:rFonts w:asciiTheme="minorHAnsi" w:eastAsia="Times New Roman" w:hAnsiTheme="minorHAnsi"/>
          <w:color w:val="auto"/>
          <w:sz w:val="22"/>
          <w:lang w:eastAsia="en-AU"/>
        </w:rPr>
        <w:t xml:space="preserve">irm </w:t>
      </w:r>
      <w:r w:rsidR="009A41EA">
        <w:rPr>
          <w:rFonts w:asciiTheme="minorHAnsi" w:eastAsia="Times New Roman" w:hAnsiTheme="minorHAnsi"/>
          <w:color w:val="auto"/>
          <w:sz w:val="22"/>
          <w:lang w:eastAsia="en-AU"/>
        </w:rPr>
        <w:t>F</w:t>
      </w:r>
      <w:r w:rsidR="009A41EA" w:rsidRPr="00BF09BA">
        <w:rPr>
          <w:rFonts w:asciiTheme="minorHAnsi" w:eastAsia="Times New Roman" w:hAnsiTheme="minorHAnsi"/>
          <w:color w:val="auto"/>
          <w:sz w:val="22"/>
          <w:lang w:eastAsia="en-AU"/>
        </w:rPr>
        <w:t>ormation</w:t>
      </w:r>
      <w:r w:rsidR="009A41EA" w:rsidRPr="00BF09BA">
        <w:rPr>
          <w:rFonts w:asciiTheme="minorHAnsi" w:eastAsia="Times New Roman" w:hAnsiTheme="minorHAnsi" w:hint="eastAsia"/>
          <w:color w:val="auto"/>
          <w:sz w:val="22"/>
          <w:lang w:eastAsia="en-AU"/>
        </w:rPr>
        <w:t>’</w:t>
      </w:r>
      <w:r w:rsidRPr="00BF09BA">
        <w:rPr>
          <w:rFonts w:asciiTheme="minorHAnsi" w:eastAsia="Times New Roman" w:hAnsiTheme="minorHAnsi"/>
          <w:color w:val="auto"/>
          <w:sz w:val="22"/>
          <w:lang w:eastAsia="en-AU"/>
        </w:rPr>
        <w:t xml:space="preserve">, </w:t>
      </w:r>
      <w:r w:rsidRPr="00381B16">
        <w:rPr>
          <w:rFonts w:asciiTheme="minorHAnsi" w:eastAsia="Times New Roman" w:hAnsiTheme="minorHAnsi"/>
          <w:i/>
          <w:color w:val="auto"/>
          <w:sz w:val="22"/>
          <w:lang w:eastAsia="en-AU"/>
        </w:rPr>
        <w:t>Journal of Economic Geography</w:t>
      </w:r>
      <w:r w:rsidRPr="00BF09BA">
        <w:rPr>
          <w:rFonts w:asciiTheme="minorHAnsi" w:eastAsia="Times New Roman" w:hAnsiTheme="minorHAnsi"/>
          <w:color w:val="auto"/>
          <w:sz w:val="22"/>
          <w:lang w:eastAsia="en-AU"/>
        </w:rPr>
        <w:t>, vol. 13, no.4</w:t>
      </w:r>
      <w:proofErr w:type="gramStart"/>
      <w:r w:rsidRPr="00BF09BA">
        <w:rPr>
          <w:rFonts w:asciiTheme="minorHAnsi" w:eastAsia="Times New Roman" w:hAnsiTheme="minorHAnsi"/>
          <w:color w:val="auto"/>
          <w:sz w:val="22"/>
          <w:lang w:eastAsia="en-AU"/>
        </w:rPr>
        <w:t>,</w:t>
      </w:r>
      <w:proofErr w:type="gramEnd"/>
      <w:r w:rsidR="00155E57">
        <w:rPr>
          <w:rFonts w:asciiTheme="minorHAnsi" w:eastAsia="Times New Roman" w:hAnsiTheme="minorHAnsi"/>
          <w:color w:val="auto"/>
          <w:sz w:val="22"/>
          <w:lang w:eastAsia="en-AU"/>
        </w:rPr>
        <w:br/>
      </w:r>
      <w:r w:rsidRPr="00BF09BA">
        <w:rPr>
          <w:rFonts w:asciiTheme="minorHAnsi" w:eastAsia="Times New Roman" w:hAnsiTheme="minorHAnsi"/>
          <w:color w:val="auto"/>
          <w:sz w:val="22"/>
          <w:lang w:eastAsia="en-AU"/>
        </w:rPr>
        <w:t>pp. 559-587.</w:t>
      </w:r>
    </w:p>
    <w:p w14:paraId="59B87B8D" w14:textId="77777777" w:rsidR="00EA0DFE" w:rsidRPr="00BF09BA" w:rsidRDefault="00EA0DFE">
      <w:pPr>
        <w:spacing w:before="0" w:after="240"/>
        <w:jc w:val="left"/>
        <w:rPr>
          <w:rStyle w:val="Hyperlink"/>
          <w:rFonts w:asciiTheme="minorHAnsi" w:hAnsiTheme="minorHAnsi"/>
          <w:b w:val="0"/>
          <w:color w:val="auto"/>
        </w:rPr>
      </w:pPr>
      <w:proofErr w:type="spellStart"/>
      <w:r w:rsidRPr="00BF09BA">
        <w:rPr>
          <w:rStyle w:val="Hyperlink"/>
          <w:rFonts w:asciiTheme="minorHAnsi" w:hAnsiTheme="minorHAnsi"/>
          <w:b w:val="0"/>
          <w:color w:val="auto"/>
        </w:rPr>
        <w:t>Saxenian</w:t>
      </w:r>
      <w:proofErr w:type="spellEnd"/>
      <w:r w:rsidRPr="00BF09BA">
        <w:rPr>
          <w:rStyle w:val="Hyperlink"/>
          <w:rFonts w:asciiTheme="minorHAnsi" w:hAnsiTheme="minorHAnsi"/>
          <w:b w:val="0"/>
          <w:color w:val="auto"/>
        </w:rPr>
        <w:t>, A 20</w:t>
      </w:r>
      <w:r w:rsidR="009133B4">
        <w:rPr>
          <w:rStyle w:val="Hyperlink"/>
          <w:rFonts w:asciiTheme="minorHAnsi" w:hAnsiTheme="minorHAnsi"/>
          <w:b w:val="0"/>
          <w:color w:val="auto"/>
        </w:rPr>
        <w:t>02</w:t>
      </w:r>
      <w:r w:rsidRPr="00BF09BA">
        <w:rPr>
          <w:rStyle w:val="Hyperlink"/>
          <w:rFonts w:asciiTheme="minorHAnsi" w:hAnsiTheme="minorHAnsi"/>
          <w:b w:val="0"/>
          <w:color w:val="auto"/>
        </w:rPr>
        <w:t xml:space="preserve">, </w:t>
      </w:r>
      <w:r w:rsidRPr="0048563F">
        <w:rPr>
          <w:rStyle w:val="Hyperlink"/>
          <w:rFonts w:asciiTheme="minorHAnsi" w:hAnsiTheme="minorHAnsi"/>
          <w:b w:val="0"/>
          <w:i/>
          <w:color w:val="auto"/>
        </w:rPr>
        <w:t>Brain Circulation: How High Skill Immigration Makes Everyone Better Off</w:t>
      </w:r>
      <w:r w:rsidRPr="00BF09BA">
        <w:rPr>
          <w:rStyle w:val="Hyperlink"/>
          <w:rFonts w:asciiTheme="minorHAnsi" w:hAnsiTheme="minorHAnsi"/>
          <w:b w:val="0"/>
          <w:color w:val="auto"/>
        </w:rPr>
        <w:t>, Brookings Institute</w:t>
      </w:r>
      <w:r w:rsidR="009133B4">
        <w:rPr>
          <w:rStyle w:val="Hyperlink"/>
          <w:rFonts w:asciiTheme="minorHAnsi" w:hAnsiTheme="minorHAnsi"/>
          <w:b w:val="0"/>
          <w:color w:val="auto"/>
        </w:rPr>
        <w:t>, Washington DC</w:t>
      </w:r>
      <w:r w:rsidRPr="00BF09BA">
        <w:rPr>
          <w:rStyle w:val="Hyperlink"/>
          <w:rFonts w:asciiTheme="minorHAnsi" w:hAnsiTheme="minorHAnsi"/>
          <w:b w:val="0"/>
          <w:color w:val="auto"/>
        </w:rPr>
        <w:t>.</w:t>
      </w:r>
    </w:p>
    <w:p w14:paraId="1568B7C7" w14:textId="77777777" w:rsidR="00EA0DFE" w:rsidRPr="00BF09BA" w:rsidRDefault="00EA0DFE" w:rsidP="003858D8">
      <w:pPr>
        <w:spacing w:before="0" w:after="240"/>
        <w:jc w:val="left"/>
        <w:rPr>
          <w:rStyle w:val="Hyperlink"/>
          <w:rFonts w:asciiTheme="minorHAnsi" w:hAnsiTheme="minorHAnsi"/>
          <w:b w:val="0"/>
          <w:color w:val="auto"/>
        </w:rPr>
      </w:pPr>
      <w:proofErr w:type="gramStart"/>
      <w:r w:rsidRPr="00BF09BA">
        <w:rPr>
          <w:rFonts w:asciiTheme="minorHAnsi" w:hAnsiTheme="minorHAnsi" w:cs="Arial"/>
          <w:szCs w:val="22"/>
        </w:rPr>
        <w:t xml:space="preserve">Smith, D, </w:t>
      </w:r>
      <w:proofErr w:type="spellStart"/>
      <w:r w:rsidRPr="00BF09BA">
        <w:rPr>
          <w:rFonts w:asciiTheme="minorHAnsi" w:hAnsiTheme="minorHAnsi" w:cs="Arial"/>
          <w:szCs w:val="22"/>
        </w:rPr>
        <w:t>Wykes</w:t>
      </w:r>
      <w:proofErr w:type="spellEnd"/>
      <w:r w:rsidRPr="00BF09BA">
        <w:rPr>
          <w:rFonts w:asciiTheme="minorHAnsi" w:hAnsiTheme="minorHAnsi" w:cs="Arial"/>
          <w:szCs w:val="22"/>
        </w:rPr>
        <w:t xml:space="preserve">, J, </w:t>
      </w:r>
      <w:proofErr w:type="spellStart"/>
      <w:r w:rsidRPr="00BF09BA">
        <w:rPr>
          <w:rFonts w:asciiTheme="minorHAnsi" w:hAnsiTheme="minorHAnsi" w:cs="Arial"/>
          <w:szCs w:val="22"/>
        </w:rPr>
        <w:t>Jayarajah</w:t>
      </w:r>
      <w:proofErr w:type="spellEnd"/>
      <w:r w:rsidRPr="00BF09BA">
        <w:rPr>
          <w:rFonts w:asciiTheme="minorHAnsi" w:hAnsiTheme="minorHAnsi" w:cs="Arial"/>
          <w:szCs w:val="22"/>
        </w:rPr>
        <w:t xml:space="preserve">, S &amp; </w:t>
      </w:r>
      <w:proofErr w:type="spellStart"/>
      <w:r w:rsidRPr="00BF09BA">
        <w:rPr>
          <w:rFonts w:asciiTheme="minorHAnsi" w:hAnsiTheme="minorHAnsi" w:cs="Arial"/>
          <w:szCs w:val="22"/>
        </w:rPr>
        <w:t>Fabijanic</w:t>
      </w:r>
      <w:proofErr w:type="spellEnd"/>
      <w:r w:rsidRPr="00BF09BA">
        <w:rPr>
          <w:rFonts w:asciiTheme="minorHAnsi" w:hAnsiTheme="minorHAnsi" w:cs="Arial"/>
          <w:szCs w:val="22"/>
        </w:rPr>
        <w:t xml:space="preserve">, T 2011, </w:t>
      </w:r>
      <w:r w:rsidRPr="00BF09BA">
        <w:rPr>
          <w:rFonts w:asciiTheme="minorHAnsi" w:hAnsiTheme="minorHAnsi" w:cs="Arial"/>
          <w:i/>
          <w:szCs w:val="22"/>
        </w:rPr>
        <w:t>Citizenship in Australia</w:t>
      </w:r>
      <w:r w:rsidRPr="00BF09BA">
        <w:rPr>
          <w:rFonts w:asciiTheme="minorHAnsi" w:hAnsiTheme="minorHAnsi" w:cs="Arial"/>
          <w:szCs w:val="22"/>
        </w:rPr>
        <w:t xml:space="preserve">, report by the Australian Government Department of Immigration and Citizenship, </w:t>
      </w:r>
      <w:hyperlink r:id="rId123" w:history="1">
        <w:r w:rsidR="0000608A" w:rsidRPr="00BF09BA">
          <w:rPr>
            <w:rStyle w:val="Hyperlink"/>
            <w:rFonts w:asciiTheme="minorHAnsi" w:hAnsiTheme="minorHAnsi"/>
            <w:b w:val="0"/>
            <w:color w:val="auto"/>
          </w:rPr>
          <w:t>Canberra</w:t>
        </w:r>
      </w:hyperlink>
      <w:r w:rsidR="000A07A2">
        <w:rPr>
          <w:rStyle w:val="Hyperlink"/>
          <w:rFonts w:asciiTheme="minorHAnsi" w:hAnsiTheme="minorHAnsi"/>
          <w:b w:val="0"/>
          <w:color w:val="auto"/>
        </w:rPr>
        <w:t>.</w:t>
      </w:r>
      <w:proofErr w:type="gramEnd"/>
    </w:p>
    <w:p w14:paraId="6D5F01D1" w14:textId="77777777" w:rsidR="00EA0DFE" w:rsidRPr="00BF09BA" w:rsidRDefault="00EA0DFE">
      <w:pPr>
        <w:pStyle w:val="References"/>
        <w:jc w:val="left"/>
        <w:rPr>
          <w:rFonts w:asciiTheme="minorHAnsi" w:hAnsiTheme="minorHAnsi"/>
          <w:color w:val="auto"/>
          <w:sz w:val="22"/>
        </w:rPr>
      </w:pPr>
      <w:proofErr w:type="spellStart"/>
      <w:r w:rsidRPr="00BF09BA">
        <w:rPr>
          <w:rFonts w:asciiTheme="minorHAnsi" w:hAnsiTheme="minorHAnsi"/>
          <w:color w:val="auto"/>
          <w:sz w:val="22"/>
        </w:rPr>
        <w:t>Stapledon</w:t>
      </w:r>
      <w:proofErr w:type="spellEnd"/>
      <w:r w:rsidRPr="00BF09BA">
        <w:rPr>
          <w:rFonts w:asciiTheme="minorHAnsi" w:hAnsiTheme="minorHAnsi"/>
          <w:color w:val="auto"/>
          <w:sz w:val="22"/>
        </w:rPr>
        <w:t xml:space="preserve">, N 2016, ‘The </w:t>
      </w:r>
      <w:r w:rsidR="009A41EA">
        <w:rPr>
          <w:rFonts w:asciiTheme="minorHAnsi" w:hAnsiTheme="minorHAnsi"/>
          <w:color w:val="auto"/>
          <w:sz w:val="22"/>
        </w:rPr>
        <w:t>I</w:t>
      </w:r>
      <w:r w:rsidR="009A41EA" w:rsidRPr="00BF09BA">
        <w:rPr>
          <w:rFonts w:asciiTheme="minorHAnsi" w:hAnsiTheme="minorHAnsi"/>
          <w:color w:val="auto"/>
          <w:sz w:val="22"/>
        </w:rPr>
        <w:t xml:space="preserve">nexorable </w:t>
      </w:r>
      <w:r w:rsidR="009A41EA">
        <w:rPr>
          <w:rFonts w:asciiTheme="minorHAnsi" w:hAnsiTheme="minorHAnsi"/>
          <w:color w:val="auto"/>
          <w:sz w:val="22"/>
        </w:rPr>
        <w:t>R</w:t>
      </w:r>
      <w:r w:rsidR="009A41EA" w:rsidRPr="00BF09BA">
        <w:rPr>
          <w:rFonts w:asciiTheme="minorHAnsi" w:hAnsiTheme="minorHAnsi"/>
          <w:color w:val="auto"/>
          <w:sz w:val="22"/>
        </w:rPr>
        <w:t xml:space="preserve">ise </w:t>
      </w:r>
      <w:r w:rsidRPr="00BF09BA">
        <w:rPr>
          <w:rFonts w:asciiTheme="minorHAnsi" w:hAnsiTheme="minorHAnsi"/>
          <w:color w:val="auto"/>
          <w:sz w:val="22"/>
        </w:rPr>
        <w:t xml:space="preserve">in </w:t>
      </w:r>
      <w:r w:rsidR="009A41EA">
        <w:rPr>
          <w:rFonts w:asciiTheme="minorHAnsi" w:hAnsiTheme="minorHAnsi"/>
          <w:color w:val="auto"/>
          <w:sz w:val="22"/>
        </w:rPr>
        <w:t>H</w:t>
      </w:r>
      <w:r w:rsidR="009A41EA" w:rsidRPr="00BF09BA">
        <w:rPr>
          <w:rFonts w:asciiTheme="minorHAnsi" w:hAnsiTheme="minorHAnsi"/>
          <w:color w:val="auto"/>
          <w:sz w:val="22"/>
        </w:rPr>
        <w:t xml:space="preserve">ouse </w:t>
      </w:r>
      <w:r w:rsidR="009A41EA">
        <w:rPr>
          <w:rFonts w:asciiTheme="minorHAnsi" w:hAnsiTheme="minorHAnsi"/>
          <w:color w:val="auto"/>
          <w:sz w:val="22"/>
        </w:rPr>
        <w:t>P</w:t>
      </w:r>
      <w:r w:rsidR="009A41EA" w:rsidRPr="00BF09BA">
        <w:rPr>
          <w:rFonts w:asciiTheme="minorHAnsi" w:hAnsiTheme="minorHAnsi"/>
          <w:color w:val="auto"/>
          <w:sz w:val="22"/>
        </w:rPr>
        <w:t xml:space="preserve">rices </w:t>
      </w:r>
      <w:r w:rsidRPr="00BF09BA">
        <w:rPr>
          <w:rFonts w:asciiTheme="minorHAnsi" w:hAnsiTheme="minorHAnsi"/>
          <w:color w:val="auto"/>
          <w:sz w:val="22"/>
        </w:rPr>
        <w:t xml:space="preserve">in Australia </w:t>
      </w:r>
      <w:r w:rsidR="009A41EA">
        <w:rPr>
          <w:rFonts w:asciiTheme="minorHAnsi" w:hAnsiTheme="minorHAnsi"/>
          <w:color w:val="auto"/>
          <w:sz w:val="22"/>
        </w:rPr>
        <w:t>S</w:t>
      </w:r>
      <w:r w:rsidR="009A41EA" w:rsidRPr="00BF09BA">
        <w:rPr>
          <w:rFonts w:asciiTheme="minorHAnsi" w:hAnsiTheme="minorHAnsi"/>
          <w:color w:val="auto"/>
          <w:sz w:val="22"/>
        </w:rPr>
        <w:t xml:space="preserve">ince </w:t>
      </w:r>
      <w:r w:rsidRPr="00BF09BA">
        <w:rPr>
          <w:rFonts w:asciiTheme="minorHAnsi" w:hAnsiTheme="minorHAnsi"/>
          <w:color w:val="auto"/>
          <w:sz w:val="22"/>
        </w:rPr>
        <w:t xml:space="preserve">1970: Unique or </w:t>
      </w:r>
      <w:r w:rsidR="009A41EA">
        <w:rPr>
          <w:rFonts w:asciiTheme="minorHAnsi" w:hAnsiTheme="minorHAnsi"/>
          <w:color w:val="auto"/>
          <w:sz w:val="22"/>
        </w:rPr>
        <w:t>N</w:t>
      </w:r>
      <w:r w:rsidR="009A41EA" w:rsidRPr="00BF09BA">
        <w:rPr>
          <w:rFonts w:asciiTheme="minorHAnsi" w:hAnsiTheme="minorHAnsi"/>
          <w:color w:val="auto"/>
          <w:sz w:val="22"/>
        </w:rPr>
        <w:t>ot</w:t>
      </w:r>
      <w:r w:rsidRPr="00BF09BA">
        <w:rPr>
          <w:rFonts w:asciiTheme="minorHAnsi" w:hAnsiTheme="minorHAnsi"/>
          <w:color w:val="auto"/>
          <w:sz w:val="22"/>
        </w:rPr>
        <w:t>?</w:t>
      </w:r>
      <w:proofErr w:type="gramStart"/>
      <w:r w:rsidRPr="00BF09BA">
        <w:rPr>
          <w:rFonts w:asciiTheme="minorHAnsi" w:hAnsiTheme="minorHAnsi"/>
          <w:color w:val="auto"/>
          <w:sz w:val="22"/>
        </w:rPr>
        <w:t>’,</w:t>
      </w:r>
      <w:proofErr w:type="gramEnd"/>
      <w:r w:rsidRPr="00BF09BA">
        <w:rPr>
          <w:rFonts w:asciiTheme="minorHAnsi" w:hAnsiTheme="minorHAnsi"/>
          <w:color w:val="auto"/>
          <w:sz w:val="22"/>
        </w:rPr>
        <w:t xml:space="preserve"> </w:t>
      </w:r>
      <w:r w:rsidRPr="00BF09BA">
        <w:rPr>
          <w:rFonts w:asciiTheme="minorHAnsi" w:hAnsiTheme="minorHAnsi"/>
          <w:i/>
          <w:color w:val="auto"/>
          <w:sz w:val="22"/>
        </w:rPr>
        <w:t>The</w:t>
      </w:r>
      <w:r w:rsidR="00C67472">
        <w:rPr>
          <w:rFonts w:asciiTheme="minorHAnsi" w:hAnsiTheme="minorHAnsi"/>
          <w:i/>
          <w:color w:val="auto"/>
          <w:sz w:val="22"/>
        </w:rPr>
        <w:t> </w:t>
      </w:r>
      <w:r w:rsidRPr="00BF09BA">
        <w:rPr>
          <w:rFonts w:asciiTheme="minorHAnsi" w:hAnsiTheme="minorHAnsi"/>
          <w:i/>
          <w:color w:val="auto"/>
          <w:sz w:val="22"/>
        </w:rPr>
        <w:t>Australian Economic Review</w:t>
      </w:r>
      <w:r w:rsidR="000A07A2">
        <w:rPr>
          <w:rFonts w:asciiTheme="minorHAnsi" w:hAnsiTheme="minorHAnsi"/>
          <w:color w:val="auto"/>
          <w:sz w:val="22"/>
        </w:rPr>
        <w:t>, vol. 49, no. 3, pp. 317-327.</w:t>
      </w:r>
    </w:p>
    <w:p w14:paraId="70D5956D"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Taylor, AJ, Bell, L, &amp; </w:t>
      </w:r>
      <w:proofErr w:type="spellStart"/>
      <w:r w:rsidRPr="00BF09BA">
        <w:rPr>
          <w:rFonts w:asciiTheme="minorHAnsi" w:hAnsiTheme="minorHAnsi"/>
          <w:color w:val="auto"/>
          <w:sz w:val="22"/>
        </w:rPr>
        <w:t>Gerritsen</w:t>
      </w:r>
      <w:proofErr w:type="spellEnd"/>
      <w:r w:rsidRPr="00BF09BA">
        <w:rPr>
          <w:rFonts w:asciiTheme="minorHAnsi" w:hAnsiTheme="minorHAnsi"/>
          <w:color w:val="auto"/>
          <w:sz w:val="22"/>
        </w:rPr>
        <w:t xml:space="preserve">, R 2014, ‘Benefits of </w:t>
      </w:r>
      <w:r w:rsidR="009A41EA">
        <w:rPr>
          <w:rFonts w:asciiTheme="minorHAnsi" w:hAnsiTheme="minorHAnsi"/>
          <w:color w:val="auto"/>
          <w:sz w:val="22"/>
        </w:rPr>
        <w:t>S</w:t>
      </w:r>
      <w:r w:rsidR="009A41EA" w:rsidRPr="00BF09BA">
        <w:rPr>
          <w:rFonts w:asciiTheme="minorHAnsi" w:hAnsiTheme="minorHAnsi"/>
          <w:color w:val="auto"/>
          <w:sz w:val="22"/>
        </w:rPr>
        <w:t xml:space="preserve">killed </w:t>
      </w:r>
      <w:r w:rsidR="009A41EA">
        <w:rPr>
          <w:rFonts w:asciiTheme="minorHAnsi" w:hAnsiTheme="minorHAnsi"/>
          <w:color w:val="auto"/>
          <w:sz w:val="22"/>
        </w:rPr>
        <w:t>M</w:t>
      </w:r>
      <w:r w:rsidR="009A41EA" w:rsidRPr="00BF09BA">
        <w:rPr>
          <w:rFonts w:asciiTheme="minorHAnsi" w:hAnsiTheme="minorHAnsi"/>
          <w:color w:val="auto"/>
          <w:sz w:val="22"/>
        </w:rPr>
        <w:t xml:space="preserve">igration </w:t>
      </w:r>
      <w:r w:rsidR="009A41EA">
        <w:rPr>
          <w:rFonts w:asciiTheme="minorHAnsi" w:hAnsiTheme="minorHAnsi"/>
          <w:color w:val="auto"/>
          <w:sz w:val="22"/>
        </w:rPr>
        <w:t>P</w:t>
      </w:r>
      <w:r w:rsidR="009A41EA" w:rsidRPr="00BF09BA">
        <w:rPr>
          <w:rFonts w:asciiTheme="minorHAnsi" w:hAnsiTheme="minorHAnsi"/>
          <w:color w:val="auto"/>
          <w:sz w:val="22"/>
        </w:rPr>
        <w:t xml:space="preserve">rograms </w:t>
      </w:r>
      <w:r w:rsidRPr="00BF09BA">
        <w:rPr>
          <w:rFonts w:asciiTheme="minorHAnsi" w:hAnsiTheme="minorHAnsi"/>
          <w:color w:val="auto"/>
          <w:sz w:val="22"/>
        </w:rPr>
        <w:t xml:space="preserve">for </w:t>
      </w:r>
      <w:r w:rsidR="009A41EA">
        <w:rPr>
          <w:rFonts w:asciiTheme="minorHAnsi" w:hAnsiTheme="minorHAnsi"/>
          <w:color w:val="auto"/>
          <w:sz w:val="22"/>
        </w:rPr>
        <w:t>R</w:t>
      </w:r>
      <w:r w:rsidR="009A41EA" w:rsidRPr="00BF09BA">
        <w:rPr>
          <w:rFonts w:asciiTheme="minorHAnsi" w:hAnsiTheme="minorHAnsi"/>
          <w:color w:val="auto"/>
          <w:sz w:val="22"/>
        </w:rPr>
        <w:t xml:space="preserve">egional </w:t>
      </w:r>
      <w:r w:rsidRPr="00BF09BA">
        <w:rPr>
          <w:rFonts w:asciiTheme="minorHAnsi" w:hAnsiTheme="minorHAnsi"/>
          <w:color w:val="auto"/>
          <w:sz w:val="22"/>
        </w:rPr>
        <w:t xml:space="preserve">Australia: Perspectives from Northern Territory’, </w:t>
      </w:r>
      <w:r w:rsidRPr="00BF09BA">
        <w:rPr>
          <w:rFonts w:asciiTheme="minorHAnsi" w:hAnsiTheme="minorHAnsi"/>
          <w:i/>
          <w:color w:val="auto"/>
          <w:sz w:val="22"/>
        </w:rPr>
        <w:t>Journal of Economic and Social Policy</w:t>
      </w:r>
      <w:r w:rsidR="000A07A2">
        <w:rPr>
          <w:rFonts w:asciiTheme="minorHAnsi" w:hAnsiTheme="minorHAnsi"/>
          <w:color w:val="auto"/>
          <w:sz w:val="22"/>
        </w:rPr>
        <w:t>, vol. 16, no. 1.</w:t>
      </w:r>
    </w:p>
    <w:p w14:paraId="4CD26305"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Terrill, M</w:t>
      </w:r>
      <w:r w:rsidR="003A31F1">
        <w:rPr>
          <w:rFonts w:asciiTheme="minorHAnsi" w:hAnsiTheme="minorHAnsi"/>
          <w:color w:val="auto"/>
          <w:sz w:val="22"/>
        </w:rPr>
        <w:t xml:space="preserve">, </w:t>
      </w:r>
      <w:proofErr w:type="spellStart"/>
      <w:r w:rsidR="003A31F1">
        <w:rPr>
          <w:rFonts w:asciiTheme="minorHAnsi" w:hAnsiTheme="minorHAnsi"/>
          <w:color w:val="auto"/>
          <w:sz w:val="22"/>
        </w:rPr>
        <w:t>Batrouney</w:t>
      </w:r>
      <w:proofErr w:type="spellEnd"/>
      <w:r w:rsidR="003A31F1">
        <w:rPr>
          <w:rFonts w:asciiTheme="minorHAnsi" w:hAnsiTheme="minorHAnsi"/>
          <w:color w:val="auto"/>
          <w:sz w:val="22"/>
        </w:rPr>
        <w:t>, H, Etherington, S</w:t>
      </w:r>
      <w:r w:rsidR="00DF4F57">
        <w:rPr>
          <w:rFonts w:asciiTheme="minorHAnsi" w:hAnsiTheme="minorHAnsi"/>
          <w:color w:val="auto"/>
          <w:sz w:val="22"/>
        </w:rPr>
        <w:t xml:space="preserve"> &amp;</w:t>
      </w:r>
      <w:r w:rsidR="003A31F1">
        <w:rPr>
          <w:rFonts w:asciiTheme="minorHAnsi" w:hAnsiTheme="minorHAnsi"/>
          <w:color w:val="auto"/>
          <w:sz w:val="22"/>
        </w:rPr>
        <w:t xml:space="preserve"> Parsonage, H</w:t>
      </w:r>
      <w:r w:rsidRPr="00BF09BA">
        <w:rPr>
          <w:rFonts w:asciiTheme="minorHAnsi" w:hAnsiTheme="minorHAnsi"/>
          <w:color w:val="auto"/>
          <w:sz w:val="22"/>
        </w:rPr>
        <w:t xml:space="preserve"> 2017</w:t>
      </w:r>
      <w:r w:rsidRPr="00BF09BA">
        <w:rPr>
          <w:rFonts w:asciiTheme="minorHAnsi" w:hAnsiTheme="minorHAnsi" w:cs="Arial"/>
          <w:color w:val="auto"/>
          <w:sz w:val="22"/>
        </w:rPr>
        <w:t xml:space="preserve">, </w:t>
      </w:r>
      <w:r w:rsidRPr="00381B16">
        <w:rPr>
          <w:rFonts w:asciiTheme="minorHAnsi" w:hAnsiTheme="minorHAnsi"/>
          <w:i/>
          <w:color w:val="auto"/>
          <w:sz w:val="22"/>
        </w:rPr>
        <w:t xml:space="preserve">Stuck in </w:t>
      </w:r>
      <w:r w:rsidR="009A41EA" w:rsidRPr="00381B16">
        <w:rPr>
          <w:rFonts w:asciiTheme="minorHAnsi" w:hAnsiTheme="minorHAnsi"/>
          <w:i/>
          <w:color w:val="auto"/>
          <w:sz w:val="22"/>
        </w:rPr>
        <w:t>Traffic</w:t>
      </w:r>
      <w:r w:rsidR="003A31F1" w:rsidRPr="00381B16">
        <w:rPr>
          <w:rFonts w:asciiTheme="minorHAnsi" w:hAnsiTheme="minorHAnsi"/>
          <w:i/>
          <w:color w:val="auto"/>
          <w:sz w:val="22"/>
        </w:rPr>
        <w:t xml:space="preserve">? Road </w:t>
      </w:r>
      <w:r w:rsidR="00DF4F57" w:rsidRPr="00381B16">
        <w:rPr>
          <w:rFonts w:asciiTheme="minorHAnsi" w:hAnsiTheme="minorHAnsi"/>
          <w:i/>
          <w:color w:val="auto"/>
          <w:sz w:val="22"/>
        </w:rPr>
        <w:t>C</w:t>
      </w:r>
      <w:r w:rsidR="003A31F1" w:rsidRPr="00381B16">
        <w:rPr>
          <w:rFonts w:asciiTheme="minorHAnsi" w:hAnsiTheme="minorHAnsi"/>
          <w:i/>
          <w:color w:val="auto"/>
          <w:sz w:val="22"/>
        </w:rPr>
        <w:t>ongestion in Sydney and Melbourne</w:t>
      </w:r>
      <w:r w:rsidR="003A31F1">
        <w:rPr>
          <w:rFonts w:asciiTheme="minorHAnsi" w:hAnsiTheme="minorHAnsi"/>
          <w:color w:val="auto"/>
          <w:sz w:val="22"/>
        </w:rPr>
        <w:t>, Grattan Institute report no. 2017</w:t>
      </w:r>
      <w:r w:rsidR="003A31F1">
        <w:rPr>
          <w:rFonts w:asciiTheme="minorHAnsi" w:hAnsiTheme="minorHAnsi"/>
          <w:color w:val="auto"/>
          <w:sz w:val="22"/>
        </w:rPr>
        <w:noBreakHyphen/>
        <w:t>10, Melbourne</w:t>
      </w:r>
      <w:r w:rsidR="000A07A2">
        <w:rPr>
          <w:rFonts w:asciiTheme="minorHAnsi" w:hAnsiTheme="minorHAnsi"/>
          <w:color w:val="auto"/>
          <w:sz w:val="22"/>
        </w:rPr>
        <w:t>.</w:t>
      </w:r>
    </w:p>
    <w:p w14:paraId="3E2D8A5D" w14:textId="77777777" w:rsidR="003501E6" w:rsidRDefault="00CE1DFD">
      <w:pPr>
        <w:pStyle w:val="References"/>
        <w:jc w:val="left"/>
        <w:rPr>
          <w:rFonts w:asciiTheme="minorHAnsi" w:eastAsia="Times New Roman" w:hAnsiTheme="minorHAnsi"/>
          <w:color w:val="auto"/>
          <w:sz w:val="22"/>
          <w:lang w:eastAsia="en-AU"/>
        </w:rPr>
        <w:sectPr w:rsidR="003501E6" w:rsidSect="005D0DBA">
          <w:footerReference w:type="first" r:id="rId124"/>
          <w:pgSz w:w="11906" w:h="16838" w:code="277"/>
          <w:pgMar w:top="1418" w:right="1418" w:bottom="1418" w:left="1418" w:header="709" w:footer="709" w:gutter="0"/>
          <w:cols w:space="708"/>
          <w:titlePg/>
          <w:docGrid w:linePitch="360"/>
        </w:sectPr>
      </w:pPr>
      <w:r w:rsidRPr="00BF09BA">
        <w:rPr>
          <w:rFonts w:asciiTheme="minorHAnsi" w:eastAsia="Times New Roman" w:hAnsiTheme="minorHAnsi"/>
          <w:color w:val="auto"/>
          <w:sz w:val="22"/>
          <w:lang w:eastAsia="en-AU"/>
        </w:rPr>
        <w:t xml:space="preserve">Terrill, M, Emslie, O &amp; Coates, B 2016, </w:t>
      </w:r>
      <w:r w:rsidRPr="00BF09BA">
        <w:rPr>
          <w:rFonts w:asciiTheme="minorHAnsi" w:eastAsia="Times New Roman" w:hAnsiTheme="minorHAnsi"/>
          <w:i/>
          <w:color w:val="auto"/>
          <w:sz w:val="22"/>
          <w:lang w:eastAsia="en-AU"/>
        </w:rPr>
        <w:t xml:space="preserve">Roads to </w:t>
      </w:r>
      <w:r w:rsidR="009A41EA">
        <w:rPr>
          <w:rFonts w:asciiTheme="minorHAnsi" w:eastAsia="Times New Roman" w:hAnsiTheme="minorHAnsi"/>
          <w:i/>
          <w:color w:val="auto"/>
          <w:sz w:val="22"/>
          <w:lang w:eastAsia="en-AU"/>
        </w:rPr>
        <w:t>R</w:t>
      </w:r>
      <w:r w:rsidRPr="00BF09BA">
        <w:rPr>
          <w:rFonts w:asciiTheme="minorHAnsi" w:eastAsia="Times New Roman" w:hAnsiTheme="minorHAnsi"/>
          <w:i/>
          <w:color w:val="auto"/>
          <w:sz w:val="22"/>
          <w:lang w:eastAsia="en-AU"/>
        </w:rPr>
        <w:t xml:space="preserve">iches: </w:t>
      </w:r>
      <w:r w:rsidR="009A41EA">
        <w:rPr>
          <w:rFonts w:asciiTheme="minorHAnsi" w:eastAsia="Times New Roman" w:hAnsiTheme="minorHAnsi"/>
          <w:i/>
          <w:color w:val="auto"/>
          <w:sz w:val="22"/>
          <w:lang w:eastAsia="en-AU"/>
        </w:rPr>
        <w:t>B</w:t>
      </w:r>
      <w:r w:rsidRPr="00BF09BA">
        <w:rPr>
          <w:rFonts w:asciiTheme="minorHAnsi" w:eastAsia="Times New Roman" w:hAnsiTheme="minorHAnsi"/>
          <w:i/>
          <w:color w:val="auto"/>
          <w:sz w:val="22"/>
          <w:lang w:eastAsia="en-AU"/>
        </w:rPr>
        <w:t xml:space="preserve">etter </w:t>
      </w:r>
      <w:r w:rsidR="009A41EA">
        <w:rPr>
          <w:rFonts w:asciiTheme="minorHAnsi" w:eastAsia="Times New Roman" w:hAnsiTheme="minorHAnsi"/>
          <w:i/>
          <w:color w:val="auto"/>
          <w:sz w:val="22"/>
          <w:lang w:eastAsia="en-AU"/>
        </w:rPr>
        <w:t>T</w:t>
      </w:r>
      <w:r w:rsidRPr="00BF09BA">
        <w:rPr>
          <w:rFonts w:asciiTheme="minorHAnsi" w:eastAsia="Times New Roman" w:hAnsiTheme="minorHAnsi"/>
          <w:i/>
          <w:color w:val="auto"/>
          <w:sz w:val="22"/>
          <w:lang w:eastAsia="en-AU"/>
        </w:rPr>
        <w:t xml:space="preserve">ransport </w:t>
      </w:r>
      <w:r w:rsidR="009A41EA">
        <w:rPr>
          <w:rFonts w:asciiTheme="minorHAnsi" w:eastAsia="Times New Roman" w:hAnsiTheme="minorHAnsi"/>
          <w:i/>
          <w:color w:val="auto"/>
          <w:sz w:val="22"/>
          <w:lang w:eastAsia="en-AU"/>
        </w:rPr>
        <w:t>I</w:t>
      </w:r>
      <w:r w:rsidRPr="00BF09BA">
        <w:rPr>
          <w:rFonts w:asciiTheme="minorHAnsi" w:eastAsia="Times New Roman" w:hAnsiTheme="minorHAnsi"/>
          <w:i/>
          <w:color w:val="auto"/>
          <w:sz w:val="22"/>
          <w:lang w:eastAsia="en-AU"/>
        </w:rPr>
        <w:t>nvestment,</w:t>
      </w:r>
      <w:r w:rsidRPr="00BF09BA">
        <w:rPr>
          <w:rFonts w:asciiTheme="minorHAnsi" w:eastAsia="Times New Roman" w:hAnsiTheme="minorHAnsi"/>
          <w:color w:val="auto"/>
          <w:sz w:val="22"/>
          <w:lang w:eastAsia="en-AU"/>
        </w:rPr>
        <w:t xml:space="preserve"> Grattan Institute report no. 2016</w:t>
      </w:r>
      <w:r w:rsidR="003A31F1">
        <w:rPr>
          <w:rFonts w:asciiTheme="minorHAnsi" w:eastAsia="Times New Roman" w:hAnsiTheme="minorHAnsi"/>
          <w:color w:val="auto"/>
          <w:sz w:val="22"/>
          <w:lang w:eastAsia="en-AU"/>
        </w:rPr>
        <w:noBreakHyphen/>
      </w:r>
      <w:r w:rsidRPr="00BF09BA">
        <w:rPr>
          <w:rFonts w:asciiTheme="minorHAnsi" w:eastAsia="Times New Roman" w:hAnsiTheme="minorHAnsi"/>
          <w:color w:val="auto"/>
          <w:sz w:val="22"/>
          <w:lang w:eastAsia="en-AU"/>
        </w:rPr>
        <w:t>5</w:t>
      </w:r>
      <w:r w:rsidR="0000608A" w:rsidRPr="00BF09BA">
        <w:rPr>
          <w:rFonts w:asciiTheme="minorHAnsi" w:eastAsia="Times New Roman" w:hAnsiTheme="minorHAnsi"/>
          <w:color w:val="auto"/>
          <w:sz w:val="22"/>
          <w:lang w:eastAsia="en-AU"/>
        </w:rPr>
        <w:t>, Melbourne</w:t>
      </w:r>
      <w:r w:rsidR="009133B4">
        <w:rPr>
          <w:rFonts w:asciiTheme="minorHAnsi" w:eastAsia="Times New Roman" w:hAnsiTheme="minorHAnsi"/>
          <w:color w:val="auto"/>
          <w:sz w:val="22"/>
          <w:lang w:eastAsia="en-AU"/>
        </w:rPr>
        <w:t>.</w:t>
      </w:r>
    </w:p>
    <w:p w14:paraId="7421D990" w14:textId="77777777" w:rsidR="00820BA7" w:rsidRDefault="00820BA7">
      <w:pPr>
        <w:pStyle w:val="References"/>
        <w:jc w:val="left"/>
        <w:rPr>
          <w:rFonts w:asciiTheme="minorHAnsi" w:hAnsiTheme="minorHAnsi"/>
          <w:color w:val="auto"/>
          <w:sz w:val="22"/>
          <w:lang w:eastAsia="en-AU"/>
        </w:rPr>
      </w:pPr>
      <w:r w:rsidRPr="00820BA7">
        <w:rPr>
          <w:rFonts w:asciiTheme="minorHAnsi" w:hAnsiTheme="minorHAnsi"/>
          <w:color w:val="auto"/>
          <w:sz w:val="22"/>
          <w:lang w:eastAsia="en-AU"/>
        </w:rPr>
        <w:lastRenderedPageBreak/>
        <w:t>United Nations</w:t>
      </w:r>
      <w:r>
        <w:rPr>
          <w:rFonts w:asciiTheme="minorHAnsi" w:hAnsiTheme="minorHAnsi"/>
          <w:color w:val="auto"/>
          <w:sz w:val="22"/>
          <w:lang w:eastAsia="en-AU"/>
        </w:rPr>
        <w:t xml:space="preserve"> 2017</w:t>
      </w:r>
      <w:r w:rsidRPr="00820BA7">
        <w:rPr>
          <w:rFonts w:asciiTheme="minorHAnsi" w:hAnsiTheme="minorHAnsi"/>
          <w:color w:val="auto"/>
          <w:sz w:val="22"/>
          <w:lang w:eastAsia="en-AU"/>
        </w:rPr>
        <w:t>, Department of Economic and Soci</w:t>
      </w:r>
      <w:r>
        <w:rPr>
          <w:rFonts w:asciiTheme="minorHAnsi" w:hAnsiTheme="minorHAnsi"/>
          <w:color w:val="auto"/>
          <w:sz w:val="22"/>
          <w:lang w:eastAsia="en-AU"/>
        </w:rPr>
        <w:t xml:space="preserve">al Affairs, Population Division, </w:t>
      </w:r>
      <w:proofErr w:type="gramStart"/>
      <w:r>
        <w:rPr>
          <w:rFonts w:asciiTheme="minorHAnsi" w:hAnsiTheme="minorHAnsi"/>
          <w:color w:val="auto"/>
          <w:sz w:val="22"/>
          <w:lang w:eastAsia="en-AU"/>
        </w:rPr>
        <w:t>World</w:t>
      </w:r>
      <w:proofErr w:type="gramEnd"/>
      <w:r>
        <w:rPr>
          <w:rFonts w:asciiTheme="minorHAnsi" w:hAnsiTheme="minorHAnsi"/>
          <w:color w:val="auto"/>
          <w:sz w:val="22"/>
          <w:lang w:eastAsia="en-AU"/>
        </w:rPr>
        <w:t xml:space="preserve"> Population Prospects</w:t>
      </w:r>
      <w:r w:rsidR="00194464">
        <w:rPr>
          <w:rFonts w:asciiTheme="minorHAnsi" w:hAnsiTheme="minorHAnsi"/>
          <w:color w:val="auto"/>
          <w:sz w:val="22"/>
          <w:lang w:eastAsia="en-AU"/>
        </w:rPr>
        <w:t>: The 2017 Revision,</w:t>
      </w:r>
      <w:r>
        <w:rPr>
          <w:rFonts w:asciiTheme="minorHAnsi" w:hAnsiTheme="minorHAnsi"/>
          <w:color w:val="auto"/>
          <w:sz w:val="22"/>
          <w:lang w:eastAsia="en-AU"/>
        </w:rPr>
        <w:t xml:space="preserve"> Volume II: Demographic Profiles.</w:t>
      </w:r>
    </w:p>
    <w:p w14:paraId="51A469F7" w14:textId="77777777" w:rsidR="0059098E" w:rsidRPr="00BF09BA" w:rsidRDefault="0059098E">
      <w:pPr>
        <w:pStyle w:val="References"/>
        <w:jc w:val="left"/>
        <w:rPr>
          <w:rFonts w:asciiTheme="minorHAnsi" w:hAnsiTheme="minorHAnsi"/>
          <w:color w:val="auto"/>
          <w:sz w:val="22"/>
          <w:lang w:eastAsia="en-AU"/>
        </w:rPr>
      </w:pPr>
      <w:proofErr w:type="spellStart"/>
      <w:r w:rsidRPr="00BF09BA">
        <w:rPr>
          <w:rFonts w:asciiTheme="minorHAnsi" w:hAnsiTheme="minorHAnsi"/>
          <w:color w:val="auto"/>
          <w:sz w:val="22"/>
          <w:lang w:eastAsia="en-AU"/>
        </w:rPr>
        <w:t>Uslaner</w:t>
      </w:r>
      <w:proofErr w:type="spellEnd"/>
      <w:r w:rsidRPr="00BF09BA">
        <w:rPr>
          <w:rFonts w:asciiTheme="minorHAnsi" w:hAnsiTheme="minorHAnsi"/>
          <w:color w:val="auto"/>
          <w:sz w:val="22"/>
          <w:lang w:eastAsia="en-AU"/>
        </w:rPr>
        <w:t xml:space="preserve">, EM 2012, </w:t>
      </w:r>
      <w:r w:rsidRPr="00BF09BA">
        <w:rPr>
          <w:rFonts w:asciiTheme="minorHAnsi" w:hAnsiTheme="minorHAnsi"/>
          <w:i/>
          <w:color w:val="auto"/>
          <w:sz w:val="22"/>
          <w:lang w:eastAsia="en-AU"/>
        </w:rPr>
        <w:t xml:space="preserve">Segregation and Mistrust: Diversity, Isolation, and Social Cohesion, </w:t>
      </w:r>
      <w:r w:rsidRPr="00BF09BA">
        <w:rPr>
          <w:rFonts w:asciiTheme="minorHAnsi" w:hAnsiTheme="minorHAnsi"/>
          <w:color w:val="auto"/>
          <w:sz w:val="22"/>
          <w:lang w:eastAsia="en-AU"/>
        </w:rPr>
        <w:t>Cambridge</w:t>
      </w:r>
      <w:r w:rsidR="00AF0916">
        <w:rPr>
          <w:rFonts w:asciiTheme="minorHAnsi" w:hAnsiTheme="minorHAnsi"/>
          <w:color w:val="auto"/>
          <w:sz w:val="22"/>
          <w:lang w:eastAsia="en-AU"/>
        </w:rPr>
        <w:t> </w:t>
      </w:r>
      <w:r w:rsidRPr="00BF09BA">
        <w:rPr>
          <w:rFonts w:asciiTheme="minorHAnsi" w:hAnsiTheme="minorHAnsi"/>
          <w:color w:val="auto"/>
          <w:sz w:val="22"/>
          <w:lang w:eastAsia="en-AU"/>
        </w:rPr>
        <w:t>University Press, United Kingdom.</w:t>
      </w:r>
    </w:p>
    <w:p w14:paraId="2B81FDED" w14:textId="77777777" w:rsidR="00A86B82" w:rsidRPr="00BF09BA" w:rsidRDefault="00A86B82">
      <w:pPr>
        <w:pStyle w:val="References"/>
        <w:jc w:val="left"/>
        <w:rPr>
          <w:rFonts w:asciiTheme="minorHAnsi" w:hAnsiTheme="minorHAnsi"/>
          <w:color w:val="auto"/>
          <w:sz w:val="22"/>
        </w:rPr>
      </w:pPr>
      <w:proofErr w:type="gramStart"/>
      <w:r w:rsidRPr="00BF09BA">
        <w:rPr>
          <w:rFonts w:asciiTheme="minorHAnsi" w:hAnsiTheme="minorHAnsi"/>
          <w:color w:val="auto"/>
          <w:sz w:val="22"/>
        </w:rPr>
        <w:t xml:space="preserve">Victorian Government 2010, </w:t>
      </w:r>
      <w:r w:rsidRPr="00BF09BA">
        <w:rPr>
          <w:rFonts w:asciiTheme="minorHAnsi" w:hAnsiTheme="minorHAnsi"/>
          <w:i/>
          <w:color w:val="auto"/>
          <w:sz w:val="22"/>
        </w:rPr>
        <w:t>Submission to the Legislative Council Select Committee on Train Services</w:t>
      </w:r>
      <w:r w:rsidRPr="00BF09BA">
        <w:rPr>
          <w:rFonts w:asciiTheme="minorHAnsi" w:hAnsiTheme="minorHAnsi"/>
          <w:color w:val="auto"/>
          <w:sz w:val="22"/>
        </w:rPr>
        <w:t xml:space="preserve">, Victorian Government Department of Transport, </w:t>
      </w:r>
      <w:hyperlink r:id="rId125" w:history="1">
        <w:r w:rsidR="0000608A" w:rsidRPr="00BF09BA">
          <w:rPr>
            <w:rStyle w:val="Hyperlink"/>
            <w:rFonts w:asciiTheme="minorHAnsi" w:hAnsiTheme="minorHAnsi"/>
            <w:b w:val="0"/>
            <w:color w:val="auto"/>
            <w:sz w:val="22"/>
          </w:rPr>
          <w:t>Melbourne</w:t>
        </w:r>
      </w:hyperlink>
      <w:r w:rsidR="000A07A2">
        <w:rPr>
          <w:rFonts w:asciiTheme="minorHAnsi" w:hAnsiTheme="minorHAnsi"/>
          <w:color w:val="auto"/>
          <w:sz w:val="22"/>
        </w:rPr>
        <w:t>.</w:t>
      </w:r>
      <w:proofErr w:type="gramEnd"/>
    </w:p>
    <w:p w14:paraId="34F734BB"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Victorian Government 2017, ‘Strategy and Outlook Budget Paper No. 2’</w:t>
      </w:r>
      <w:r w:rsidRPr="00BF09BA">
        <w:rPr>
          <w:rFonts w:asciiTheme="minorHAnsi" w:hAnsiTheme="minorHAnsi"/>
          <w:i/>
          <w:color w:val="auto"/>
          <w:sz w:val="22"/>
        </w:rPr>
        <w:t xml:space="preserve">, Victorian Budget 2017-18: Getting on </w:t>
      </w:r>
      <w:r w:rsidR="009A41EA">
        <w:rPr>
          <w:rFonts w:asciiTheme="minorHAnsi" w:hAnsiTheme="minorHAnsi"/>
          <w:i/>
          <w:color w:val="auto"/>
          <w:sz w:val="22"/>
        </w:rPr>
        <w:t>W</w:t>
      </w:r>
      <w:r w:rsidR="009A41EA" w:rsidRPr="00BF09BA">
        <w:rPr>
          <w:rFonts w:asciiTheme="minorHAnsi" w:hAnsiTheme="minorHAnsi"/>
          <w:i/>
          <w:color w:val="auto"/>
          <w:sz w:val="22"/>
        </w:rPr>
        <w:t xml:space="preserve">ith </w:t>
      </w:r>
      <w:r w:rsidRPr="00BF09BA">
        <w:rPr>
          <w:rFonts w:asciiTheme="minorHAnsi" w:hAnsiTheme="minorHAnsi"/>
          <w:i/>
          <w:color w:val="auto"/>
          <w:sz w:val="22"/>
        </w:rPr>
        <w:t xml:space="preserve">the </w:t>
      </w:r>
      <w:r w:rsidR="009A41EA">
        <w:rPr>
          <w:rFonts w:asciiTheme="minorHAnsi" w:hAnsiTheme="minorHAnsi"/>
          <w:i/>
          <w:color w:val="auto"/>
          <w:sz w:val="22"/>
        </w:rPr>
        <w:t>J</w:t>
      </w:r>
      <w:r w:rsidR="009A41EA" w:rsidRPr="00BF09BA">
        <w:rPr>
          <w:rFonts w:asciiTheme="minorHAnsi" w:hAnsiTheme="minorHAnsi"/>
          <w:i/>
          <w:color w:val="auto"/>
          <w:sz w:val="22"/>
        </w:rPr>
        <w:t>ob</w:t>
      </w:r>
      <w:r w:rsidRPr="00BF09BA">
        <w:rPr>
          <w:rFonts w:asciiTheme="minorHAnsi" w:hAnsiTheme="minorHAnsi"/>
          <w:color w:val="auto"/>
          <w:sz w:val="22"/>
        </w:rPr>
        <w:t xml:space="preserve">, </w:t>
      </w:r>
      <w:hyperlink r:id="rId126" w:history="1">
        <w:r w:rsidR="0000608A" w:rsidRPr="00BF09BA">
          <w:rPr>
            <w:rStyle w:val="Hyperlink"/>
            <w:rFonts w:asciiTheme="minorHAnsi" w:hAnsiTheme="minorHAnsi"/>
            <w:b w:val="0"/>
            <w:color w:val="auto"/>
            <w:sz w:val="22"/>
          </w:rPr>
          <w:t>Melbourne</w:t>
        </w:r>
      </w:hyperlink>
      <w:r w:rsidR="000A07A2">
        <w:rPr>
          <w:rFonts w:asciiTheme="minorHAnsi" w:hAnsiTheme="minorHAnsi"/>
          <w:color w:val="auto"/>
          <w:sz w:val="22"/>
        </w:rPr>
        <w:t>.</w:t>
      </w:r>
    </w:p>
    <w:p w14:paraId="0AAEB64A" w14:textId="77777777" w:rsidR="00A03A39" w:rsidRPr="00BF09BA" w:rsidRDefault="00A03A39">
      <w:pPr>
        <w:pStyle w:val="References"/>
        <w:jc w:val="left"/>
        <w:rPr>
          <w:rFonts w:asciiTheme="minorHAnsi" w:hAnsiTheme="minorHAnsi"/>
          <w:color w:val="auto"/>
          <w:sz w:val="22"/>
        </w:rPr>
      </w:pPr>
      <w:proofErr w:type="spellStart"/>
      <w:r w:rsidRPr="00BF09BA">
        <w:rPr>
          <w:rFonts w:asciiTheme="minorHAnsi" w:hAnsiTheme="minorHAnsi"/>
          <w:color w:val="auto"/>
          <w:sz w:val="22"/>
        </w:rPr>
        <w:t>Wokker</w:t>
      </w:r>
      <w:proofErr w:type="spellEnd"/>
      <w:r w:rsidRPr="00BF09BA">
        <w:rPr>
          <w:rFonts w:asciiTheme="minorHAnsi" w:hAnsiTheme="minorHAnsi"/>
          <w:color w:val="auto"/>
          <w:sz w:val="22"/>
        </w:rPr>
        <w:t xml:space="preserve">, C &amp; Swieringa, J 2016, </w:t>
      </w:r>
      <w:r w:rsidRPr="00BF09BA">
        <w:rPr>
          <w:rFonts w:asciiTheme="minorHAnsi" w:hAnsiTheme="minorHAnsi"/>
          <w:i/>
          <w:color w:val="auto"/>
          <w:sz w:val="22"/>
        </w:rPr>
        <w:t>Foreign Investment and Residential Property Price Growth</w:t>
      </w:r>
      <w:r w:rsidRPr="00BF09BA">
        <w:rPr>
          <w:rFonts w:asciiTheme="minorHAnsi" w:hAnsiTheme="minorHAnsi"/>
          <w:color w:val="auto"/>
          <w:sz w:val="22"/>
        </w:rPr>
        <w:t xml:space="preserve">, Australian Treasury </w:t>
      </w:r>
      <w:r w:rsidR="009133B4">
        <w:rPr>
          <w:rFonts w:asciiTheme="minorHAnsi" w:hAnsiTheme="minorHAnsi"/>
          <w:color w:val="auto"/>
          <w:sz w:val="22"/>
        </w:rPr>
        <w:t>w</w:t>
      </w:r>
      <w:r w:rsidR="009133B4" w:rsidRPr="00BF09BA">
        <w:rPr>
          <w:rFonts w:asciiTheme="minorHAnsi" w:hAnsiTheme="minorHAnsi"/>
          <w:color w:val="auto"/>
          <w:sz w:val="22"/>
        </w:rPr>
        <w:t xml:space="preserve">orking </w:t>
      </w:r>
      <w:r w:rsidR="009133B4">
        <w:rPr>
          <w:rFonts w:asciiTheme="minorHAnsi" w:hAnsiTheme="minorHAnsi"/>
          <w:color w:val="auto"/>
          <w:sz w:val="22"/>
        </w:rPr>
        <w:t>p</w:t>
      </w:r>
      <w:r w:rsidR="009133B4" w:rsidRPr="00BF09BA">
        <w:rPr>
          <w:rFonts w:asciiTheme="minorHAnsi" w:hAnsiTheme="minorHAnsi"/>
          <w:color w:val="auto"/>
          <w:sz w:val="22"/>
        </w:rPr>
        <w:t>aper</w:t>
      </w:r>
      <w:r w:rsidRPr="00BF09BA">
        <w:rPr>
          <w:rFonts w:asciiTheme="minorHAnsi" w:hAnsiTheme="minorHAnsi"/>
          <w:color w:val="auto"/>
          <w:sz w:val="22"/>
        </w:rPr>
        <w:t xml:space="preserve">, </w:t>
      </w:r>
      <w:hyperlink r:id="rId127" w:history="1">
        <w:r w:rsidR="0000608A" w:rsidRPr="00BF09BA">
          <w:rPr>
            <w:rStyle w:val="Hyperlink"/>
            <w:rFonts w:asciiTheme="minorHAnsi" w:hAnsiTheme="minorHAnsi"/>
            <w:b w:val="0"/>
            <w:color w:val="auto"/>
            <w:sz w:val="22"/>
          </w:rPr>
          <w:t>Canberra</w:t>
        </w:r>
      </w:hyperlink>
      <w:r w:rsidRPr="0048563F">
        <w:rPr>
          <w:rFonts w:asciiTheme="minorHAnsi" w:hAnsiTheme="minorHAnsi"/>
          <w:color w:val="auto"/>
          <w:sz w:val="22"/>
        </w:rPr>
        <w:t>.</w:t>
      </w:r>
    </w:p>
    <w:p w14:paraId="6B93EBE1" w14:textId="6B3C4C75" w:rsidR="00CB1AE3" w:rsidRPr="00BF09BA" w:rsidRDefault="003B4EAE">
      <w:pPr>
        <w:spacing w:before="0" w:after="240"/>
        <w:jc w:val="left"/>
      </w:pPr>
      <w:proofErr w:type="gramStart"/>
      <w:r w:rsidRPr="00BF09BA">
        <w:t xml:space="preserve">World Bank 2017, </w:t>
      </w:r>
      <w:r w:rsidR="00292B1C">
        <w:t>‘</w:t>
      </w:r>
      <w:r w:rsidRPr="00292B1C">
        <w:t xml:space="preserve">Population, </w:t>
      </w:r>
      <w:r w:rsidR="009A41EA" w:rsidRPr="00292B1C">
        <w:t>T</w:t>
      </w:r>
      <w:r w:rsidRPr="00292B1C">
        <w:t>otal</w:t>
      </w:r>
      <w:r w:rsidR="00292B1C">
        <w:t>’</w:t>
      </w:r>
      <w:r w:rsidRPr="00BF09BA">
        <w:t xml:space="preserve">, </w:t>
      </w:r>
      <w:r w:rsidRPr="00292B1C">
        <w:rPr>
          <w:i/>
        </w:rPr>
        <w:t>World Bank Open Data</w:t>
      </w:r>
      <w:r w:rsidRPr="00BF09BA">
        <w:t xml:space="preserve">, </w:t>
      </w:r>
      <w:r w:rsidR="00DF4F57">
        <w:t xml:space="preserve">available at </w:t>
      </w:r>
      <w:hyperlink r:id="rId128" w:history="1">
        <w:r w:rsidR="00DF4F57" w:rsidRPr="00360269">
          <w:rPr>
            <w:rStyle w:val="Hyperlink"/>
          </w:rPr>
          <w:t>https://data.worldbank.org/indicator/SP.POP.TOTL</w:t>
        </w:r>
      </w:hyperlink>
      <w:r w:rsidR="000A07A2">
        <w:t>.</w:t>
      </w:r>
      <w:proofErr w:type="gramEnd"/>
    </w:p>
    <w:p w14:paraId="24CCFD04" w14:textId="77777777" w:rsidR="007B0C4F" w:rsidRPr="00BF09BA" w:rsidRDefault="00CB1AE3">
      <w:pPr>
        <w:spacing w:before="0" w:after="240"/>
        <w:jc w:val="left"/>
        <w:rPr>
          <w:rFonts w:asciiTheme="minorHAnsi" w:hAnsiTheme="minorHAnsi"/>
        </w:rPr>
      </w:pPr>
      <w:proofErr w:type="gramStart"/>
      <w:r w:rsidRPr="00BF09BA">
        <w:rPr>
          <w:rFonts w:asciiTheme="minorHAnsi" w:hAnsiTheme="minorHAnsi"/>
          <w:szCs w:val="22"/>
        </w:rPr>
        <w:t xml:space="preserve">Wright, CF, </w:t>
      </w:r>
      <w:proofErr w:type="spellStart"/>
      <w:r w:rsidRPr="00BF09BA">
        <w:rPr>
          <w:rFonts w:asciiTheme="minorHAnsi" w:hAnsiTheme="minorHAnsi"/>
          <w:szCs w:val="22"/>
        </w:rPr>
        <w:t>Clibborn</w:t>
      </w:r>
      <w:proofErr w:type="spellEnd"/>
      <w:r w:rsidRPr="00BF09BA">
        <w:rPr>
          <w:rFonts w:asciiTheme="minorHAnsi" w:hAnsiTheme="minorHAnsi"/>
          <w:szCs w:val="22"/>
        </w:rPr>
        <w:t xml:space="preserve">, S, Piper, N &amp; </w:t>
      </w:r>
      <w:proofErr w:type="spellStart"/>
      <w:r w:rsidRPr="00BF09BA">
        <w:rPr>
          <w:rFonts w:asciiTheme="minorHAnsi" w:hAnsiTheme="minorHAnsi"/>
          <w:szCs w:val="22"/>
        </w:rPr>
        <w:t>Cini</w:t>
      </w:r>
      <w:proofErr w:type="spellEnd"/>
      <w:r w:rsidRPr="00BF09BA">
        <w:rPr>
          <w:rFonts w:asciiTheme="minorHAnsi" w:hAnsiTheme="minorHAnsi"/>
          <w:szCs w:val="22"/>
        </w:rPr>
        <w:t xml:space="preserve">, N 2016, </w:t>
      </w:r>
      <w:r w:rsidRPr="00BF09BA">
        <w:rPr>
          <w:rFonts w:asciiTheme="minorHAnsi" w:hAnsiTheme="minorHAnsi"/>
          <w:i/>
          <w:szCs w:val="22"/>
        </w:rPr>
        <w:t xml:space="preserve">Economic </w:t>
      </w:r>
      <w:r w:rsidR="009A41EA">
        <w:rPr>
          <w:rFonts w:asciiTheme="minorHAnsi" w:hAnsiTheme="minorHAnsi"/>
          <w:i/>
          <w:szCs w:val="22"/>
        </w:rPr>
        <w:t>M</w:t>
      </w:r>
      <w:r w:rsidRPr="00BF09BA">
        <w:rPr>
          <w:rFonts w:asciiTheme="minorHAnsi" w:hAnsiTheme="minorHAnsi"/>
          <w:i/>
          <w:szCs w:val="22"/>
        </w:rPr>
        <w:t>igration and Australia in the 21</w:t>
      </w:r>
      <w:r w:rsidRPr="00BF09BA">
        <w:rPr>
          <w:rFonts w:asciiTheme="minorHAnsi" w:hAnsiTheme="minorHAnsi"/>
          <w:i/>
          <w:szCs w:val="22"/>
          <w:vertAlign w:val="superscript"/>
        </w:rPr>
        <w:t>st</w:t>
      </w:r>
      <w:r w:rsidRPr="00BF09BA">
        <w:rPr>
          <w:rFonts w:asciiTheme="minorHAnsi" w:hAnsiTheme="minorHAnsi"/>
          <w:i/>
          <w:szCs w:val="22"/>
        </w:rPr>
        <w:t> </w:t>
      </w:r>
      <w:r w:rsidR="009A41EA">
        <w:rPr>
          <w:rFonts w:asciiTheme="minorHAnsi" w:hAnsiTheme="minorHAnsi"/>
          <w:i/>
          <w:szCs w:val="22"/>
        </w:rPr>
        <w:t>C</w:t>
      </w:r>
      <w:r w:rsidRPr="00BF09BA">
        <w:rPr>
          <w:rFonts w:asciiTheme="minorHAnsi" w:hAnsiTheme="minorHAnsi"/>
          <w:i/>
          <w:szCs w:val="22"/>
        </w:rPr>
        <w:t>entury</w:t>
      </w:r>
      <w:r w:rsidRPr="00BF09BA">
        <w:rPr>
          <w:rFonts w:asciiTheme="minorHAnsi" w:hAnsiTheme="minorHAnsi"/>
          <w:szCs w:val="22"/>
        </w:rPr>
        <w:t>, Lowy Institute,</w:t>
      </w:r>
      <w:r w:rsidR="009133B4">
        <w:rPr>
          <w:rFonts w:asciiTheme="minorHAnsi" w:hAnsiTheme="minorHAnsi"/>
          <w:szCs w:val="22"/>
        </w:rPr>
        <w:t xml:space="preserve"> Sydney</w:t>
      </w:r>
      <w:r w:rsidRPr="00BF09BA">
        <w:rPr>
          <w:rFonts w:asciiTheme="minorHAnsi" w:hAnsiTheme="minorHAnsi"/>
          <w:szCs w:val="22"/>
        </w:rPr>
        <w:t>.</w:t>
      </w:r>
      <w:proofErr w:type="gramEnd"/>
    </w:p>
    <w:sectPr w:rsidR="007B0C4F" w:rsidRPr="00BF09BA" w:rsidSect="005D0DBA">
      <w:footerReference w:type="first" r:id="rId129"/>
      <w:pgSz w:w="11906" w:h="16838" w:code="277"/>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85567" w14:textId="77777777" w:rsidR="00071612" w:rsidRDefault="00071612">
      <w:pPr>
        <w:spacing w:before="0" w:after="0"/>
      </w:pPr>
      <w:r>
        <w:separator/>
      </w:r>
    </w:p>
  </w:endnote>
  <w:endnote w:type="continuationSeparator" w:id="0">
    <w:p w14:paraId="4A534681" w14:textId="77777777" w:rsidR="00071612" w:rsidRDefault="00071612">
      <w:pPr>
        <w:spacing w:before="0" w:after="0"/>
      </w:pPr>
      <w:r>
        <w:continuationSeparator/>
      </w:r>
    </w:p>
  </w:endnote>
  <w:endnote w:type="continuationNotice" w:id="1">
    <w:p w14:paraId="4DB3ABF1" w14:textId="77777777" w:rsidR="00071612" w:rsidRDefault="000716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5F4D5" w14:textId="77777777" w:rsidR="0015687E" w:rsidRDefault="0015687E" w:rsidP="003C24B4">
    <w:pPr>
      <w:pStyle w:val="FooterEven"/>
    </w:pPr>
    <w:r>
      <w:rPr>
        <w:noProof w:val="0"/>
      </w:rPr>
      <w:fldChar w:fldCharType="begin"/>
    </w:r>
    <w:r>
      <w:instrText xml:space="preserve"> PAGE   \* MERGEFORMAT </w:instrText>
    </w:r>
    <w:r>
      <w:rPr>
        <w:noProof w:val="0"/>
      </w:rPr>
      <w:fldChar w:fldCharType="separate"/>
    </w:r>
    <w:r>
      <w:t>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D431E" w14:textId="77777777" w:rsidR="0015687E" w:rsidRPr="00E66742" w:rsidRDefault="0015687E" w:rsidP="00385501">
    <w:pPr>
      <w:pStyle w:val="FooterOdd"/>
    </w:pPr>
    <w:r>
      <w:fldChar w:fldCharType="begin"/>
    </w:r>
    <w:r>
      <w:instrText xml:space="preserve"> PAGE  \* roman  \* MERGEFORMAT </w:instrText>
    </w:r>
    <w:r>
      <w:fldChar w:fldCharType="separate"/>
    </w:r>
    <w:r w:rsidR="00302A39">
      <w:rPr>
        <w:noProof/>
      </w:rPr>
      <w:t>iii</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24B9E" w14:textId="77777777" w:rsidR="0015687E" w:rsidRDefault="0015687E" w:rsidP="006C5B73">
    <w:pPr>
      <w:pStyle w:val="FooterOdd"/>
    </w:pP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936D4" w14:textId="77777777" w:rsidR="0015687E" w:rsidRPr="00E66742" w:rsidRDefault="0015687E" w:rsidP="00385501">
    <w:pPr>
      <w:pStyle w:val="FooterOdd"/>
    </w:pPr>
    <w:r>
      <w:fldChar w:fldCharType="begin"/>
    </w:r>
    <w:r>
      <w:instrText xml:space="preserve"> PAGE  \* Arabic  \* MERGEFORMAT </w:instrText>
    </w:r>
    <w:r>
      <w:fldChar w:fldCharType="separate"/>
    </w:r>
    <w:r w:rsidR="00302A39">
      <w:rPr>
        <w:noProof/>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54A7" w14:textId="77777777" w:rsidR="0015687E" w:rsidRPr="00E77C89" w:rsidRDefault="0015687E" w:rsidP="00EE1447">
    <w:pPr>
      <w:pStyle w:val="FooterEven"/>
    </w:pPr>
    <w:r>
      <w:fldChar w:fldCharType="begin"/>
    </w:r>
    <w:r>
      <w:instrText xml:space="preserve"> PAGE  \* Arabic  \* MERGEFORMAT </w:instrText>
    </w:r>
    <w:r>
      <w:fldChar w:fldCharType="separate"/>
    </w:r>
    <w:r w:rsidR="009E1A5E">
      <w:t>42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4DE7" w14:textId="77777777" w:rsidR="0015687E" w:rsidRDefault="0015687E" w:rsidP="006C5B73">
    <w:pPr>
      <w:pStyle w:val="FooterOdd"/>
    </w:pPr>
    <w:r>
      <w:fldChar w:fldCharType="begin"/>
    </w:r>
    <w:r>
      <w:instrText xml:space="preserve"> PAGE   \* MERGEFORMAT </w:instrText>
    </w:r>
    <w:r>
      <w:fldChar w:fldCharType="separate"/>
    </w:r>
    <w:r w:rsidR="009E1A5E">
      <w:rPr>
        <w:noProof/>
      </w:rPr>
      <w:t>41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9364" w14:textId="77777777" w:rsidR="0015687E" w:rsidRPr="00E66742" w:rsidRDefault="0015687E" w:rsidP="005A6C3A">
    <w:pPr>
      <w:pStyle w:val="FooterEven"/>
    </w:pPr>
    <w:r>
      <w:fldChar w:fldCharType="begin"/>
    </w:r>
    <w:r>
      <w:instrText xml:space="preserve"> PAGE  \* Arabic  \* MERGEFORMAT </w:instrText>
    </w:r>
    <w:r>
      <w:fldChar w:fldCharType="separate"/>
    </w:r>
    <w:r w:rsidR="00302A39">
      <w:t>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98F1" w14:textId="77777777" w:rsidR="0015687E" w:rsidRPr="00E66742" w:rsidRDefault="0015687E" w:rsidP="006401CA">
    <w:pPr>
      <w:pStyle w:val="FooterEven"/>
      <w:jc w:val="right"/>
    </w:pPr>
    <w:r>
      <w:fldChar w:fldCharType="begin"/>
    </w:r>
    <w:r>
      <w:instrText xml:space="preserve"> PAGE  \* Arabic  \* MERGEFORMAT </w:instrText>
    </w:r>
    <w:r>
      <w:fldChar w:fldCharType="separate"/>
    </w:r>
    <w:r w:rsidR="00302A39">
      <w:t>49</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98C0D" w14:textId="77777777" w:rsidR="0015687E" w:rsidRPr="00E66742" w:rsidRDefault="0015687E" w:rsidP="006401CA">
    <w:pPr>
      <w:pStyle w:val="FooterOdd"/>
      <w:jc w:val="left"/>
    </w:pPr>
    <w:r>
      <w:fldChar w:fldCharType="begin"/>
    </w:r>
    <w:r>
      <w:instrText xml:space="preserve"> PAGE  \* Arabic  \* MERGEFORMAT </w:instrText>
    </w:r>
    <w:r>
      <w:fldChar w:fldCharType="separate"/>
    </w:r>
    <w:r w:rsidR="00302A39">
      <w:rPr>
        <w:noProof/>
      </w:rPr>
      <w:t>50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49B6E" w14:textId="77777777" w:rsidR="0015687E" w:rsidRPr="00E66742" w:rsidRDefault="0015687E" w:rsidP="006401CA">
    <w:pPr>
      <w:pStyle w:val="FooterEven"/>
      <w:jc w:val="right"/>
    </w:pPr>
    <w:r>
      <w:fldChar w:fldCharType="begin"/>
    </w:r>
    <w:r>
      <w:instrText xml:space="preserve"> PAGE  \* Arabic  \* MERGEFORMAT </w:instrText>
    </w:r>
    <w:r>
      <w:fldChar w:fldCharType="separate"/>
    </w:r>
    <w:r w:rsidR="00302A39">
      <w:t>51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0265D"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D20E9" w14:textId="77777777" w:rsidR="0015687E" w:rsidRDefault="0015687E">
    <w:pPr>
      <w:pStyle w:val="Footer"/>
    </w:pPr>
    <w:r>
      <w:rPr>
        <w:noProof/>
      </w:rPr>
      <w:drawing>
        <wp:anchor distT="0" distB="0" distL="114300" distR="114300" simplePos="0" relativeHeight="251661329" behindDoc="1" locked="0" layoutInCell="1" allowOverlap="1" wp14:anchorId="66F251BC" wp14:editId="7936850A">
          <wp:simplePos x="904875" y="5705475"/>
          <wp:positionH relativeFrom="page">
            <wp:align>center</wp:align>
          </wp:positionH>
          <wp:positionV relativeFrom="page">
            <wp:align>bottom</wp:align>
          </wp:positionV>
          <wp:extent cx="7560000" cy="5959800"/>
          <wp:effectExtent l="0" t="0" r="317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59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C0C6A" w14:textId="77777777" w:rsidR="006401CA" w:rsidRPr="00E66742" w:rsidRDefault="006401CA" w:rsidP="006401CA">
    <w:pPr>
      <w:pStyle w:val="FooterEven"/>
      <w:jc w:val="right"/>
    </w:pPr>
    <w:r>
      <w:fldChar w:fldCharType="begin"/>
    </w:r>
    <w:r>
      <w:instrText xml:space="preserve"> PAGE  \* Arabic  \* MERGEFORMAT </w:instrText>
    </w:r>
    <w:r>
      <w:fldChar w:fldCharType="separate"/>
    </w:r>
    <w:r w:rsidR="00302A39">
      <w:t>53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11B18"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54</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B250B" w14:textId="77777777" w:rsidR="006401CA" w:rsidRPr="00E66742" w:rsidRDefault="006401CA" w:rsidP="006401CA">
    <w:pPr>
      <w:pStyle w:val="FooterEven"/>
      <w:jc w:val="right"/>
    </w:pPr>
    <w:r>
      <w:fldChar w:fldCharType="begin"/>
    </w:r>
    <w:r>
      <w:instrText xml:space="preserve"> PAGE  \* Arabic  \* MERGEFORMAT </w:instrText>
    </w:r>
    <w:r>
      <w:fldChar w:fldCharType="separate"/>
    </w:r>
    <w:r w:rsidR="00302A39">
      <w:t>55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A0607"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DEA43" w14:textId="77777777" w:rsidR="006401CA" w:rsidRDefault="006401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45E7C" w14:textId="77777777" w:rsidR="0015687E" w:rsidRPr="000C7EEA" w:rsidRDefault="0015687E" w:rsidP="00A54098">
    <w:pPr>
      <w:pStyle w:val="FooterOdd"/>
    </w:pPr>
    <w:r>
      <w:fldChar w:fldCharType="begin"/>
    </w:r>
    <w:r>
      <w:instrText xml:space="preserve"> PAGE  \* roman  \* MERGEFORMAT </w:instrText>
    </w:r>
    <w:r>
      <w:fldChar w:fldCharType="separate"/>
    </w:r>
    <w:r>
      <w:rPr>
        <w:noProof/>
      </w:rPr>
      <w:t>vi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B306" w14:textId="77777777" w:rsidR="0015687E" w:rsidRDefault="0015687E" w:rsidP="006C5B73">
    <w:pPr>
      <w:pStyle w:val="FooterOd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02F37" w14:textId="77777777" w:rsidR="0015687E" w:rsidRPr="00E66742" w:rsidRDefault="001568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A956D" w14:textId="77777777" w:rsidR="0015687E" w:rsidRDefault="0015687E" w:rsidP="006C5B73">
    <w:pPr>
      <w:pStyle w:val="FooterOdd"/>
    </w:pPr>
    <w:r>
      <w:fldChar w:fldCharType="begin"/>
    </w:r>
    <w:r>
      <w:instrText xml:space="preserve"> PAGE   \* MERGEFORMAT </w:instrText>
    </w:r>
    <w:r>
      <w:fldChar w:fldCharType="separate"/>
    </w:r>
    <w:r>
      <w:rPr>
        <w:noProof/>
      </w:rPr>
      <w:t>v</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64EB5" w14:textId="77777777" w:rsidR="0015687E" w:rsidRPr="00E66742" w:rsidRDefault="0015687E" w:rsidP="00385501">
    <w:pPr>
      <w:pStyle w:val="FooterOdd"/>
    </w:pPr>
    <w:r>
      <w:fldChar w:fldCharType="begin"/>
    </w:r>
    <w:r>
      <w:instrText xml:space="preserve"> PAGE  \* roman  \* MERGEFORMAT </w:instrText>
    </w:r>
    <w:r>
      <w:fldChar w:fldCharType="separate"/>
    </w:r>
    <w:r w:rsidR="00302A39">
      <w:rPr>
        <w:noProof/>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686EB" w14:textId="77777777" w:rsidR="0015687E" w:rsidRDefault="0015687E" w:rsidP="006C5B73">
    <w:pPr>
      <w:pStyle w:val="FooterOdd"/>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24CDD" w14:textId="77777777" w:rsidR="00071612" w:rsidRDefault="00071612">
      <w:pPr>
        <w:spacing w:before="0" w:after="0"/>
      </w:pPr>
      <w:r>
        <w:separator/>
      </w:r>
    </w:p>
  </w:footnote>
  <w:footnote w:type="continuationSeparator" w:id="0">
    <w:p w14:paraId="545E658C" w14:textId="77777777" w:rsidR="00071612" w:rsidRDefault="00071612">
      <w:pPr>
        <w:spacing w:before="0" w:after="0"/>
      </w:pPr>
      <w:r>
        <w:continuationSeparator/>
      </w:r>
    </w:p>
  </w:footnote>
  <w:footnote w:type="continuationNotice" w:id="1">
    <w:p w14:paraId="47A8DDE7" w14:textId="77777777" w:rsidR="00071612" w:rsidRDefault="00071612">
      <w:pPr>
        <w:spacing w:before="0" w:after="0"/>
      </w:pPr>
    </w:p>
  </w:footnote>
  <w:footnote w:id="2">
    <w:p w14:paraId="63DFF2F2"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t>This section considers population changes at the Statistical Area 4 (SA4) level. SA4 areas are the largest geographical sub</w:t>
      </w:r>
      <w:r w:rsidRPr="005A6957">
        <w:noBreakHyphen/>
        <w:t>state areas defined by the ABS. The analysis of capital cities uses the ABS Greater Capital City Statistical Area definitions.</w:t>
      </w:r>
    </w:p>
  </w:footnote>
  <w:footnote w:id="3">
    <w:p w14:paraId="21781FCF"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tab/>
      </w:r>
      <w:r w:rsidRPr="005A6957">
        <w:t>References to the United Kingdom in Section 4.4 and Section 5 include all countries within the United</w:t>
      </w:r>
      <w:r>
        <w:t> </w:t>
      </w:r>
      <w:r w:rsidRPr="005A6957">
        <w:t xml:space="preserve">Kingdom along with the Republic of Ireland for purposes of grouping culturally </w:t>
      </w:r>
      <w:r>
        <w:t>similar countries.</w:t>
      </w:r>
    </w:p>
  </w:footnote>
  <w:footnote w:id="4">
    <w:p w14:paraId="1868FF46" w14:textId="77777777" w:rsidR="0015687E" w:rsidRPr="005A6957" w:rsidRDefault="0015687E" w:rsidP="00AC7B83">
      <w:pPr>
        <w:pStyle w:val="FootnoteText"/>
        <w:rPr>
          <w:rStyle w:val="FootnoteReference"/>
          <w:rFonts w:ascii="Arial Narrow" w:hAnsi="Arial Narrow"/>
          <w:sz w:val="16"/>
          <w:vertAlign w:val="baseline"/>
        </w:rPr>
      </w:pPr>
      <w:r w:rsidRPr="005A6957">
        <w:rPr>
          <w:rStyle w:val="FootnoteReference"/>
          <w:rFonts w:ascii="Arial Narrow" w:hAnsi="Arial Narrow"/>
          <w:sz w:val="16"/>
          <w:vertAlign w:val="baseline"/>
        </w:rPr>
        <w:footnoteRef/>
      </w:r>
      <w:r w:rsidRPr="005A6957">
        <w:rPr>
          <w:rStyle w:val="FootnoteReference"/>
          <w:rFonts w:ascii="Arial Narrow" w:hAnsi="Arial Narrow"/>
          <w:sz w:val="16"/>
          <w:vertAlign w:val="baseline"/>
        </w:rPr>
        <w:t xml:space="preserve">  </w:t>
      </w:r>
      <w:r w:rsidRPr="005A6957">
        <w:tab/>
      </w:r>
      <w:r w:rsidRPr="00AC7B83">
        <w:t>There are also around 300,000 people in Australia on visitor visas, most of whom are not counted as temporary residents and therefore do not contribute to NOM.</w:t>
      </w:r>
    </w:p>
  </w:footnote>
  <w:footnote w:id="5">
    <w:p w14:paraId="0F15E751"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r>
      <w:r w:rsidRPr="00AC7B83">
        <w:t>In April 2017, the Australian Government announced that the 457 visa would be abolished and replaced with a new temporary visa that targets critical skill shortages.</w:t>
      </w:r>
    </w:p>
  </w:footnote>
  <w:footnote w:id="6">
    <w:p w14:paraId="5657BB75"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t>Income growth is based on median full-time earnings of migrants, compared to the wage price index for December quarter 2014 to December quarter 2015 of 2.2 per cent.</w:t>
      </w:r>
    </w:p>
  </w:footnote>
  <w:footnote w:id="7">
    <w:p w14:paraId="7EBF57B5" w14:textId="77777777" w:rsidR="0015687E" w:rsidRPr="005A6957" w:rsidRDefault="0015687E" w:rsidP="00F17B86">
      <w:pPr>
        <w:pStyle w:val="FootnoteText"/>
      </w:pPr>
      <w:r w:rsidRPr="005A6957">
        <w:rPr>
          <w:rStyle w:val="FootnoteReference"/>
          <w:rFonts w:ascii="Arial Narrow" w:hAnsi="Arial Narrow"/>
          <w:sz w:val="16"/>
          <w:vertAlign w:val="baseline"/>
        </w:rPr>
        <w:footnoteRef/>
      </w:r>
      <w:r w:rsidRPr="005A6957">
        <w:t xml:space="preserve"> </w:t>
      </w:r>
      <w:r w:rsidRPr="005A6957">
        <w:tab/>
        <w:t>According to the 2011 Census (ABS 2016d), of those aged 15 years and over:</w:t>
      </w:r>
    </w:p>
    <w:p w14:paraId="0D94C3A7" w14:textId="77777777" w:rsidR="0015687E" w:rsidRPr="00F17B86" w:rsidRDefault="0015687E" w:rsidP="00F17B86">
      <w:pPr>
        <w:pStyle w:val="FootnoteText-Bullet"/>
      </w:pPr>
      <w:r w:rsidRPr="00F17B86">
        <w:t>32 per cent of overseas-born and 31 per cent of Australian-born earned $1 - $399 per week;</w:t>
      </w:r>
    </w:p>
    <w:p w14:paraId="1F228BC0" w14:textId="77777777" w:rsidR="0015687E" w:rsidRPr="00F17B86" w:rsidRDefault="0015687E" w:rsidP="00F17B86">
      <w:pPr>
        <w:pStyle w:val="FootnoteText-Bullet"/>
      </w:pPr>
      <w:r w:rsidRPr="00F17B86">
        <w:t>22 per cent of overseas</w:t>
      </w:r>
      <w:r w:rsidRPr="00F17B86">
        <w:noBreakHyphen/>
        <w:t>born and 25 per cent of Australian</w:t>
      </w:r>
      <w:r w:rsidRPr="00F17B86">
        <w:noBreakHyphen/>
        <w:t>born earned $400 - $799 per week;</w:t>
      </w:r>
    </w:p>
    <w:p w14:paraId="0B58136E" w14:textId="77777777" w:rsidR="0015687E" w:rsidRPr="00F17B86" w:rsidRDefault="0015687E" w:rsidP="00F17B86">
      <w:pPr>
        <w:pStyle w:val="FootnoteText-Bullet"/>
      </w:pPr>
      <w:r w:rsidRPr="00F17B86">
        <w:t>34 per cent of overseas</w:t>
      </w:r>
      <w:r w:rsidRPr="00F17B86">
        <w:noBreakHyphen/>
        <w:t>born and 37 per cent of Australian</w:t>
      </w:r>
      <w:r w:rsidRPr="00F17B86">
        <w:noBreakHyphen/>
        <w:t>born earned $800+ per week; and</w:t>
      </w:r>
    </w:p>
    <w:p w14:paraId="4CEE0BCC" w14:textId="77777777" w:rsidR="0015687E" w:rsidRPr="00F17B86" w:rsidRDefault="0015687E" w:rsidP="00A36CBF">
      <w:pPr>
        <w:pStyle w:val="FootnoteText-Bullet"/>
      </w:pPr>
      <w:proofErr w:type="gramStart"/>
      <w:r w:rsidRPr="00F17B86">
        <w:t>the</w:t>
      </w:r>
      <w:proofErr w:type="gramEnd"/>
      <w:r w:rsidRPr="00F17B86">
        <w:t xml:space="preserve"> remainder earned nil or a negative income.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DC8D" w14:textId="77777777" w:rsidR="006401CA" w:rsidRDefault="006401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ECD90" w14:textId="77777777" w:rsidR="0015687E" w:rsidRPr="001F3912" w:rsidRDefault="009E1A5E" w:rsidP="00A12F62">
    <w:pPr>
      <w:pStyle w:val="HeaderEven"/>
    </w:pPr>
    <w:r>
      <w:fldChar w:fldCharType="begin"/>
    </w:r>
    <w:r>
      <w:instrText xml:space="preserve"> STYLEREF  "Title"  \* MERGEFORMAT </w:instrText>
    </w:r>
    <w:r>
      <w:fldChar w:fldCharType="separate"/>
    </w:r>
    <w:r w:rsidR="0015687E">
      <w:rPr>
        <w:noProof/>
      </w:rPr>
      <w:t>Shaping a Nation</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50F34" w14:textId="77777777" w:rsidR="0015687E" w:rsidRDefault="0015687E" w:rsidP="00F836F9">
    <w:pPr>
      <w:pStyle w:val="Header"/>
      <w:rPr>
        <w:noProof/>
      </w:rPr>
    </w:pPr>
  </w:p>
  <w:p w14:paraId="5AF533AD" w14:textId="77777777" w:rsidR="0015687E" w:rsidRPr="001F3912" w:rsidRDefault="009E1A5E" w:rsidP="00A12F62">
    <w:pPr>
      <w:pStyle w:val="HeaderOdd"/>
    </w:pPr>
    <w:r>
      <w:rPr>
        <w:noProof/>
      </w:rPr>
      <w:pict w14:anchorId="5C4B9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0;margin-top:0;width:538.4pt;height:100.95pt;rotation:315;z-index:-251658233;mso-position-horizontal:center;mso-position-horizontal-relative:margin;mso-position-vertical:center;mso-position-vertical-relative:margin" o:allowincell="f" fillcolor="silver" stroked="f">
          <v:fill opacity=".5"/>
          <v:textpath style="font-family:&quot;Calibri&quot;;font-size:1pt" string="Draft working paper"/>
          <w10:wrap anchorx="margin" anchory="margin"/>
        </v:shape>
      </w:pict>
    </w:r>
    <w:r>
      <w:fldChar w:fldCharType="begin"/>
    </w:r>
    <w:r>
      <w:instrText xml:space="preserve"> STYLEREF  "Heading 1"  \* MERGEFORMAT </w:instrText>
    </w:r>
    <w:r>
      <w:fldChar w:fldCharType="separate"/>
    </w:r>
    <w:r w:rsidR="0015687E">
      <w:rPr>
        <w:noProof/>
      </w:rPr>
      <w:t>Foreword</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2B801" w14:textId="77777777" w:rsidR="0015687E" w:rsidRDefault="0015687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C95A" w14:textId="77777777" w:rsidR="0015687E" w:rsidRPr="001F3912" w:rsidRDefault="009E1A5E" w:rsidP="00A12F62">
    <w:pPr>
      <w:pStyle w:val="HeaderEven"/>
    </w:pPr>
    <w:r>
      <w:fldChar w:fldCharType="begin"/>
    </w:r>
    <w:r>
      <w:instrText xml:space="preserve"> STYLEREF  Title  \* MERGEFORMAT </w:instrText>
    </w:r>
    <w:r>
      <w:fldChar w:fldCharType="separate"/>
    </w:r>
    <w:r>
      <w:rPr>
        <w:noProof/>
      </w:rPr>
      <w:t>Shaping a Nation</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03AEC" w14:textId="77777777" w:rsidR="0015687E" w:rsidRPr="001F3912" w:rsidRDefault="009E1A5E" w:rsidP="00A12F62">
    <w:pPr>
      <w:pStyle w:val="HeaderOdd"/>
    </w:pPr>
    <w:r>
      <w:fldChar w:fldCharType="begin"/>
    </w:r>
    <w:r>
      <w:instrText xml:space="preserve"> STYLEREF  "Heading 1"  \* MERGEFORMAT </w:instrText>
    </w:r>
    <w:r>
      <w:fldChar w:fldCharType="separate"/>
    </w:r>
    <w:r>
      <w:rPr>
        <w:noProof/>
      </w:rPr>
      <w:t>Population and Immigration: Trends and Implications</w:t>
    </w:r>
    <w:r>
      <w:rPr>
        <w:noProof/>
      </w:rPr>
      <w:fldChar w:fldCharType="end"/>
    </w:r>
    <w:bookmarkStart w:id="121" w:name="_Toc493511982"/>
    <w:bookmarkStart w:id="122" w:name="_Toc432067104"/>
    <w:bookmarkStart w:id="123" w:name="_Toc452635031"/>
    <w:bookmarkEnd w:id="121"/>
    <w:bookmarkEnd w:id="122"/>
    <w:bookmarkEnd w:id="123"/>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CBBA6" w14:textId="77777777" w:rsidR="0015687E" w:rsidRPr="001F3912" w:rsidRDefault="009E1A5E" w:rsidP="00B72E88">
    <w:pPr>
      <w:pStyle w:val="HeaderEven"/>
    </w:pPr>
    <w:r>
      <w:fldChar w:fldCharType="begin"/>
    </w:r>
    <w:r>
      <w:instrText xml:space="preserve"> STYLEREF  Title  \* MERGEFORMAT </w:instrText>
    </w:r>
    <w:r>
      <w:fldChar w:fldCharType="separate"/>
    </w:r>
    <w:r w:rsidR="00302A39">
      <w:rPr>
        <w:noProof/>
      </w:rPr>
      <w:t>Shaping a Nation</w:t>
    </w:r>
    <w:r>
      <w:rPr>
        <w:noProof/>
      </w:rPr>
      <w:fldChar w:fldCharType="end"/>
    </w:r>
  </w:p>
  <w:p w14:paraId="42B7C64A" w14:textId="77777777" w:rsidR="0015687E" w:rsidRDefault="0015687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A8B72" w14:textId="77777777" w:rsidR="0015687E" w:rsidRPr="001F3912" w:rsidRDefault="009E1A5E" w:rsidP="00A12F62">
    <w:pPr>
      <w:pStyle w:val="HeaderEven"/>
    </w:pPr>
    <w:r>
      <w:rPr>
        <w:noProof/>
      </w:rPr>
      <w:pict w14:anchorId="5A6AD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538.4pt;height:100.95pt;rotation:315;z-index:-251658227;mso-position-horizontal:center;mso-position-horizontal-relative:margin;mso-position-vertical:center;mso-position-vertical-relative:margin" o:allowincell="f" fillcolor="silver" stroked="f">
          <v:fill opacity=".5"/>
          <v:textpath style="font-family:&quot;Calibri&quot;;font-size:1pt" string="Draft working paper"/>
          <w10:wrap anchorx="margin" anchory="margin"/>
        </v:shape>
      </w:pict>
    </w:r>
    <w:r>
      <w:fldChar w:fldCharType="begin"/>
    </w:r>
    <w:r>
      <w:instrText xml:space="preserve"> STYLEREF  Title  \* MERGEFORMAT </w:instrText>
    </w:r>
    <w:r>
      <w:fldChar w:fldCharType="separate"/>
    </w:r>
    <w:r w:rsidR="0015687E">
      <w:rPr>
        <w:noProof/>
      </w:rPr>
      <w:t>Shaping a Nation</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0968" w14:textId="77777777" w:rsidR="0015687E" w:rsidRPr="001F3912" w:rsidRDefault="009E1A5E" w:rsidP="00A12F62">
    <w:pPr>
      <w:pStyle w:val="HeaderOdd"/>
    </w:pPr>
    <w:r>
      <w:rPr>
        <w:noProof/>
      </w:rPr>
      <w:pict w14:anchorId="50E10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538.4pt;height:100.95pt;rotation:315;z-index:-251658226;mso-position-horizontal:center;mso-position-horizontal-relative:margin;mso-position-vertical:center;mso-position-vertical-relative:margin" o:allowincell="f" fillcolor="silver" stroked="f">
          <v:fill opacity=".5"/>
          <v:textpath style="font-family:&quot;Calibri&quot;;font-size:1pt" string="Draft working paper"/>
          <w10:wrap anchorx="margin" anchory="margin"/>
        </v:shape>
      </w:pict>
    </w:r>
    <w:r>
      <w:fldChar w:fldCharType="begin"/>
    </w:r>
    <w:r>
      <w:instrText xml:space="preserve"> STYLEREF  "Heading 1"  \* MERGEFORMAT </w:instrText>
    </w:r>
    <w:r>
      <w:fldChar w:fldCharType="separate"/>
    </w:r>
    <w:r w:rsidR="0015687E">
      <w:rPr>
        <w:noProof/>
      </w:rPr>
      <w:t>Treasury Research Institute —</w:t>
    </w:r>
    <w:r w:rsidR="0015687E">
      <w:rPr>
        <w:noProof/>
      </w:rPr>
      <w:br/>
      <w:t>possible questions for further research</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7BD11" w14:textId="77777777" w:rsidR="0015687E" w:rsidRDefault="0015687E" w:rsidP="00630732">
    <w:pPr>
      <w:pStyle w:val="Header"/>
      <w:jc w:val="center"/>
    </w:pPr>
    <w:r>
      <w:rPr>
        <w:noProof/>
      </w:rPr>
      <w:drawing>
        <wp:anchor distT="0" distB="0" distL="114300" distR="114300" simplePos="0" relativeHeight="251662353" behindDoc="1" locked="0" layoutInCell="1" allowOverlap="1" wp14:anchorId="141C93F6" wp14:editId="2764F406">
          <wp:simplePos x="0" y="0"/>
          <wp:positionH relativeFrom="column">
            <wp:posOffset>1861820</wp:posOffset>
          </wp:positionH>
          <wp:positionV relativeFrom="paragraph">
            <wp:posOffset>-2540</wp:posOffset>
          </wp:positionV>
          <wp:extent cx="2041200" cy="1407600"/>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y and Home Affairs_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1200" cy="14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93E49" w14:textId="77777777" w:rsidR="006401CA" w:rsidRDefault="006401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62C88" w14:textId="77777777" w:rsidR="0015687E" w:rsidRDefault="001568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7EDBA" w14:textId="77777777" w:rsidR="0015687E" w:rsidRDefault="001568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F970F" w14:textId="77777777" w:rsidR="0015687E" w:rsidRDefault="001568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FDAB3" w14:textId="77777777" w:rsidR="0015687E" w:rsidRPr="001F3912" w:rsidRDefault="009E1A5E" w:rsidP="00A12F62">
    <w:pPr>
      <w:pStyle w:val="HeaderEven"/>
    </w:pPr>
    <w:r>
      <w:rPr>
        <w:noProof/>
      </w:rPr>
      <w:pict w14:anchorId="3B9AD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538.4pt;height:100.95pt;rotation:315;z-index:-251658223;mso-position-horizontal:center;mso-position-horizontal-relative:margin;mso-position-vertical:center;mso-position-vertical-relative:margin" o:allowincell="f" fillcolor="silver" stroked="f">
          <v:fill opacity=".5"/>
          <v:textpath style="font-family:&quot;Calibri&quot;;font-size:1pt" string="Draft working paper"/>
          <w10:wrap anchorx="margin" anchory="margin"/>
        </v:shape>
      </w:pict>
    </w:r>
    <w:r>
      <w:fldChar w:fldCharType="begin"/>
    </w:r>
    <w:r>
      <w:instrText xml:space="preserve"> STYLEREF  "Title"  \* MERGEFORMAT </w:instrText>
    </w:r>
    <w:r>
      <w:fldChar w:fldCharType="separate"/>
    </w:r>
    <w:r w:rsidR="0015687E">
      <w:rPr>
        <w:noProof/>
      </w:rPr>
      <w:t>Shaping a Nation</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C6AA9" w14:textId="77777777" w:rsidR="0015687E" w:rsidRDefault="0015687E" w:rsidP="00F836F9">
    <w:pPr>
      <w:pStyle w:val="Header"/>
      <w:rPr>
        <w:noProof/>
      </w:rPr>
    </w:pPr>
  </w:p>
  <w:p w14:paraId="7E94B9F2" w14:textId="77777777" w:rsidR="0015687E" w:rsidRPr="001F3912" w:rsidRDefault="009E1A5E" w:rsidP="00A12F62">
    <w:pPr>
      <w:pStyle w:val="HeaderOdd"/>
    </w:pPr>
    <w:r>
      <w:rPr>
        <w:noProof/>
      </w:rPr>
      <w:pict w14:anchorId="3E6FA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538.4pt;height:100.95pt;rotation:315;z-index:-251658225;mso-position-horizontal:center;mso-position-horizontal-relative:margin;mso-position-vertical:center;mso-position-vertical-relative:margin" o:allowincell="f" fillcolor="silver" stroked="f">
          <v:fill opacity=".5"/>
          <v:textpath style="font-family:&quot;Calibri&quot;;font-size:1pt" string="Draft working paper"/>
          <w10:wrap anchorx="margin" anchory="margin"/>
        </v:shape>
      </w:pict>
    </w:r>
    <w:r>
      <w:fldChar w:fldCharType="begin"/>
    </w:r>
    <w:r>
      <w:instrText xml:space="preserve"> STYLEREF  "Heading 1"  \* MERGEFORMAT </w:instrText>
    </w:r>
    <w:r>
      <w:fldChar w:fldCharType="separate"/>
    </w:r>
    <w:r w:rsidR="0015687E">
      <w:rPr>
        <w:noProof/>
      </w:rPr>
      <w:t>Foreword</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3A58" w14:textId="77777777" w:rsidR="0015687E" w:rsidRDefault="00156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34272A"/>
    <w:lvl w:ilvl="0">
      <w:start w:val="1"/>
      <w:numFmt w:val="decimal"/>
      <w:lvlText w:val="%1."/>
      <w:lvlJc w:val="left"/>
      <w:pPr>
        <w:tabs>
          <w:tab w:val="num" w:pos="1492"/>
        </w:tabs>
        <w:ind w:left="1492" w:hanging="360"/>
      </w:pPr>
    </w:lvl>
  </w:abstractNum>
  <w:abstractNum w:abstractNumId="1">
    <w:nsid w:val="FFFFFF7D"/>
    <w:multiLevelType w:val="singleLevel"/>
    <w:tmpl w:val="D32E2382"/>
    <w:lvl w:ilvl="0">
      <w:start w:val="1"/>
      <w:numFmt w:val="decimal"/>
      <w:lvlText w:val="%1."/>
      <w:lvlJc w:val="left"/>
      <w:pPr>
        <w:tabs>
          <w:tab w:val="num" w:pos="1209"/>
        </w:tabs>
        <w:ind w:left="1209" w:hanging="360"/>
      </w:pPr>
    </w:lvl>
  </w:abstractNum>
  <w:abstractNum w:abstractNumId="2">
    <w:nsid w:val="FFFFFF7E"/>
    <w:multiLevelType w:val="singleLevel"/>
    <w:tmpl w:val="C758038E"/>
    <w:lvl w:ilvl="0">
      <w:start w:val="1"/>
      <w:numFmt w:val="decimal"/>
      <w:lvlText w:val="%1."/>
      <w:lvlJc w:val="left"/>
      <w:pPr>
        <w:tabs>
          <w:tab w:val="num" w:pos="926"/>
        </w:tabs>
        <w:ind w:left="926" w:hanging="360"/>
      </w:pPr>
    </w:lvl>
  </w:abstractNum>
  <w:abstractNum w:abstractNumId="3">
    <w:nsid w:val="FFFFFF7F"/>
    <w:multiLevelType w:val="singleLevel"/>
    <w:tmpl w:val="B386A156"/>
    <w:lvl w:ilvl="0">
      <w:start w:val="1"/>
      <w:numFmt w:val="decimal"/>
      <w:lvlText w:val="%1."/>
      <w:lvlJc w:val="left"/>
      <w:pPr>
        <w:tabs>
          <w:tab w:val="num" w:pos="643"/>
        </w:tabs>
        <w:ind w:left="643" w:hanging="360"/>
      </w:pPr>
    </w:lvl>
  </w:abstractNum>
  <w:abstractNum w:abstractNumId="4">
    <w:nsid w:val="FFFFFF88"/>
    <w:multiLevelType w:val="singleLevel"/>
    <w:tmpl w:val="0B3C6994"/>
    <w:lvl w:ilvl="0">
      <w:start w:val="1"/>
      <w:numFmt w:val="decimal"/>
      <w:lvlText w:val="%1."/>
      <w:lvlJc w:val="left"/>
      <w:pPr>
        <w:tabs>
          <w:tab w:val="num" w:pos="360"/>
        </w:tabs>
        <w:ind w:left="360" w:hanging="360"/>
      </w:pPr>
    </w:lvl>
  </w:abstractNum>
  <w:abstractNum w:abstractNumId="5">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3A7275A"/>
    <w:multiLevelType w:val="multilevel"/>
    <w:tmpl w:val="DD9AE3A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cs="Times New Roman"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6CC4E5D"/>
    <w:multiLevelType w:val="multilevel"/>
    <w:tmpl w:val="D10E9CF6"/>
    <w:numStyleLink w:val="OneLevelList"/>
  </w:abstractNum>
  <w:abstractNum w:abstractNumId="10">
    <w:nsid w:val="17DF7717"/>
    <w:multiLevelType w:val="multilevel"/>
    <w:tmpl w:val="A77A6A06"/>
    <w:lvl w:ilvl="0">
      <w:start w:val="1"/>
      <w:numFmt w:val="decimal"/>
      <w:pStyle w:val="Heading2Numbered"/>
      <w:lvlText w:val="%1."/>
      <w:lvlJc w:val="left"/>
      <w:pPr>
        <w:tabs>
          <w:tab w:val="num" w:pos="567"/>
        </w:tabs>
        <w:ind w:left="567" w:hanging="567"/>
      </w:pPr>
      <w:rPr>
        <w:rFonts w:hint="default"/>
      </w:rPr>
    </w:lvl>
    <w:lvl w:ilvl="1">
      <w:start w:val="1"/>
      <w:numFmt w:val="decimal"/>
      <w:pStyle w:val="Heading3Numbered"/>
      <w:lvlText w:val="%1.%2"/>
      <w:lvlJc w:val="left"/>
      <w:pPr>
        <w:tabs>
          <w:tab w:val="num" w:pos="567"/>
        </w:tabs>
        <w:ind w:left="567" w:hanging="567"/>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9CC6981"/>
    <w:multiLevelType w:val="hybridMultilevel"/>
    <w:tmpl w:val="96A6F8B6"/>
    <w:lvl w:ilvl="0" w:tplc="F702BE6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72"/>
        </w:tabs>
        <w:ind w:left="1872" w:hanging="360"/>
      </w:pPr>
      <w:rPr>
        <w:rFonts w:ascii="Courier New" w:hAnsi="Courier New" w:cs="Courier New" w:hint="default"/>
      </w:rPr>
    </w:lvl>
    <w:lvl w:ilvl="2" w:tplc="0C090005" w:tentative="1">
      <w:start w:val="1"/>
      <w:numFmt w:val="bullet"/>
      <w:lvlText w:val=""/>
      <w:lvlJc w:val="left"/>
      <w:pPr>
        <w:tabs>
          <w:tab w:val="num" w:pos="2592"/>
        </w:tabs>
        <w:ind w:left="2592" w:hanging="360"/>
      </w:pPr>
      <w:rPr>
        <w:rFonts w:ascii="Wingdings" w:hAnsi="Wingdings" w:hint="default"/>
      </w:rPr>
    </w:lvl>
    <w:lvl w:ilvl="3" w:tplc="0C090001" w:tentative="1">
      <w:start w:val="1"/>
      <w:numFmt w:val="bullet"/>
      <w:lvlText w:val=""/>
      <w:lvlJc w:val="left"/>
      <w:pPr>
        <w:tabs>
          <w:tab w:val="num" w:pos="3312"/>
        </w:tabs>
        <w:ind w:left="3312" w:hanging="360"/>
      </w:pPr>
      <w:rPr>
        <w:rFonts w:ascii="Symbol" w:hAnsi="Symbol" w:hint="default"/>
      </w:rPr>
    </w:lvl>
    <w:lvl w:ilvl="4" w:tplc="0C090003" w:tentative="1">
      <w:start w:val="1"/>
      <w:numFmt w:val="bullet"/>
      <w:lvlText w:val="o"/>
      <w:lvlJc w:val="left"/>
      <w:pPr>
        <w:tabs>
          <w:tab w:val="num" w:pos="4032"/>
        </w:tabs>
        <w:ind w:left="4032" w:hanging="360"/>
      </w:pPr>
      <w:rPr>
        <w:rFonts w:ascii="Courier New" w:hAnsi="Courier New" w:cs="Courier New" w:hint="default"/>
      </w:rPr>
    </w:lvl>
    <w:lvl w:ilvl="5" w:tplc="0C090005" w:tentative="1">
      <w:start w:val="1"/>
      <w:numFmt w:val="bullet"/>
      <w:lvlText w:val=""/>
      <w:lvlJc w:val="left"/>
      <w:pPr>
        <w:tabs>
          <w:tab w:val="num" w:pos="4752"/>
        </w:tabs>
        <w:ind w:left="4752" w:hanging="360"/>
      </w:pPr>
      <w:rPr>
        <w:rFonts w:ascii="Wingdings" w:hAnsi="Wingdings" w:hint="default"/>
      </w:rPr>
    </w:lvl>
    <w:lvl w:ilvl="6" w:tplc="0C090001" w:tentative="1">
      <w:start w:val="1"/>
      <w:numFmt w:val="bullet"/>
      <w:lvlText w:val=""/>
      <w:lvlJc w:val="left"/>
      <w:pPr>
        <w:tabs>
          <w:tab w:val="num" w:pos="5472"/>
        </w:tabs>
        <w:ind w:left="5472" w:hanging="360"/>
      </w:pPr>
      <w:rPr>
        <w:rFonts w:ascii="Symbol" w:hAnsi="Symbol" w:hint="default"/>
      </w:rPr>
    </w:lvl>
    <w:lvl w:ilvl="7" w:tplc="0C090003" w:tentative="1">
      <w:start w:val="1"/>
      <w:numFmt w:val="bullet"/>
      <w:lvlText w:val="o"/>
      <w:lvlJc w:val="left"/>
      <w:pPr>
        <w:tabs>
          <w:tab w:val="num" w:pos="6192"/>
        </w:tabs>
        <w:ind w:left="6192" w:hanging="360"/>
      </w:pPr>
      <w:rPr>
        <w:rFonts w:ascii="Courier New" w:hAnsi="Courier New" w:cs="Courier New" w:hint="default"/>
      </w:rPr>
    </w:lvl>
    <w:lvl w:ilvl="8" w:tplc="0C090005" w:tentative="1">
      <w:start w:val="1"/>
      <w:numFmt w:val="bullet"/>
      <w:lvlText w:val=""/>
      <w:lvlJc w:val="left"/>
      <w:pPr>
        <w:tabs>
          <w:tab w:val="num" w:pos="6912"/>
        </w:tabs>
        <w:ind w:left="6912" w:hanging="360"/>
      </w:pPr>
      <w:rPr>
        <w:rFonts w:ascii="Wingdings" w:hAnsi="Wingdings" w:hint="default"/>
      </w:rPr>
    </w:lvl>
  </w:abstractNum>
  <w:abstractNum w:abstractNumId="12">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E676638"/>
    <w:multiLevelType w:val="multilevel"/>
    <w:tmpl w:val="962EF366"/>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08C2710"/>
    <w:multiLevelType w:val="multilevel"/>
    <w:tmpl w:val="1FD0B1B6"/>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4D60F83"/>
    <w:multiLevelType w:val="multilevel"/>
    <w:tmpl w:val="A198F22A"/>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3."/>
      <w:lvlJc w:val="left"/>
      <w:pPr>
        <w:tabs>
          <w:tab w:val="num" w:pos="567"/>
        </w:tabs>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1">
    <w:nsid w:val="510D2021"/>
    <w:multiLevelType w:val="multilevel"/>
    <w:tmpl w:val="72F8140E"/>
    <w:numStyleLink w:val="OutlineList"/>
  </w:abstractNum>
  <w:abstractNum w:abstractNumId="22">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24">
    <w:nsid w:val="6E4B7316"/>
    <w:multiLevelType w:val="hybridMultilevel"/>
    <w:tmpl w:val="D772C964"/>
    <w:lvl w:ilvl="0" w:tplc="E30261E2">
      <w:start w:val="1"/>
      <w:numFmt w:val="decimal"/>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7591180D"/>
    <w:multiLevelType w:val="hybridMultilevel"/>
    <w:tmpl w:val="F354911E"/>
    <w:lvl w:ilvl="0" w:tplc="2BD02056">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7A7059B"/>
    <w:multiLevelType w:val="multilevel"/>
    <w:tmpl w:val="E19A8BCC"/>
    <w:name w:val="ListBullets"/>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Symbol" w:hAnsi="Symbol" w:hint="default"/>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9">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6"/>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2">
    <w:abstractNumId w:val="5"/>
  </w:num>
  <w:num w:numId="3">
    <w:abstractNumId w:val="18"/>
  </w:num>
  <w:num w:numId="4">
    <w:abstractNumId w:val="7"/>
  </w:num>
  <w:num w:numId="5">
    <w:abstractNumId w:val="9"/>
  </w:num>
  <w:num w:numId="6">
    <w:abstractNumId w:val="21"/>
  </w:num>
  <w:num w:numId="7">
    <w:abstractNumId w:val="1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0"/>
  </w:num>
  <w:num w:numId="9">
    <w:abstractNumId w:val="6"/>
  </w:num>
  <w:num w:numId="10">
    <w:abstractNumId w:val="14"/>
  </w:num>
  <w:num w:numId="11">
    <w:abstractNumId w:val="28"/>
  </w:num>
  <w:num w:numId="12">
    <w:abstractNumId w:val="21"/>
  </w:num>
  <w:num w:numId="13">
    <w:abstractNumId w:val="29"/>
  </w:num>
  <w:num w:numId="14">
    <w:abstractNumId w:val="20"/>
  </w:num>
  <w:num w:numId="15">
    <w:abstractNumId w:val="13"/>
  </w:num>
  <w:num w:numId="16">
    <w:abstractNumId w:val="22"/>
  </w:num>
  <w:num w:numId="17">
    <w:abstractNumId w:val="1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6"/>
  </w:num>
  <w:num w:numId="21">
    <w:abstractNumId w:val="15"/>
  </w:num>
  <w:num w:numId="22">
    <w:abstractNumId w:val="23"/>
  </w:num>
  <w:num w:numId="23">
    <w:abstractNumId w:val="8"/>
  </w:num>
  <w:num w:numId="24">
    <w:abstractNumId w:val="4"/>
  </w:num>
  <w:num w:numId="25">
    <w:abstractNumId w:val="3"/>
  </w:num>
  <w:num w:numId="26">
    <w:abstractNumId w:val="2"/>
  </w:num>
  <w:num w:numId="27">
    <w:abstractNumId w:val="1"/>
  </w:num>
  <w:num w:numId="28">
    <w:abstractNumId w:val="0"/>
  </w:num>
  <w:num w:numId="29">
    <w:abstractNumId w:val="10"/>
  </w:num>
  <w:num w:numId="30">
    <w:abstractNumId w:val="11"/>
  </w:num>
  <w:num w:numId="31">
    <w:abstractNumId w:val="12"/>
  </w:num>
  <w:num w:numId="32">
    <w:abstractNumId w:val="10"/>
  </w:num>
  <w:num w:numId="33">
    <w:abstractNumId w:val="10"/>
  </w:num>
  <w:num w:numId="34">
    <w:abstractNumId w:val="24"/>
  </w:num>
  <w:num w:numId="35">
    <w:abstractNumId w:val="25"/>
  </w:num>
  <w:num w:numId="36">
    <w:abstractNumId w:val="25"/>
  </w:num>
  <w:num w:numId="37">
    <w:abstractNumId w:val="10"/>
    <w:lvlOverride w:ilvl="0">
      <w:lvl w:ilvl="0">
        <w:start w:val="1"/>
        <w:numFmt w:val="decimal"/>
        <w:pStyle w:val="Heading2Numbered"/>
        <w:lvlText w:val="%1."/>
        <w:lvlJc w:val="left"/>
        <w:pPr>
          <w:tabs>
            <w:tab w:val="num" w:pos="567"/>
          </w:tabs>
          <w:ind w:left="567" w:hanging="567"/>
        </w:pPr>
        <w:rPr>
          <w:rFonts w:hint="default"/>
        </w:rPr>
      </w:lvl>
    </w:lvlOverride>
    <w:lvlOverride w:ilvl="1">
      <w:lvl w:ilvl="1">
        <w:start w:val="1"/>
        <w:numFmt w:val="decimal"/>
        <w:pStyle w:val="Heading3Numbered"/>
        <w:lvlText w:val="%1.%2"/>
        <w:lvlJc w:val="left"/>
        <w:pPr>
          <w:tabs>
            <w:tab w:val="num" w:pos="709"/>
          </w:tabs>
          <w:ind w:left="709" w:hanging="709"/>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16"/>
  </w:num>
  <w:num w:numId="39">
    <w:abstractNumId w:val="19"/>
  </w:num>
  <w:num w:numId="4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rPr>
      </w:lvl>
    </w:lvlOverride>
    <w:lvlOverride w:ilvl="2">
      <w:lvl w:ilvl="2">
        <w:start w:val="1"/>
        <w:numFmt w:val="decimal"/>
        <w:lvlText w:val="%3."/>
        <w:lvlJc w:val="left"/>
        <w:pPr>
          <w:tabs>
            <w:tab w:val="num" w:pos="567"/>
          </w:tabs>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abstractNumId w:val="19"/>
    <w:lvlOverride w:ilvl="0">
      <w:lvl w:ilvl="0">
        <w:start w:val="137883488"/>
        <w:numFmt w:val="decimal"/>
        <w:lvlText w:val="%1."/>
        <w:lvlJc w:val="left"/>
        <w:pPr>
          <w:tabs>
            <w:tab w:val="num" w:pos="567"/>
          </w:tabs>
          <w:ind w:left="567" w:hanging="567"/>
        </w:pPr>
        <w:rPr>
          <w:rFonts w:hint="default"/>
        </w:rPr>
      </w:lvl>
    </w:lvlOverride>
    <w:lvlOverride w:ilvl="1">
      <w:lvl w:ilvl="1">
        <w:start w:val="163157792"/>
        <w:numFmt w:val="decimal"/>
        <w:lvlText w:val="%2."/>
        <w:lvlJc w:val="left"/>
        <w:pPr>
          <w:tabs>
            <w:tab w:val="num" w:pos="567"/>
          </w:tabs>
          <w:ind w:left="567" w:hanging="567"/>
        </w:pPr>
        <w:rPr>
          <w:rFonts w:hint="default"/>
        </w:rPr>
      </w:lvl>
    </w:lvlOverride>
    <w:lvlOverride w:ilvl="2">
      <w:lvl w:ilvl="2">
        <w:start w:val="163156400"/>
        <w:numFmt w:val="decimal"/>
        <w:lvlText w:val="%3."/>
        <w:lvlJc w:val="left"/>
        <w:pPr>
          <w:tabs>
            <w:tab w:val="num" w:pos="567"/>
          </w:tabs>
          <w:ind w:left="567" w:hanging="567"/>
        </w:pPr>
        <w:rPr>
          <w:rFonts w:hint="default"/>
        </w:rPr>
      </w:lvl>
    </w:lvlOverride>
    <w:lvlOverride w:ilvl="3">
      <w:lvl w:ilvl="3">
        <w:start w:val="138907584"/>
        <w:numFmt w:val="none"/>
        <w:lvlText w:val=""/>
        <w:lvlJc w:val="left"/>
        <w:pPr>
          <w:ind w:left="1440" w:hanging="360"/>
        </w:pPr>
        <w:rPr>
          <w:rFonts w:hint="default"/>
        </w:rPr>
      </w:lvl>
    </w:lvlOverride>
    <w:lvlOverride w:ilvl="4">
      <w:lvl w:ilvl="4">
        <w:start w:val="146752112"/>
        <w:numFmt w:val="none"/>
        <w:lvlText w:val=""/>
        <w:lvlJc w:val="left"/>
        <w:pPr>
          <w:ind w:left="1800" w:hanging="360"/>
        </w:pPr>
        <w:rPr>
          <w:rFonts w:hint="default"/>
        </w:rPr>
      </w:lvl>
    </w:lvlOverride>
    <w:lvlOverride w:ilvl="5">
      <w:lvl w:ilvl="5">
        <w:start w:val="146751968"/>
        <w:numFmt w:val="none"/>
        <w:lvlText w:val=""/>
        <w:lvlJc w:val="left"/>
        <w:pPr>
          <w:ind w:left="2160" w:hanging="360"/>
        </w:pPr>
        <w:rPr>
          <w:rFonts w:hint="default"/>
        </w:rPr>
      </w:lvl>
    </w:lvlOverride>
    <w:lvlOverride w:ilvl="6">
      <w:lvl w:ilvl="6">
        <w:start w:val="138905904"/>
        <w:numFmt w:val="none"/>
        <w:lvlText w:val=""/>
        <w:lvlJc w:val="left"/>
        <w:pPr>
          <w:ind w:left="2520" w:hanging="360"/>
        </w:pPr>
        <w:rPr>
          <w:rFonts w:hint="default"/>
        </w:rPr>
      </w:lvl>
    </w:lvlOverride>
    <w:lvlOverride w:ilvl="7">
      <w:lvl w:ilvl="7">
        <w:start w:val="138905856"/>
        <w:numFmt w:val="lowerLetter"/>
        <w:lvlText w:val="%8."/>
        <w:lvlJc w:val="left"/>
        <w:pPr>
          <w:ind w:left="2880" w:hanging="360"/>
        </w:pPr>
        <w:rPr>
          <w:rFonts w:hint="default"/>
        </w:rPr>
      </w:lvl>
    </w:lvlOverride>
    <w:lvlOverride w:ilvl="8">
      <w:lvl w:ilvl="8">
        <w:start w:val="137882240"/>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FD3"/>
    <w:rsid w:val="00000B53"/>
    <w:rsid w:val="0000608A"/>
    <w:rsid w:val="00006E9D"/>
    <w:rsid w:val="000102F5"/>
    <w:rsid w:val="00011725"/>
    <w:rsid w:val="00012618"/>
    <w:rsid w:val="00012C62"/>
    <w:rsid w:val="00015BBD"/>
    <w:rsid w:val="000178AF"/>
    <w:rsid w:val="00021968"/>
    <w:rsid w:val="000221C2"/>
    <w:rsid w:val="00024F86"/>
    <w:rsid w:val="0002544D"/>
    <w:rsid w:val="00026A5E"/>
    <w:rsid w:val="00026B3D"/>
    <w:rsid w:val="000349A6"/>
    <w:rsid w:val="00034C39"/>
    <w:rsid w:val="00041C73"/>
    <w:rsid w:val="000423AD"/>
    <w:rsid w:val="0004262A"/>
    <w:rsid w:val="0004274D"/>
    <w:rsid w:val="00043348"/>
    <w:rsid w:val="0004483F"/>
    <w:rsid w:val="000462B0"/>
    <w:rsid w:val="00047EA2"/>
    <w:rsid w:val="000502F3"/>
    <w:rsid w:val="00050F83"/>
    <w:rsid w:val="0005138B"/>
    <w:rsid w:val="000521C0"/>
    <w:rsid w:val="000522B7"/>
    <w:rsid w:val="00056880"/>
    <w:rsid w:val="00060430"/>
    <w:rsid w:val="00064CA2"/>
    <w:rsid w:val="00064EF0"/>
    <w:rsid w:val="0006527A"/>
    <w:rsid w:val="000675D1"/>
    <w:rsid w:val="00071190"/>
    <w:rsid w:val="00071612"/>
    <w:rsid w:val="00073521"/>
    <w:rsid w:val="000775DE"/>
    <w:rsid w:val="00080600"/>
    <w:rsid w:val="0008067A"/>
    <w:rsid w:val="00082845"/>
    <w:rsid w:val="000840F7"/>
    <w:rsid w:val="000840FB"/>
    <w:rsid w:val="000873C1"/>
    <w:rsid w:val="00087FAF"/>
    <w:rsid w:val="00091279"/>
    <w:rsid w:val="0009130F"/>
    <w:rsid w:val="0009286D"/>
    <w:rsid w:val="00094FA3"/>
    <w:rsid w:val="000A07A2"/>
    <w:rsid w:val="000A1254"/>
    <w:rsid w:val="000A1AC9"/>
    <w:rsid w:val="000A1B52"/>
    <w:rsid w:val="000A2591"/>
    <w:rsid w:val="000A3EE3"/>
    <w:rsid w:val="000A6C16"/>
    <w:rsid w:val="000B025C"/>
    <w:rsid w:val="000B0723"/>
    <w:rsid w:val="000B1305"/>
    <w:rsid w:val="000B438C"/>
    <w:rsid w:val="000B5436"/>
    <w:rsid w:val="000B5D06"/>
    <w:rsid w:val="000B79BD"/>
    <w:rsid w:val="000C1CEE"/>
    <w:rsid w:val="000C29D7"/>
    <w:rsid w:val="000C3722"/>
    <w:rsid w:val="000C41BB"/>
    <w:rsid w:val="000C56F3"/>
    <w:rsid w:val="000C571D"/>
    <w:rsid w:val="000C5F40"/>
    <w:rsid w:val="000C7EEA"/>
    <w:rsid w:val="000D021A"/>
    <w:rsid w:val="000D14B5"/>
    <w:rsid w:val="000D3721"/>
    <w:rsid w:val="000D4430"/>
    <w:rsid w:val="000D4E58"/>
    <w:rsid w:val="000D5817"/>
    <w:rsid w:val="000E0B74"/>
    <w:rsid w:val="000E1107"/>
    <w:rsid w:val="000E11E3"/>
    <w:rsid w:val="000E2767"/>
    <w:rsid w:val="000E2FA9"/>
    <w:rsid w:val="000E4938"/>
    <w:rsid w:val="000E77F4"/>
    <w:rsid w:val="000E7901"/>
    <w:rsid w:val="000F0CD9"/>
    <w:rsid w:val="000F1121"/>
    <w:rsid w:val="000F1550"/>
    <w:rsid w:val="000F20B9"/>
    <w:rsid w:val="000F2A1C"/>
    <w:rsid w:val="000F446E"/>
    <w:rsid w:val="0010001D"/>
    <w:rsid w:val="00100147"/>
    <w:rsid w:val="001012FB"/>
    <w:rsid w:val="001047A9"/>
    <w:rsid w:val="00105A69"/>
    <w:rsid w:val="00110536"/>
    <w:rsid w:val="0011143A"/>
    <w:rsid w:val="0011168A"/>
    <w:rsid w:val="0011184D"/>
    <w:rsid w:val="00111DB2"/>
    <w:rsid w:val="00114AA2"/>
    <w:rsid w:val="001165DB"/>
    <w:rsid w:val="00117748"/>
    <w:rsid w:val="001202E8"/>
    <w:rsid w:val="00121C81"/>
    <w:rsid w:val="001246FB"/>
    <w:rsid w:val="00125E98"/>
    <w:rsid w:val="00131DC3"/>
    <w:rsid w:val="0013310D"/>
    <w:rsid w:val="0013315A"/>
    <w:rsid w:val="001354E7"/>
    <w:rsid w:val="00135E4C"/>
    <w:rsid w:val="001373F5"/>
    <w:rsid w:val="001403C8"/>
    <w:rsid w:val="00140AFA"/>
    <w:rsid w:val="0014161E"/>
    <w:rsid w:val="001479E6"/>
    <w:rsid w:val="001500A2"/>
    <w:rsid w:val="00154D08"/>
    <w:rsid w:val="0015507F"/>
    <w:rsid w:val="00155908"/>
    <w:rsid w:val="00155E57"/>
    <w:rsid w:val="00155E93"/>
    <w:rsid w:val="0015687E"/>
    <w:rsid w:val="0015743F"/>
    <w:rsid w:val="001606CF"/>
    <w:rsid w:val="0016128D"/>
    <w:rsid w:val="00163585"/>
    <w:rsid w:val="001640C6"/>
    <w:rsid w:val="001659D6"/>
    <w:rsid w:val="001677A3"/>
    <w:rsid w:val="0016786A"/>
    <w:rsid w:val="0017016C"/>
    <w:rsid w:val="0017089D"/>
    <w:rsid w:val="00171105"/>
    <w:rsid w:val="00174089"/>
    <w:rsid w:val="001778CC"/>
    <w:rsid w:val="00177BEA"/>
    <w:rsid w:val="00177F15"/>
    <w:rsid w:val="001837E5"/>
    <w:rsid w:val="00183A03"/>
    <w:rsid w:val="0018599E"/>
    <w:rsid w:val="00185CA1"/>
    <w:rsid w:val="00186774"/>
    <w:rsid w:val="00187BEB"/>
    <w:rsid w:val="0019101A"/>
    <w:rsid w:val="00191B6B"/>
    <w:rsid w:val="0019221E"/>
    <w:rsid w:val="00193A36"/>
    <w:rsid w:val="00193B62"/>
    <w:rsid w:val="00194464"/>
    <w:rsid w:val="001972D2"/>
    <w:rsid w:val="00197A2D"/>
    <w:rsid w:val="001A0D8E"/>
    <w:rsid w:val="001A25E4"/>
    <w:rsid w:val="001A3D91"/>
    <w:rsid w:val="001A44A5"/>
    <w:rsid w:val="001A4B38"/>
    <w:rsid w:val="001A643A"/>
    <w:rsid w:val="001A6FF3"/>
    <w:rsid w:val="001A71E3"/>
    <w:rsid w:val="001A7F34"/>
    <w:rsid w:val="001B12DC"/>
    <w:rsid w:val="001B23A2"/>
    <w:rsid w:val="001B3164"/>
    <w:rsid w:val="001B72E6"/>
    <w:rsid w:val="001B7E15"/>
    <w:rsid w:val="001B7FD5"/>
    <w:rsid w:val="001C0122"/>
    <w:rsid w:val="001C06EC"/>
    <w:rsid w:val="001C12AB"/>
    <w:rsid w:val="001C358D"/>
    <w:rsid w:val="001C37CF"/>
    <w:rsid w:val="001C38CB"/>
    <w:rsid w:val="001C47D1"/>
    <w:rsid w:val="001C4B4E"/>
    <w:rsid w:val="001C4FD5"/>
    <w:rsid w:val="001D1A8B"/>
    <w:rsid w:val="001D4765"/>
    <w:rsid w:val="001D5177"/>
    <w:rsid w:val="001D75BF"/>
    <w:rsid w:val="001E2ADF"/>
    <w:rsid w:val="001E35E3"/>
    <w:rsid w:val="001E560D"/>
    <w:rsid w:val="001E6FEA"/>
    <w:rsid w:val="001F0E62"/>
    <w:rsid w:val="001F0F40"/>
    <w:rsid w:val="001F1B27"/>
    <w:rsid w:val="001F2513"/>
    <w:rsid w:val="001F41E5"/>
    <w:rsid w:val="001F5756"/>
    <w:rsid w:val="00200C8B"/>
    <w:rsid w:val="002024E3"/>
    <w:rsid w:val="00204264"/>
    <w:rsid w:val="0020435F"/>
    <w:rsid w:val="0020472C"/>
    <w:rsid w:val="00207A6A"/>
    <w:rsid w:val="00207B98"/>
    <w:rsid w:val="00215C10"/>
    <w:rsid w:val="002166AF"/>
    <w:rsid w:val="002173FB"/>
    <w:rsid w:val="002206C5"/>
    <w:rsid w:val="00220751"/>
    <w:rsid w:val="00221EC0"/>
    <w:rsid w:val="002223E6"/>
    <w:rsid w:val="00222512"/>
    <w:rsid w:val="0022270D"/>
    <w:rsid w:val="00222E8F"/>
    <w:rsid w:val="00225233"/>
    <w:rsid w:val="00226DBE"/>
    <w:rsid w:val="0022730B"/>
    <w:rsid w:val="00231049"/>
    <w:rsid w:val="002314D2"/>
    <w:rsid w:val="002315D8"/>
    <w:rsid w:val="002328BB"/>
    <w:rsid w:val="00232B27"/>
    <w:rsid w:val="00232B5C"/>
    <w:rsid w:val="0023305C"/>
    <w:rsid w:val="0023350D"/>
    <w:rsid w:val="00233645"/>
    <w:rsid w:val="00234121"/>
    <w:rsid w:val="00234AC9"/>
    <w:rsid w:val="0023547A"/>
    <w:rsid w:val="00236225"/>
    <w:rsid w:val="00236C38"/>
    <w:rsid w:val="0023786E"/>
    <w:rsid w:val="0023793C"/>
    <w:rsid w:val="00237C2A"/>
    <w:rsid w:val="00241881"/>
    <w:rsid w:val="002427F4"/>
    <w:rsid w:val="0024294C"/>
    <w:rsid w:val="002458B9"/>
    <w:rsid w:val="00245BD9"/>
    <w:rsid w:val="00246E78"/>
    <w:rsid w:val="00247214"/>
    <w:rsid w:val="00247CAA"/>
    <w:rsid w:val="002530CE"/>
    <w:rsid w:val="002535AB"/>
    <w:rsid w:val="0025652F"/>
    <w:rsid w:val="0025653B"/>
    <w:rsid w:val="002574D8"/>
    <w:rsid w:val="00260267"/>
    <w:rsid w:val="00260402"/>
    <w:rsid w:val="0026052E"/>
    <w:rsid w:val="002610BE"/>
    <w:rsid w:val="0026282E"/>
    <w:rsid w:val="0026283D"/>
    <w:rsid w:val="0026305F"/>
    <w:rsid w:val="00263B6C"/>
    <w:rsid w:val="002667AE"/>
    <w:rsid w:val="00271AA3"/>
    <w:rsid w:val="00272939"/>
    <w:rsid w:val="00273A78"/>
    <w:rsid w:val="00274A2B"/>
    <w:rsid w:val="0027590B"/>
    <w:rsid w:val="00276A56"/>
    <w:rsid w:val="00281631"/>
    <w:rsid w:val="00281D90"/>
    <w:rsid w:val="00285969"/>
    <w:rsid w:val="00286AB8"/>
    <w:rsid w:val="00287276"/>
    <w:rsid w:val="00292857"/>
    <w:rsid w:val="00292B1C"/>
    <w:rsid w:val="0029455E"/>
    <w:rsid w:val="002950CA"/>
    <w:rsid w:val="0029709A"/>
    <w:rsid w:val="002A030C"/>
    <w:rsid w:val="002A2040"/>
    <w:rsid w:val="002A3C57"/>
    <w:rsid w:val="002A4188"/>
    <w:rsid w:val="002A62A2"/>
    <w:rsid w:val="002A74EF"/>
    <w:rsid w:val="002B060D"/>
    <w:rsid w:val="002B2F87"/>
    <w:rsid w:val="002B3829"/>
    <w:rsid w:val="002B698B"/>
    <w:rsid w:val="002B6D9C"/>
    <w:rsid w:val="002B7A38"/>
    <w:rsid w:val="002C1F0B"/>
    <w:rsid w:val="002C1F94"/>
    <w:rsid w:val="002C22EF"/>
    <w:rsid w:val="002C369F"/>
    <w:rsid w:val="002C4E55"/>
    <w:rsid w:val="002C5A6A"/>
    <w:rsid w:val="002D07B6"/>
    <w:rsid w:val="002D3DE9"/>
    <w:rsid w:val="002D66FC"/>
    <w:rsid w:val="002E08E0"/>
    <w:rsid w:val="002E3C02"/>
    <w:rsid w:val="002E454C"/>
    <w:rsid w:val="002E665B"/>
    <w:rsid w:val="002F00A8"/>
    <w:rsid w:val="002F2F47"/>
    <w:rsid w:val="002F4683"/>
    <w:rsid w:val="002F5656"/>
    <w:rsid w:val="002F5954"/>
    <w:rsid w:val="002F617F"/>
    <w:rsid w:val="002F651B"/>
    <w:rsid w:val="002F746D"/>
    <w:rsid w:val="00300109"/>
    <w:rsid w:val="003021CA"/>
    <w:rsid w:val="0030272C"/>
    <w:rsid w:val="00302A39"/>
    <w:rsid w:val="00304D25"/>
    <w:rsid w:val="00305EDF"/>
    <w:rsid w:val="00306894"/>
    <w:rsid w:val="0030782D"/>
    <w:rsid w:val="00310CA5"/>
    <w:rsid w:val="0031143D"/>
    <w:rsid w:val="003122F4"/>
    <w:rsid w:val="00313188"/>
    <w:rsid w:val="003162F0"/>
    <w:rsid w:val="00316C9E"/>
    <w:rsid w:val="003174F0"/>
    <w:rsid w:val="00323272"/>
    <w:rsid w:val="00325A64"/>
    <w:rsid w:val="00325B46"/>
    <w:rsid w:val="00325F5E"/>
    <w:rsid w:val="003268D5"/>
    <w:rsid w:val="00326AA7"/>
    <w:rsid w:val="00327CBE"/>
    <w:rsid w:val="00330889"/>
    <w:rsid w:val="00331467"/>
    <w:rsid w:val="00332F72"/>
    <w:rsid w:val="00333CB0"/>
    <w:rsid w:val="00334F93"/>
    <w:rsid w:val="003354B5"/>
    <w:rsid w:val="0033749F"/>
    <w:rsid w:val="00341608"/>
    <w:rsid w:val="00342660"/>
    <w:rsid w:val="0034314A"/>
    <w:rsid w:val="00344072"/>
    <w:rsid w:val="00344631"/>
    <w:rsid w:val="003448F6"/>
    <w:rsid w:val="0034499B"/>
    <w:rsid w:val="00344CCF"/>
    <w:rsid w:val="00345016"/>
    <w:rsid w:val="00346661"/>
    <w:rsid w:val="0034684A"/>
    <w:rsid w:val="003501E6"/>
    <w:rsid w:val="00350277"/>
    <w:rsid w:val="00350759"/>
    <w:rsid w:val="00350824"/>
    <w:rsid w:val="00350897"/>
    <w:rsid w:val="00351E78"/>
    <w:rsid w:val="0035332C"/>
    <w:rsid w:val="00354D27"/>
    <w:rsid w:val="003555DF"/>
    <w:rsid w:val="00356635"/>
    <w:rsid w:val="0035738A"/>
    <w:rsid w:val="00360269"/>
    <w:rsid w:val="00360674"/>
    <w:rsid w:val="00361B3E"/>
    <w:rsid w:val="0036219E"/>
    <w:rsid w:val="00364760"/>
    <w:rsid w:val="003654E7"/>
    <w:rsid w:val="003658D3"/>
    <w:rsid w:val="003709C8"/>
    <w:rsid w:val="00371FC7"/>
    <w:rsid w:val="003735FE"/>
    <w:rsid w:val="0037437F"/>
    <w:rsid w:val="00374EF1"/>
    <w:rsid w:val="00375DAC"/>
    <w:rsid w:val="00377DE3"/>
    <w:rsid w:val="0038066F"/>
    <w:rsid w:val="00381835"/>
    <w:rsid w:val="00381B16"/>
    <w:rsid w:val="00382E35"/>
    <w:rsid w:val="003833A7"/>
    <w:rsid w:val="00384A12"/>
    <w:rsid w:val="00385501"/>
    <w:rsid w:val="003858A6"/>
    <w:rsid w:val="003858D8"/>
    <w:rsid w:val="00386CE5"/>
    <w:rsid w:val="00387260"/>
    <w:rsid w:val="003905E4"/>
    <w:rsid w:val="00390829"/>
    <w:rsid w:val="00390CCA"/>
    <w:rsid w:val="00392DCC"/>
    <w:rsid w:val="00393042"/>
    <w:rsid w:val="003A224B"/>
    <w:rsid w:val="003A2F2A"/>
    <w:rsid w:val="003A31F1"/>
    <w:rsid w:val="003A3481"/>
    <w:rsid w:val="003A5B36"/>
    <w:rsid w:val="003B4EAE"/>
    <w:rsid w:val="003C24B4"/>
    <w:rsid w:val="003C2DEE"/>
    <w:rsid w:val="003D3AE9"/>
    <w:rsid w:val="003E20D6"/>
    <w:rsid w:val="003E46A5"/>
    <w:rsid w:val="003E4AD9"/>
    <w:rsid w:val="003E4D87"/>
    <w:rsid w:val="003F12B2"/>
    <w:rsid w:val="003F4AB5"/>
    <w:rsid w:val="003F6835"/>
    <w:rsid w:val="003F6C38"/>
    <w:rsid w:val="00401082"/>
    <w:rsid w:val="00401B0E"/>
    <w:rsid w:val="00401F79"/>
    <w:rsid w:val="0040316D"/>
    <w:rsid w:val="004036EA"/>
    <w:rsid w:val="00403F75"/>
    <w:rsid w:val="004042E2"/>
    <w:rsid w:val="00404DC9"/>
    <w:rsid w:val="00405FBC"/>
    <w:rsid w:val="00406ED2"/>
    <w:rsid w:val="0040754C"/>
    <w:rsid w:val="00410B2D"/>
    <w:rsid w:val="004121A1"/>
    <w:rsid w:val="00415CA0"/>
    <w:rsid w:val="00416762"/>
    <w:rsid w:val="00416E55"/>
    <w:rsid w:val="0042518A"/>
    <w:rsid w:val="004261A6"/>
    <w:rsid w:val="004268CF"/>
    <w:rsid w:val="00427743"/>
    <w:rsid w:val="00427BEA"/>
    <w:rsid w:val="00431463"/>
    <w:rsid w:val="00431AC1"/>
    <w:rsid w:val="00432DB2"/>
    <w:rsid w:val="00433706"/>
    <w:rsid w:val="004348BE"/>
    <w:rsid w:val="00434AA7"/>
    <w:rsid w:val="00436DE9"/>
    <w:rsid w:val="00437625"/>
    <w:rsid w:val="0044007D"/>
    <w:rsid w:val="00440554"/>
    <w:rsid w:val="004410CE"/>
    <w:rsid w:val="00441B97"/>
    <w:rsid w:val="00443A18"/>
    <w:rsid w:val="00444873"/>
    <w:rsid w:val="00445265"/>
    <w:rsid w:val="00445399"/>
    <w:rsid w:val="00445875"/>
    <w:rsid w:val="0044603C"/>
    <w:rsid w:val="00447993"/>
    <w:rsid w:val="00452291"/>
    <w:rsid w:val="0045289D"/>
    <w:rsid w:val="00454EC2"/>
    <w:rsid w:val="004559CE"/>
    <w:rsid w:val="00456060"/>
    <w:rsid w:val="00457121"/>
    <w:rsid w:val="00460E1A"/>
    <w:rsid w:val="00463DF8"/>
    <w:rsid w:val="00465B28"/>
    <w:rsid w:val="004673E6"/>
    <w:rsid w:val="00470A33"/>
    <w:rsid w:val="00470C42"/>
    <w:rsid w:val="00471BE9"/>
    <w:rsid w:val="004733AD"/>
    <w:rsid w:val="00475085"/>
    <w:rsid w:val="00476CF6"/>
    <w:rsid w:val="00477AA8"/>
    <w:rsid w:val="00481BAB"/>
    <w:rsid w:val="00483B02"/>
    <w:rsid w:val="0048410D"/>
    <w:rsid w:val="0048563F"/>
    <w:rsid w:val="00486346"/>
    <w:rsid w:val="00486A12"/>
    <w:rsid w:val="00487342"/>
    <w:rsid w:val="00492FCB"/>
    <w:rsid w:val="004944FB"/>
    <w:rsid w:val="0049662C"/>
    <w:rsid w:val="004A0F11"/>
    <w:rsid w:val="004A19A8"/>
    <w:rsid w:val="004A3EAA"/>
    <w:rsid w:val="004A478B"/>
    <w:rsid w:val="004A47E4"/>
    <w:rsid w:val="004A4843"/>
    <w:rsid w:val="004A5FD5"/>
    <w:rsid w:val="004A7937"/>
    <w:rsid w:val="004A7D97"/>
    <w:rsid w:val="004B01A0"/>
    <w:rsid w:val="004B3E00"/>
    <w:rsid w:val="004B4BB4"/>
    <w:rsid w:val="004B4CBA"/>
    <w:rsid w:val="004B5133"/>
    <w:rsid w:val="004B5550"/>
    <w:rsid w:val="004B5829"/>
    <w:rsid w:val="004C0328"/>
    <w:rsid w:val="004C240C"/>
    <w:rsid w:val="004C30DF"/>
    <w:rsid w:val="004C41B6"/>
    <w:rsid w:val="004D079A"/>
    <w:rsid w:val="004D189B"/>
    <w:rsid w:val="004D4DCF"/>
    <w:rsid w:val="004D501B"/>
    <w:rsid w:val="004D59DA"/>
    <w:rsid w:val="004D6225"/>
    <w:rsid w:val="004D6E37"/>
    <w:rsid w:val="004E00EA"/>
    <w:rsid w:val="004E1B97"/>
    <w:rsid w:val="004E1D41"/>
    <w:rsid w:val="004E5A94"/>
    <w:rsid w:val="004E5CD3"/>
    <w:rsid w:val="004F017F"/>
    <w:rsid w:val="004F1F44"/>
    <w:rsid w:val="004F3BAD"/>
    <w:rsid w:val="004F3F93"/>
    <w:rsid w:val="004F4B92"/>
    <w:rsid w:val="004F7141"/>
    <w:rsid w:val="004F7385"/>
    <w:rsid w:val="004F766C"/>
    <w:rsid w:val="00500927"/>
    <w:rsid w:val="00501C6E"/>
    <w:rsid w:val="005038C5"/>
    <w:rsid w:val="00510DBE"/>
    <w:rsid w:val="00512858"/>
    <w:rsid w:val="00512F30"/>
    <w:rsid w:val="00513090"/>
    <w:rsid w:val="00513D09"/>
    <w:rsid w:val="00516785"/>
    <w:rsid w:val="00516EBF"/>
    <w:rsid w:val="005236FF"/>
    <w:rsid w:val="0052419D"/>
    <w:rsid w:val="00525022"/>
    <w:rsid w:val="0052522A"/>
    <w:rsid w:val="00526801"/>
    <w:rsid w:val="005270B7"/>
    <w:rsid w:val="00527174"/>
    <w:rsid w:val="005301F8"/>
    <w:rsid w:val="00530D94"/>
    <w:rsid w:val="005312FC"/>
    <w:rsid w:val="00531B44"/>
    <w:rsid w:val="0053397A"/>
    <w:rsid w:val="005353CD"/>
    <w:rsid w:val="0053569E"/>
    <w:rsid w:val="0053603D"/>
    <w:rsid w:val="00536715"/>
    <w:rsid w:val="0053742A"/>
    <w:rsid w:val="00537C11"/>
    <w:rsid w:val="00537C85"/>
    <w:rsid w:val="00541CA9"/>
    <w:rsid w:val="00541D29"/>
    <w:rsid w:val="00546AC2"/>
    <w:rsid w:val="00551B42"/>
    <w:rsid w:val="00552258"/>
    <w:rsid w:val="00553871"/>
    <w:rsid w:val="00554687"/>
    <w:rsid w:val="00556AB2"/>
    <w:rsid w:val="00562F17"/>
    <w:rsid w:val="00562FFC"/>
    <w:rsid w:val="00564E94"/>
    <w:rsid w:val="0056582C"/>
    <w:rsid w:val="00566496"/>
    <w:rsid w:val="00567CC9"/>
    <w:rsid w:val="00567CF3"/>
    <w:rsid w:val="00570F04"/>
    <w:rsid w:val="00572E55"/>
    <w:rsid w:val="00573246"/>
    <w:rsid w:val="00573B62"/>
    <w:rsid w:val="00574347"/>
    <w:rsid w:val="00575752"/>
    <w:rsid w:val="0057589B"/>
    <w:rsid w:val="00576012"/>
    <w:rsid w:val="0057738F"/>
    <w:rsid w:val="00577873"/>
    <w:rsid w:val="0058136A"/>
    <w:rsid w:val="005832F7"/>
    <w:rsid w:val="00586263"/>
    <w:rsid w:val="005868DE"/>
    <w:rsid w:val="00586AC1"/>
    <w:rsid w:val="00586F12"/>
    <w:rsid w:val="00587C30"/>
    <w:rsid w:val="005908A1"/>
    <w:rsid w:val="0059098E"/>
    <w:rsid w:val="00592340"/>
    <w:rsid w:val="005927F0"/>
    <w:rsid w:val="005966B7"/>
    <w:rsid w:val="00596C60"/>
    <w:rsid w:val="005A0FBF"/>
    <w:rsid w:val="005A1A18"/>
    <w:rsid w:val="005A29E0"/>
    <w:rsid w:val="005A4298"/>
    <w:rsid w:val="005A6957"/>
    <w:rsid w:val="005A6C3A"/>
    <w:rsid w:val="005A6C58"/>
    <w:rsid w:val="005A77C5"/>
    <w:rsid w:val="005B0123"/>
    <w:rsid w:val="005B0590"/>
    <w:rsid w:val="005B23A4"/>
    <w:rsid w:val="005B2A27"/>
    <w:rsid w:val="005B2B10"/>
    <w:rsid w:val="005B3DAB"/>
    <w:rsid w:val="005B420C"/>
    <w:rsid w:val="005B5E2A"/>
    <w:rsid w:val="005B5F8C"/>
    <w:rsid w:val="005C01E7"/>
    <w:rsid w:val="005C02A4"/>
    <w:rsid w:val="005C0FBB"/>
    <w:rsid w:val="005C1CF5"/>
    <w:rsid w:val="005C20D2"/>
    <w:rsid w:val="005C32FE"/>
    <w:rsid w:val="005C7FEE"/>
    <w:rsid w:val="005D024A"/>
    <w:rsid w:val="005D0DBA"/>
    <w:rsid w:val="005D116B"/>
    <w:rsid w:val="005D3393"/>
    <w:rsid w:val="005D4FD4"/>
    <w:rsid w:val="005D6D64"/>
    <w:rsid w:val="005E01B2"/>
    <w:rsid w:val="005E071D"/>
    <w:rsid w:val="005E0EA8"/>
    <w:rsid w:val="005E1C63"/>
    <w:rsid w:val="005E1DCE"/>
    <w:rsid w:val="005E30FC"/>
    <w:rsid w:val="005E6AD4"/>
    <w:rsid w:val="005E782C"/>
    <w:rsid w:val="005F1F18"/>
    <w:rsid w:val="005F358F"/>
    <w:rsid w:val="005F3E79"/>
    <w:rsid w:val="005F4B13"/>
    <w:rsid w:val="005F528A"/>
    <w:rsid w:val="00601650"/>
    <w:rsid w:val="00601E89"/>
    <w:rsid w:val="00602339"/>
    <w:rsid w:val="0060252F"/>
    <w:rsid w:val="006037DB"/>
    <w:rsid w:val="00603AFB"/>
    <w:rsid w:val="00604581"/>
    <w:rsid w:val="00604BF5"/>
    <w:rsid w:val="00605AFD"/>
    <w:rsid w:val="00607B1E"/>
    <w:rsid w:val="0061178E"/>
    <w:rsid w:val="006123D4"/>
    <w:rsid w:val="0061269F"/>
    <w:rsid w:val="006143E4"/>
    <w:rsid w:val="00614433"/>
    <w:rsid w:val="0061445B"/>
    <w:rsid w:val="00620C54"/>
    <w:rsid w:val="00621326"/>
    <w:rsid w:val="00621F00"/>
    <w:rsid w:val="00622137"/>
    <w:rsid w:val="00624C4B"/>
    <w:rsid w:val="00625216"/>
    <w:rsid w:val="00627515"/>
    <w:rsid w:val="00630732"/>
    <w:rsid w:val="00630DAD"/>
    <w:rsid w:val="00631304"/>
    <w:rsid w:val="006316BF"/>
    <w:rsid w:val="0063465F"/>
    <w:rsid w:val="0063614C"/>
    <w:rsid w:val="00637806"/>
    <w:rsid w:val="006401CA"/>
    <w:rsid w:val="0064132F"/>
    <w:rsid w:val="00641478"/>
    <w:rsid w:val="006414EB"/>
    <w:rsid w:val="00641A88"/>
    <w:rsid w:val="00641C79"/>
    <w:rsid w:val="006441D3"/>
    <w:rsid w:val="00644DDF"/>
    <w:rsid w:val="0064560D"/>
    <w:rsid w:val="00651227"/>
    <w:rsid w:val="00653140"/>
    <w:rsid w:val="00653900"/>
    <w:rsid w:val="00655BB8"/>
    <w:rsid w:val="006566E3"/>
    <w:rsid w:val="00663183"/>
    <w:rsid w:val="0066393C"/>
    <w:rsid w:val="00665A80"/>
    <w:rsid w:val="006676E3"/>
    <w:rsid w:val="00670884"/>
    <w:rsid w:val="00672A63"/>
    <w:rsid w:val="006735F6"/>
    <w:rsid w:val="00674FCA"/>
    <w:rsid w:val="00676C28"/>
    <w:rsid w:val="00680B27"/>
    <w:rsid w:val="006839B3"/>
    <w:rsid w:val="00683F2F"/>
    <w:rsid w:val="00685C13"/>
    <w:rsid w:val="00685CF7"/>
    <w:rsid w:val="00686165"/>
    <w:rsid w:val="00686BB9"/>
    <w:rsid w:val="00690417"/>
    <w:rsid w:val="006905C7"/>
    <w:rsid w:val="00691CB5"/>
    <w:rsid w:val="0069308C"/>
    <w:rsid w:val="00693DC0"/>
    <w:rsid w:val="006A0821"/>
    <w:rsid w:val="006A0D40"/>
    <w:rsid w:val="006A37F5"/>
    <w:rsid w:val="006A432C"/>
    <w:rsid w:val="006B0D69"/>
    <w:rsid w:val="006B210F"/>
    <w:rsid w:val="006B3901"/>
    <w:rsid w:val="006B4D6B"/>
    <w:rsid w:val="006B50DF"/>
    <w:rsid w:val="006B55A1"/>
    <w:rsid w:val="006B6676"/>
    <w:rsid w:val="006C141B"/>
    <w:rsid w:val="006C1892"/>
    <w:rsid w:val="006C4C91"/>
    <w:rsid w:val="006C5B73"/>
    <w:rsid w:val="006C61F5"/>
    <w:rsid w:val="006C645D"/>
    <w:rsid w:val="006C72C7"/>
    <w:rsid w:val="006C7ECB"/>
    <w:rsid w:val="006D117C"/>
    <w:rsid w:val="006D3272"/>
    <w:rsid w:val="006D3D96"/>
    <w:rsid w:val="006E21F8"/>
    <w:rsid w:val="006E2AB3"/>
    <w:rsid w:val="006E39A9"/>
    <w:rsid w:val="006E3CC3"/>
    <w:rsid w:val="006E4D9A"/>
    <w:rsid w:val="006E582A"/>
    <w:rsid w:val="006E5D06"/>
    <w:rsid w:val="006E6CAA"/>
    <w:rsid w:val="006E709B"/>
    <w:rsid w:val="006E7B7A"/>
    <w:rsid w:val="006F0EA0"/>
    <w:rsid w:val="006F4745"/>
    <w:rsid w:val="006F4FEB"/>
    <w:rsid w:val="006F795D"/>
    <w:rsid w:val="00701185"/>
    <w:rsid w:val="00706E8E"/>
    <w:rsid w:val="00710EF8"/>
    <w:rsid w:val="0071226C"/>
    <w:rsid w:val="00713B74"/>
    <w:rsid w:val="007153A2"/>
    <w:rsid w:val="00715C9A"/>
    <w:rsid w:val="0071639B"/>
    <w:rsid w:val="00716A58"/>
    <w:rsid w:val="00717E93"/>
    <w:rsid w:val="00721629"/>
    <w:rsid w:val="00721643"/>
    <w:rsid w:val="0072164E"/>
    <w:rsid w:val="00721D0E"/>
    <w:rsid w:val="00722830"/>
    <w:rsid w:val="00722B53"/>
    <w:rsid w:val="00723DC9"/>
    <w:rsid w:val="00724931"/>
    <w:rsid w:val="00725350"/>
    <w:rsid w:val="007267A9"/>
    <w:rsid w:val="00726E98"/>
    <w:rsid w:val="00726F78"/>
    <w:rsid w:val="007273B9"/>
    <w:rsid w:val="007356F8"/>
    <w:rsid w:val="00735CF7"/>
    <w:rsid w:val="007413B0"/>
    <w:rsid w:val="00743C56"/>
    <w:rsid w:val="00744E24"/>
    <w:rsid w:val="00750309"/>
    <w:rsid w:val="007509DD"/>
    <w:rsid w:val="007525B1"/>
    <w:rsid w:val="00754902"/>
    <w:rsid w:val="007563B2"/>
    <w:rsid w:val="007573B1"/>
    <w:rsid w:val="00757995"/>
    <w:rsid w:val="00761E92"/>
    <w:rsid w:val="00763474"/>
    <w:rsid w:val="007637FF"/>
    <w:rsid w:val="00763A97"/>
    <w:rsid w:val="0076443E"/>
    <w:rsid w:val="007648FC"/>
    <w:rsid w:val="0076517C"/>
    <w:rsid w:val="00770CAD"/>
    <w:rsid w:val="00770DCB"/>
    <w:rsid w:val="0077399B"/>
    <w:rsid w:val="007741EB"/>
    <w:rsid w:val="00774AB9"/>
    <w:rsid w:val="00776797"/>
    <w:rsid w:val="00782095"/>
    <w:rsid w:val="0078278F"/>
    <w:rsid w:val="00784C0A"/>
    <w:rsid w:val="00786A66"/>
    <w:rsid w:val="0078771B"/>
    <w:rsid w:val="0079183F"/>
    <w:rsid w:val="00791A5D"/>
    <w:rsid w:val="00792CEB"/>
    <w:rsid w:val="00794B40"/>
    <w:rsid w:val="00796ACD"/>
    <w:rsid w:val="007A01CE"/>
    <w:rsid w:val="007A1079"/>
    <w:rsid w:val="007B0C4F"/>
    <w:rsid w:val="007B4690"/>
    <w:rsid w:val="007B46C4"/>
    <w:rsid w:val="007B55E5"/>
    <w:rsid w:val="007B5E24"/>
    <w:rsid w:val="007B6C76"/>
    <w:rsid w:val="007B76AB"/>
    <w:rsid w:val="007B7864"/>
    <w:rsid w:val="007C2D53"/>
    <w:rsid w:val="007C2E8F"/>
    <w:rsid w:val="007C3257"/>
    <w:rsid w:val="007C3947"/>
    <w:rsid w:val="007C5777"/>
    <w:rsid w:val="007C633E"/>
    <w:rsid w:val="007D0BE6"/>
    <w:rsid w:val="007D1105"/>
    <w:rsid w:val="007D2322"/>
    <w:rsid w:val="007D571F"/>
    <w:rsid w:val="007D592B"/>
    <w:rsid w:val="007D5AA6"/>
    <w:rsid w:val="007D5C15"/>
    <w:rsid w:val="007D7A91"/>
    <w:rsid w:val="007E16B2"/>
    <w:rsid w:val="007E2801"/>
    <w:rsid w:val="007E36E0"/>
    <w:rsid w:val="007E5DA2"/>
    <w:rsid w:val="007E6456"/>
    <w:rsid w:val="007E69F2"/>
    <w:rsid w:val="007E6DFE"/>
    <w:rsid w:val="007E6FB6"/>
    <w:rsid w:val="007E730E"/>
    <w:rsid w:val="007E7F04"/>
    <w:rsid w:val="007F2B31"/>
    <w:rsid w:val="007F374C"/>
    <w:rsid w:val="007F599B"/>
    <w:rsid w:val="007F7BBE"/>
    <w:rsid w:val="007F7C27"/>
    <w:rsid w:val="007F7E38"/>
    <w:rsid w:val="007F7FEC"/>
    <w:rsid w:val="00800175"/>
    <w:rsid w:val="008015C1"/>
    <w:rsid w:val="008048F0"/>
    <w:rsid w:val="00807C1E"/>
    <w:rsid w:val="00810B3E"/>
    <w:rsid w:val="00810CCD"/>
    <w:rsid w:val="00811943"/>
    <w:rsid w:val="00812266"/>
    <w:rsid w:val="0081362E"/>
    <w:rsid w:val="008150D0"/>
    <w:rsid w:val="00820BA7"/>
    <w:rsid w:val="0082109C"/>
    <w:rsid w:val="008247EE"/>
    <w:rsid w:val="00825194"/>
    <w:rsid w:val="00827D31"/>
    <w:rsid w:val="008311B8"/>
    <w:rsid w:val="00831A72"/>
    <w:rsid w:val="008341FE"/>
    <w:rsid w:val="00834243"/>
    <w:rsid w:val="00837E39"/>
    <w:rsid w:val="00837F3D"/>
    <w:rsid w:val="008415B8"/>
    <w:rsid w:val="00842509"/>
    <w:rsid w:val="00842D5D"/>
    <w:rsid w:val="00846B1F"/>
    <w:rsid w:val="00847A76"/>
    <w:rsid w:val="00850386"/>
    <w:rsid w:val="008509DD"/>
    <w:rsid w:val="0085322E"/>
    <w:rsid w:val="00856988"/>
    <w:rsid w:val="00856EFF"/>
    <w:rsid w:val="00857969"/>
    <w:rsid w:val="00861A23"/>
    <w:rsid w:val="00863FF9"/>
    <w:rsid w:val="00864CC5"/>
    <w:rsid w:val="00865275"/>
    <w:rsid w:val="0087141F"/>
    <w:rsid w:val="008723EF"/>
    <w:rsid w:val="00875453"/>
    <w:rsid w:val="0087669D"/>
    <w:rsid w:val="0087787A"/>
    <w:rsid w:val="008814BD"/>
    <w:rsid w:val="00881F38"/>
    <w:rsid w:val="00882CC4"/>
    <w:rsid w:val="00884998"/>
    <w:rsid w:val="00893053"/>
    <w:rsid w:val="008945BE"/>
    <w:rsid w:val="00896AD2"/>
    <w:rsid w:val="008A08E4"/>
    <w:rsid w:val="008A2E97"/>
    <w:rsid w:val="008A51CE"/>
    <w:rsid w:val="008A5743"/>
    <w:rsid w:val="008A6D1A"/>
    <w:rsid w:val="008A7005"/>
    <w:rsid w:val="008A76C4"/>
    <w:rsid w:val="008B0B77"/>
    <w:rsid w:val="008B1637"/>
    <w:rsid w:val="008B1998"/>
    <w:rsid w:val="008B570E"/>
    <w:rsid w:val="008C1147"/>
    <w:rsid w:val="008C2D8A"/>
    <w:rsid w:val="008C3FC9"/>
    <w:rsid w:val="008C4170"/>
    <w:rsid w:val="008C7F71"/>
    <w:rsid w:val="008D02B1"/>
    <w:rsid w:val="008D339F"/>
    <w:rsid w:val="008D3795"/>
    <w:rsid w:val="008D4127"/>
    <w:rsid w:val="008E2E09"/>
    <w:rsid w:val="008E33F9"/>
    <w:rsid w:val="008E55FC"/>
    <w:rsid w:val="008E6292"/>
    <w:rsid w:val="008F1306"/>
    <w:rsid w:val="008F5665"/>
    <w:rsid w:val="008F6FD3"/>
    <w:rsid w:val="009007B2"/>
    <w:rsid w:val="00901EBF"/>
    <w:rsid w:val="0090396F"/>
    <w:rsid w:val="00904ADE"/>
    <w:rsid w:val="0090605D"/>
    <w:rsid w:val="00906A27"/>
    <w:rsid w:val="00906AB6"/>
    <w:rsid w:val="009071CE"/>
    <w:rsid w:val="009133B4"/>
    <w:rsid w:val="00916954"/>
    <w:rsid w:val="00916FD3"/>
    <w:rsid w:val="00921CB6"/>
    <w:rsid w:val="00922D7A"/>
    <w:rsid w:val="00925AA5"/>
    <w:rsid w:val="00926AFE"/>
    <w:rsid w:val="00931CFD"/>
    <w:rsid w:val="00932075"/>
    <w:rsid w:val="0093419C"/>
    <w:rsid w:val="0093540D"/>
    <w:rsid w:val="00935A80"/>
    <w:rsid w:val="00936475"/>
    <w:rsid w:val="0093677F"/>
    <w:rsid w:val="00936BD2"/>
    <w:rsid w:val="0094019D"/>
    <w:rsid w:val="00942C11"/>
    <w:rsid w:val="0094351F"/>
    <w:rsid w:val="009456FF"/>
    <w:rsid w:val="00946386"/>
    <w:rsid w:val="00950DD6"/>
    <w:rsid w:val="00951E01"/>
    <w:rsid w:val="00952D91"/>
    <w:rsid w:val="00953271"/>
    <w:rsid w:val="00953F26"/>
    <w:rsid w:val="009540AB"/>
    <w:rsid w:val="009547F8"/>
    <w:rsid w:val="00954C1A"/>
    <w:rsid w:val="00960332"/>
    <w:rsid w:val="00960742"/>
    <w:rsid w:val="00963FDB"/>
    <w:rsid w:val="0096402E"/>
    <w:rsid w:val="0096489E"/>
    <w:rsid w:val="009653A9"/>
    <w:rsid w:val="00967349"/>
    <w:rsid w:val="00970AC6"/>
    <w:rsid w:val="009716D1"/>
    <w:rsid w:val="009729D4"/>
    <w:rsid w:val="009734CA"/>
    <w:rsid w:val="00973CD7"/>
    <w:rsid w:val="00974AF6"/>
    <w:rsid w:val="009758FF"/>
    <w:rsid w:val="0097704A"/>
    <w:rsid w:val="009817B0"/>
    <w:rsid w:val="009821CE"/>
    <w:rsid w:val="009857ED"/>
    <w:rsid w:val="00985BEE"/>
    <w:rsid w:val="009863EC"/>
    <w:rsid w:val="009868DA"/>
    <w:rsid w:val="00991918"/>
    <w:rsid w:val="00991DDE"/>
    <w:rsid w:val="00993BD4"/>
    <w:rsid w:val="00994B65"/>
    <w:rsid w:val="00995BF2"/>
    <w:rsid w:val="00997449"/>
    <w:rsid w:val="009A0AF8"/>
    <w:rsid w:val="009A0E18"/>
    <w:rsid w:val="009A20B9"/>
    <w:rsid w:val="009A21AD"/>
    <w:rsid w:val="009A277C"/>
    <w:rsid w:val="009A41EA"/>
    <w:rsid w:val="009A5079"/>
    <w:rsid w:val="009A5113"/>
    <w:rsid w:val="009A658F"/>
    <w:rsid w:val="009B1859"/>
    <w:rsid w:val="009B3592"/>
    <w:rsid w:val="009B45F5"/>
    <w:rsid w:val="009B5C19"/>
    <w:rsid w:val="009C29E6"/>
    <w:rsid w:val="009C2A4E"/>
    <w:rsid w:val="009C2BD1"/>
    <w:rsid w:val="009C6568"/>
    <w:rsid w:val="009C65FE"/>
    <w:rsid w:val="009D3690"/>
    <w:rsid w:val="009D4B93"/>
    <w:rsid w:val="009D4EFE"/>
    <w:rsid w:val="009D6E6C"/>
    <w:rsid w:val="009D7E74"/>
    <w:rsid w:val="009E004B"/>
    <w:rsid w:val="009E1456"/>
    <w:rsid w:val="009E171B"/>
    <w:rsid w:val="009E1A5E"/>
    <w:rsid w:val="009F0110"/>
    <w:rsid w:val="009F0D43"/>
    <w:rsid w:val="009F0FEA"/>
    <w:rsid w:val="009F4C44"/>
    <w:rsid w:val="00A015E8"/>
    <w:rsid w:val="00A0303E"/>
    <w:rsid w:val="00A03219"/>
    <w:rsid w:val="00A03A39"/>
    <w:rsid w:val="00A0793E"/>
    <w:rsid w:val="00A07D47"/>
    <w:rsid w:val="00A1101C"/>
    <w:rsid w:val="00A12F62"/>
    <w:rsid w:val="00A14BB5"/>
    <w:rsid w:val="00A14FE9"/>
    <w:rsid w:val="00A16E3D"/>
    <w:rsid w:val="00A170FB"/>
    <w:rsid w:val="00A17215"/>
    <w:rsid w:val="00A236F4"/>
    <w:rsid w:val="00A24E28"/>
    <w:rsid w:val="00A263D8"/>
    <w:rsid w:val="00A2700E"/>
    <w:rsid w:val="00A27569"/>
    <w:rsid w:val="00A27F64"/>
    <w:rsid w:val="00A32308"/>
    <w:rsid w:val="00A336AE"/>
    <w:rsid w:val="00A35DF8"/>
    <w:rsid w:val="00A36A2C"/>
    <w:rsid w:val="00A36CBF"/>
    <w:rsid w:val="00A36FF4"/>
    <w:rsid w:val="00A37206"/>
    <w:rsid w:val="00A3749B"/>
    <w:rsid w:val="00A37D87"/>
    <w:rsid w:val="00A42246"/>
    <w:rsid w:val="00A42624"/>
    <w:rsid w:val="00A4341D"/>
    <w:rsid w:val="00A4374D"/>
    <w:rsid w:val="00A44DA8"/>
    <w:rsid w:val="00A4670D"/>
    <w:rsid w:val="00A476CC"/>
    <w:rsid w:val="00A5067C"/>
    <w:rsid w:val="00A50D88"/>
    <w:rsid w:val="00A50F5A"/>
    <w:rsid w:val="00A516B8"/>
    <w:rsid w:val="00A529C6"/>
    <w:rsid w:val="00A53358"/>
    <w:rsid w:val="00A5345D"/>
    <w:rsid w:val="00A536FC"/>
    <w:rsid w:val="00A54098"/>
    <w:rsid w:val="00A5546E"/>
    <w:rsid w:val="00A55B32"/>
    <w:rsid w:val="00A56923"/>
    <w:rsid w:val="00A60B45"/>
    <w:rsid w:val="00A6128F"/>
    <w:rsid w:val="00A62900"/>
    <w:rsid w:val="00A62E42"/>
    <w:rsid w:val="00A631E1"/>
    <w:rsid w:val="00A63BE1"/>
    <w:rsid w:val="00A64A71"/>
    <w:rsid w:val="00A707C3"/>
    <w:rsid w:val="00A72D8F"/>
    <w:rsid w:val="00A74035"/>
    <w:rsid w:val="00A776EC"/>
    <w:rsid w:val="00A77831"/>
    <w:rsid w:val="00A807C6"/>
    <w:rsid w:val="00A81A2F"/>
    <w:rsid w:val="00A82DD0"/>
    <w:rsid w:val="00A863BE"/>
    <w:rsid w:val="00A86B82"/>
    <w:rsid w:val="00A90229"/>
    <w:rsid w:val="00A90CBB"/>
    <w:rsid w:val="00A91F5A"/>
    <w:rsid w:val="00A93401"/>
    <w:rsid w:val="00A939D9"/>
    <w:rsid w:val="00A9526C"/>
    <w:rsid w:val="00A9559D"/>
    <w:rsid w:val="00AA065E"/>
    <w:rsid w:val="00AA3B86"/>
    <w:rsid w:val="00AA4F3E"/>
    <w:rsid w:val="00AB2F37"/>
    <w:rsid w:val="00AB515C"/>
    <w:rsid w:val="00AB56F0"/>
    <w:rsid w:val="00AB7FE0"/>
    <w:rsid w:val="00AC2A90"/>
    <w:rsid w:val="00AC2FD8"/>
    <w:rsid w:val="00AC3196"/>
    <w:rsid w:val="00AC3DA4"/>
    <w:rsid w:val="00AC4526"/>
    <w:rsid w:val="00AC4FE7"/>
    <w:rsid w:val="00AC5A21"/>
    <w:rsid w:val="00AC7B83"/>
    <w:rsid w:val="00AD0484"/>
    <w:rsid w:val="00AD4AAB"/>
    <w:rsid w:val="00AD59E9"/>
    <w:rsid w:val="00AD5DEF"/>
    <w:rsid w:val="00AE0584"/>
    <w:rsid w:val="00AE210A"/>
    <w:rsid w:val="00AE2F90"/>
    <w:rsid w:val="00AE407D"/>
    <w:rsid w:val="00AE410B"/>
    <w:rsid w:val="00AE655C"/>
    <w:rsid w:val="00AE663C"/>
    <w:rsid w:val="00AF0916"/>
    <w:rsid w:val="00AF58B2"/>
    <w:rsid w:val="00AF6611"/>
    <w:rsid w:val="00AF6D19"/>
    <w:rsid w:val="00AF71EE"/>
    <w:rsid w:val="00B03C24"/>
    <w:rsid w:val="00B03DD6"/>
    <w:rsid w:val="00B05426"/>
    <w:rsid w:val="00B12965"/>
    <w:rsid w:val="00B169DD"/>
    <w:rsid w:val="00B20EA1"/>
    <w:rsid w:val="00B211A0"/>
    <w:rsid w:val="00B21F64"/>
    <w:rsid w:val="00B2351D"/>
    <w:rsid w:val="00B23893"/>
    <w:rsid w:val="00B32534"/>
    <w:rsid w:val="00B3583B"/>
    <w:rsid w:val="00B35A9D"/>
    <w:rsid w:val="00B37A8F"/>
    <w:rsid w:val="00B37D33"/>
    <w:rsid w:val="00B422F8"/>
    <w:rsid w:val="00B4392C"/>
    <w:rsid w:val="00B463C4"/>
    <w:rsid w:val="00B4649D"/>
    <w:rsid w:val="00B46873"/>
    <w:rsid w:val="00B46986"/>
    <w:rsid w:val="00B50792"/>
    <w:rsid w:val="00B51BD5"/>
    <w:rsid w:val="00B5312B"/>
    <w:rsid w:val="00B64F5A"/>
    <w:rsid w:val="00B65347"/>
    <w:rsid w:val="00B65EA4"/>
    <w:rsid w:val="00B66800"/>
    <w:rsid w:val="00B6715A"/>
    <w:rsid w:val="00B676BF"/>
    <w:rsid w:val="00B72E88"/>
    <w:rsid w:val="00B7311F"/>
    <w:rsid w:val="00B7376A"/>
    <w:rsid w:val="00B74095"/>
    <w:rsid w:val="00B76962"/>
    <w:rsid w:val="00B8278D"/>
    <w:rsid w:val="00B83892"/>
    <w:rsid w:val="00B858CF"/>
    <w:rsid w:val="00B858DB"/>
    <w:rsid w:val="00B86172"/>
    <w:rsid w:val="00B87927"/>
    <w:rsid w:val="00B90063"/>
    <w:rsid w:val="00B91D7E"/>
    <w:rsid w:val="00B92854"/>
    <w:rsid w:val="00B93F9C"/>
    <w:rsid w:val="00B947DD"/>
    <w:rsid w:val="00B95417"/>
    <w:rsid w:val="00B96858"/>
    <w:rsid w:val="00BA12E4"/>
    <w:rsid w:val="00BA299D"/>
    <w:rsid w:val="00BA4197"/>
    <w:rsid w:val="00BA4A1D"/>
    <w:rsid w:val="00BA56E0"/>
    <w:rsid w:val="00BA5783"/>
    <w:rsid w:val="00BB5E52"/>
    <w:rsid w:val="00BB674D"/>
    <w:rsid w:val="00BC0D23"/>
    <w:rsid w:val="00BC1BFF"/>
    <w:rsid w:val="00BC2A93"/>
    <w:rsid w:val="00BC415F"/>
    <w:rsid w:val="00BC5327"/>
    <w:rsid w:val="00BC569E"/>
    <w:rsid w:val="00BC71C8"/>
    <w:rsid w:val="00BC79B0"/>
    <w:rsid w:val="00BD06BD"/>
    <w:rsid w:val="00BD26AA"/>
    <w:rsid w:val="00BD3599"/>
    <w:rsid w:val="00BD39F3"/>
    <w:rsid w:val="00BD454F"/>
    <w:rsid w:val="00BD4EFE"/>
    <w:rsid w:val="00BD5F3B"/>
    <w:rsid w:val="00BD7257"/>
    <w:rsid w:val="00BE2B63"/>
    <w:rsid w:val="00BE2C82"/>
    <w:rsid w:val="00BE3294"/>
    <w:rsid w:val="00BE4265"/>
    <w:rsid w:val="00BF021D"/>
    <w:rsid w:val="00BF09BA"/>
    <w:rsid w:val="00BF0AC8"/>
    <w:rsid w:val="00BF1BF5"/>
    <w:rsid w:val="00BF1D16"/>
    <w:rsid w:val="00BF7F7B"/>
    <w:rsid w:val="00C01B6F"/>
    <w:rsid w:val="00C01DCC"/>
    <w:rsid w:val="00C03800"/>
    <w:rsid w:val="00C03E3F"/>
    <w:rsid w:val="00C04B56"/>
    <w:rsid w:val="00C067AD"/>
    <w:rsid w:val="00C114A4"/>
    <w:rsid w:val="00C11B97"/>
    <w:rsid w:val="00C11E24"/>
    <w:rsid w:val="00C12160"/>
    <w:rsid w:val="00C12D50"/>
    <w:rsid w:val="00C14928"/>
    <w:rsid w:val="00C14B5C"/>
    <w:rsid w:val="00C1671D"/>
    <w:rsid w:val="00C17FA3"/>
    <w:rsid w:val="00C202B3"/>
    <w:rsid w:val="00C21EE0"/>
    <w:rsid w:val="00C2275A"/>
    <w:rsid w:val="00C2373E"/>
    <w:rsid w:val="00C25B6D"/>
    <w:rsid w:val="00C262D5"/>
    <w:rsid w:val="00C30297"/>
    <w:rsid w:val="00C32B7B"/>
    <w:rsid w:val="00C4094C"/>
    <w:rsid w:val="00C53E1C"/>
    <w:rsid w:val="00C53E88"/>
    <w:rsid w:val="00C55B29"/>
    <w:rsid w:val="00C56A92"/>
    <w:rsid w:val="00C56BBC"/>
    <w:rsid w:val="00C57890"/>
    <w:rsid w:val="00C6001C"/>
    <w:rsid w:val="00C600FA"/>
    <w:rsid w:val="00C61C62"/>
    <w:rsid w:val="00C6346F"/>
    <w:rsid w:val="00C65D73"/>
    <w:rsid w:val="00C67472"/>
    <w:rsid w:val="00C704C0"/>
    <w:rsid w:val="00C71121"/>
    <w:rsid w:val="00C71163"/>
    <w:rsid w:val="00C711AC"/>
    <w:rsid w:val="00C72318"/>
    <w:rsid w:val="00C724E6"/>
    <w:rsid w:val="00C72618"/>
    <w:rsid w:val="00C72A06"/>
    <w:rsid w:val="00C73DE0"/>
    <w:rsid w:val="00C747A5"/>
    <w:rsid w:val="00C76759"/>
    <w:rsid w:val="00C76A04"/>
    <w:rsid w:val="00C779B4"/>
    <w:rsid w:val="00C80314"/>
    <w:rsid w:val="00C8133C"/>
    <w:rsid w:val="00C81496"/>
    <w:rsid w:val="00C8168D"/>
    <w:rsid w:val="00C8457C"/>
    <w:rsid w:val="00C8472B"/>
    <w:rsid w:val="00C85113"/>
    <w:rsid w:val="00C85314"/>
    <w:rsid w:val="00C87A96"/>
    <w:rsid w:val="00C9020C"/>
    <w:rsid w:val="00C90736"/>
    <w:rsid w:val="00C9073C"/>
    <w:rsid w:val="00C91803"/>
    <w:rsid w:val="00C950E5"/>
    <w:rsid w:val="00C96BCB"/>
    <w:rsid w:val="00CA0116"/>
    <w:rsid w:val="00CA0599"/>
    <w:rsid w:val="00CA08E1"/>
    <w:rsid w:val="00CA1F94"/>
    <w:rsid w:val="00CA29EC"/>
    <w:rsid w:val="00CA2C67"/>
    <w:rsid w:val="00CA4BC0"/>
    <w:rsid w:val="00CA5CA8"/>
    <w:rsid w:val="00CB0157"/>
    <w:rsid w:val="00CB155A"/>
    <w:rsid w:val="00CB1AE3"/>
    <w:rsid w:val="00CB3BEC"/>
    <w:rsid w:val="00CB5205"/>
    <w:rsid w:val="00CB6607"/>
    <w:rsid w:val="00CB7B92"/>
    <w:rsid w:val="00CB7E9A"/>
    <w:rsid w:val="00CC0098"/>
    <w:rsid w:val="00CC0D77"/>
    <w:rsid w:val="00CC2144"/>
    <w:rsid w:val="00CC455B"/>
    <w:rsid w:val="00CC4CC3"/>
    <w:rsid w:val="00CC4EC3"/>
    <w:rsid w:val="00CC559D"/>
    <w:rsid w:val="00CC6705"/>
    <w:rsid w:val="00CC7945"/>
    <w:rsid w:val="00CD06F8"/>
    <w:rsid w:val="00CD2EA3"/>
    <w:rsid w:val="00CD31CD"/>
    <w:rsid w:val="00CD39FE"/>
    <w:rsid w:val="00CD4094"/>
    <w:rsid w:val="00CD53F4"/>
    <w:rsid w:val="00CD654B"/>
    <w:rsid w:val="00CD6B7B"/>
    <w:rsid w:val="00CD7883"/>
    <w:rsid w:val="00CE16F9"/>
    <w:rsid w:val="00CE1DFD"/>
    <w:rsid w:val="00CE223E"/>
    <w:rsid w:val="00CE23E3"/>
    <w:rsid w:val="00CE6AAD"/>
    <w:rsid w:val="00CE789F"/>
    <w:rsid w:val="00CF0E97"/>
    <w:rsid w:val="00CF3F0D"/>
    <w:rsid w:val="00CF5E73"/>
    <w:rsid w:val="00D013CF"/>
    <w:rsid w:val="00D0499C"/>
    <w:rsid w:val="00D100D6"/>
    <w:rsid w:val="00D10684"/>
    <w:rsid w:val="00D11162"/>
    <w:rsid w:val="00D131BF"/>
    <w:rsid w:val="00D13882"/>
    <w:rsid w:val="00D145F5"/>
    <w:rsid w:val="00D1666E"/>
    <w:rsid w:val="00D237B8"/>
    <w:rsid w:val="00D26C0E"/>
    <w:rsid w:val="00D31430"/>
    <w:rsid w:val="00D31E75"/>
    <w:rsid w:val="00D33698"/>
    <w:rsid w:val="00D355F0"/>
    <w:rsid w:val="00D36204"/>
    <w:rsid w:val="00D415F9"/>
    <w:rsid w:val="00D41F4A"/>
    <w:rsid w:val="00D42A6C"/>
    <w:rsid w:val="00D430D5"/>
    <w:rsid w:val="00D43AC8"/>
    <w:rsid w:val="00D44B5A"/>
    <w:rsid w:val="00D4624F"/>
    <w:rsid w:val="00D50D4A"/>
    <w:rsid w:val="00D52AE3"/>
    <w:rsid w:val="00D56113"/>
    <w:rsid w:val="00D60043"/>
    <w:rsid w:val="00D63390"/>
    <w:rsid w:val="00D65B81"/>
    <w:rsid w:val="00D67140"/>
    <w:rsid w:val="00D75031"/>
    <w:rsid w:val="00D772DC"/>
    <w:rsid w:val="00D77A31"/>
    <w:rsid w:val="00D821D5"/>
    <w:rsid w:val="00D833D9"/>
    <w:rsid w:val="00D83BD9"/>
    <w:rsid w:val="00D83EB7"/>
    <w:rsid w:val="00D852AB"/>
    <w:rsid w:val="00D87332"/>
    <w:rsid w:val="00D90CE6"/>
    <w:rsid w:val="00D94129"/>
    <w:rsid w:val="00D94DCF"/>
    <w:rsid w:val="00D94EAE"/>
    <w:rsid w:val="00D969B5"/>
    <w:rsid w:val="00D97722"/>
    <w:rsid w:val="00DA1527"/>
    <w:rsid w:val="00DA2607"/>
    <w:rsid w:val="00DA3E92"/>
    <w:rsid w:val="00DA586F"/>
    <w:rsid w:val="00DA5CED"/>
    <w:rsid w:val="00DA74F0"/>
    <w:rsid w:val="00DA7968"/>
    <w:rsid w:val="00DB08DA"/>
    <w:rsid w:val="00DB0988"/>
    <w:rsid w:val="00DB18BD"/>
    <w:rsid w:val="00DB30C1"/>
    <w:rsid w:val="00DB43C8"/>
    <w:rsid w:val="00DB48DB"/>
    <w:rsid w:val="00DB7947"/>
    <w:rsid w:val="00DB7F09"/>
    <w:rsid w:val="00DB7FEE"/>
    <w:rsid w:val="00DC00E8"/>
    <w:rsid w:val="00DC14B6"/>
    <w:rsid w:val="00DC1C56"/>
    <w:rsid w:val="00DC1EA9"/>
    <w:rsid w:val="00DC2257"/>
    <w:rsid w:val="00DC4756"/>
    <w:rsid w:val="00DC4D14"/>
    <w:rsid w:val="00DC6379"/>
    <w:rsid w:val="00DC7B03"/>
    <w:rsid w:val="00DC7EB1"/>
    <w:rsid w:val="00DD20CE"/>
    <w:rsid w:val="00DD22ED"/>
    <w:rsid w:val="00DD3E40"/>
    <w:rsid w:val="00DD45B3"/>
    <w:rsid w:val="00DD4E0D"/>
    <w:rsid w:val="00DD4F08"/>
    <w:rsid w:val="00DD6988"/>
    <w:rsid w:val="00DE0B2E"/>
    <w:rsid w:val="00DE0EDC"/>
    <w:rsid w:val="00DE2BA8"/>
    <w:rsid w:val="00DE30FD"/>
    <w:rsid w:val="00DE3C77"/>
    <w:rsid w:val="00DE748F"/>
    <w:rsid w:val="00DF0013"/>
    <w:rsid w:val="00DF1817"/>
    <w:rsid w:val="00DF3239"/>
    <w:rsid w:val="00DF3C55"/>
    <w:rsid w:val="00DF4F57"/>
    <w:rsid w:val="00DF64A0"/>
    <w:rsid w:val="00DF6F61"/>
    <w:rsid w:val="00E00970"/>
    <w:rsid w:val="00E00B57"/>
    <w:rsid w:val="00E01913"/>
    <w:rsid w:val="00E02B65"/>
    <w:rsid w:val="00E05317"/>
    <w:rsid w:val="00E0532B"/>
    <w:rsid w:val="00E101C6"/>
    <w:rsid w:val="00E1251C"/>
    <w:rsid w:val="00E20A5A"/>
    <w:rsid w:val="00E21FDC"/>
    <w:rsid w:val="00E22D04"/>
    <w:rsid w:val="00E22D51"/>
    <w:rsid w:val="00E25698"/>
    <w:rsid w:val="00E317FC"/>
    <w:rsid w:val="00E31C86"/>
    <w:rsid w:val="00E33009"/>
    <w:rsid w:val="00E3451B"/>
    <w:rsid w:val="00E3489E"/>
    <w:rsid w:val="00E37FAE"/>
    <w:rsid w:val="00E40B87"/>
    <w:rsid w:val="00E40FF6"/>
    <w:rsid w:val="00E4108C"/>
    <w:rsid w:val="00E42462"/>
    <w:rsid w:val="00E424CC"/>
    <w:rsid w:val="00E45081"/>
    <w:rsid w:val="00E45474"/>
    <w:rsid w:val="00E45CA5"/>
    <w:rsid w:val="00E45FC7"/>
    <w:rsid w:val="00E46233"/>
    <w:rsid w:val="00E50C62"/>
    <w:rsid w:val="00E50E7C"/>
    <w:rsid w:val="00E51545"/>
    <w:rsid w:val="00E51C68"/>
    <w:rsid w:val="00E51D9E"/>
    <w:rsid w:val="00E51EA5"/>
    <w:rsid w:val="00E52073"/>
    <w:rsid w:val="00E528D6"/>
    <w:rsid w:val="00E529E2"/>
    <w:rsid w:val="00E537D1"/>
    <w:rsid w:val="00E544AF"/>
    <w:rsid w:val="00E5484C"/>
    <w:rsid w:val="00E559EC"/>
    <w:rsid w:val="00E567E6"/>
    <w:rsid w:val="00E56971"/>
    <w:rsid w:val="00E5777E"/>
    <w:rsid w:val="00E57CEE"/>
    <w:rsid w:val="00E6010B"/>
    <w:rsid w:val="00E61207"/>
    <w:rsid w:val="00E61373"/>
    <w:rsid w:val="00E61484"/>
    <w:rsid w:val="00E62696"/>
    <w:rsid w:val="00E63A57"/>
    <w:rsid w:val="00E65A85"/>
    <w:rsid w:val="00E66742"/>
    <w:rsid w:val="00E67329"/>
    <w:rsid w:val="00E67395"/>
    <w:rsid w:val="00E67675"/>
    <w:rsid w:val="00E711D7"/>
    <w:rsid w:val="00E72259"/>
    <w:rsid w:val="00E77323"/>
    <w:rsid w:val="00E778E8"/>
    <w:rsid w:val="00E815E1"/>
    <w:rsid w:val="00E81FB4"/>
    <w:rsid w:val="00E82B82"/>
    <w:rsid w:val="00E831C9"/>
    <w:rsid w:val="00E83D6E"/>
    <w:rsid w:val="00E84673"/>
    <w:rsid w:val="00E902B0"/>
    <w:rsid w:val="00E902E8"/>
    <w:rsid w:val="00E90943"/>
    <w:rsid w:val="00E90AEF"/>
    <w:rsid w:val="00E91D0A"/>
    <w:rsid w:val="00E9251D"/>
    <w:rsid w:val="00E9262F"/>
    <w:rsid w:val="00E959B4"/>
    <w:rsid w:val="00E95F1A"/>
    <w:rsid w:val="00E96CBD"/>
    <w:rsid w:val="00EA02EF"/>
    <w:rsid w:val="00EA04C8"/>
    <w:rsid w:val="00EA0800"/>
    <w:rsid w:val="00EA0DFE"/>
    <w:rsid w:val="00EA122F"/>
    <w:rsid w:val="00EA23AC"/>
    <w:rsid w:val="00EA69D0"/>
    <w:rsid w:val="00EA6D81"/>
    <w:rsid w:val="00EA7C3D"/>
    <w:rsid w:val="00EB1AFB"/>
    <w:rsid w:val="00EB4FCB"/>
    <w:rsid w:val="00EB5BD3"/>
    <w:rsid w:val="00EB5D36"/>
    <w:rsid w:val="00EB6878"/>
    <w:rsid w:val="00EB7B9E"/>
    <w:rsid w:val="00EC0701"/>
    <w:rsid w:val="00EC1E0E"/>
    <w:rsid w:val="00EC236D"/>
    <w:rsid w:val="00EC2CAB"/>
    <w:rsid w:val="00EC35CC"/>
    <w:rsid w:val="00EC3ADD"/>
    <w:rsid w:val="00EC52FD"/>
    <w:rsid w:val="00EC6B16"/>
    <w:rsid w:val="00ED2FFD"/>
    <w:rsid w:val="00ED300D"/>
    <w:rsid w:val="00ED3DD8"/>
    <w:rsid w:val="00EE00C1"/>
    <w:rsid w:val="00EE1447"/>
    <w:rsid w:val="00EE7524"/>
    <w:rsid w:val="00EE78B9"/>
    <w:rsid w:val="00EF0F9C"/>
    <w:rsid w:val="00EF145E"/>
    <w:rsid w:val="00EF1BB5"/>
    <w:rsid w:val="00EF2BBB"/>
    <w:rsid w:val="00EF2DDF"/>
    <w:rsid w:val="00EF35F1"/>
    <w:rsid w:val="00EF5A72"/>
    <w:rsid w:val="00EF6330"/>
    <w:rsid w:val="00EF66AB"/>
    <w:rsid w:val="00EF7D8A"/>
    <w:rsid w:val="00EF7F2C"/>
    <w:rsid w:val="00F00409"/>
    <w:rsid w:val="00F0082D"/>
    <w:rsid w:val="00F015AB"/>
    <w:rsid w:val="00F03993"/>
    <w:rsid w:val="00F03A04"/>
    <w:rsid w:val="00F053C7"/>
    <w:rsid w:val="00F07C90"/>
    <w:rsid w:val="00F10947"/>
    <w:rsid w:val="00F12170"/>
    <w:rsid w:val="00F148E0"/>
    <w:rsid w:val="00F14A56"/>
    <w:rsid w:val="00F15A57"/>
    <w:rsid w:val="00F17B86"/>
    <w:rsid w:val="00F22A03"/>
    <w:rsid w:val="00F233CB"/>
    <w:rsid w:val="00F24831"/>
    <w:rsid w:val="00F24881"/>
    <w:rsid w:val="00F31904"/>
    <w:rsid w:val="00F325A4"/>
    <w:rsid w:val="00F34E81"/>
    <w:rsid w:val="00F3709D"/>
    <w:rsid w:val="00F41670"/>
    <w:rsid w:val="00F42DD1"/>
    <w:rsid w:val="00F456DA"/>
    <w:rsid w:val="00F4733D"/>
    <w:rsid w:val="00F50D83"/>
    <w:rsid w:val="00F51AB1"/>
    <w:rsid w:val="00F54730"/>
    <w:rsid w:val="00F557C1"/>
    <w:rsid w:val="00F57361"/>
    <w:rsid w:val="00F57BED"/>
    <w:rsid w:val="00F606D5"/>
    <w:rsid w:val="00F65796"/>
    <w:rsid w:val="00F66419"/>
    <w:rsid w:val="00F67A97"/>
    <w:rsid w:val="00F67BF8"/>
    <w:rsid w:val="00F707B8"/>
    <w:rsid w:val="00F70C1B"/>
    <w:rsid w:val="00F72CBC"/>
    <w:rsid w:val="00F7369D"/>
    <w:rsid w:val="00F7487C"/>
    <w:rsid w:val="00F758C4"/>
    <w:rsid w:val="00F7613A"/>
    <w:rsid w:val="00F776DC"/>
    <w:rsid w:val="00F82746"/>
    <w:rsid w:val="00F836F9"/>
    <w:rsid w:val="00F845D7"/>
    <w:rsid w:val="00F84FA4"/>
    <w:rsid w:val="00F8515F"/>
    <w:rsid w:val="00F8617A"/>
    <w:rsid w:val="00F8626C"/>
    <w:rsid w:val="00F86CD4"/>
    <w:rsid w:val="00F907CA"/>
    <w:rsid w:val="00F91E74"/>
    <w:rsid w:val="00F92279"/>
    <w:rsid w:val="00F92675"/>
    <w:rsid w:val="00F92ABD"/>
    <w:rsid w:val="00F92DEF"/>
    <w:rsid w:val="00F93488"/>
    <w:rsid w:val="00F93D2F"/>
    <w:rsid w:val="00FA0651"/>
    <w:rsid w:val="00FA1A54"/>
    <w:rsid w:val="00FA1AA9"/>
    <w:rsid w:val="00FA4F58"/>
    <w:rsid w:val="00FA5158"/>
    <w:rsid w:val="00FA6A7F"/>
    <w:rsid w:val="00FB2C5D"/>
    <w:rsid w:val="00FB4D21"/>
    <w:rsid w:val="00FB523B"/>
    <w:rsid w:val="00FB762B"/>
    <w:rsid w:val="00FB780B"/>
    <w:rsid w:val="00FC1DC3"/>
    <w:rsid w:val="00FC6ADA"/>
    <w:rsid w:val="00FD0A8E"/>
    <w:rsid w:val="00FD3872"/>
    <w:rsid w:val="00FD3A8C"/>
    <w:rsid w:val="00FD473B"/>
    <w:rsid w:val="00FD6964"/>
    <w:rsid w:val="00FD6B50"/>
    <w:rsid w:val="00FD7DC4"/>
    <w:rsid w:val="00FE10CB"/>
    <w:rsid w:val="00FE469A"/>
    <w:rsid w:val="00FE6945"/>
    <w:rsid w:val="00FE76D4"/>
    <w:rsid w:val="00FF1D7E"/>
    <w:rsid w:val="00FF22EF"/>
    <w:rsid w:val="00FF458B"/>
    <w:rsid w:val="00FF69FE"/>
    <w:rsid w:val="00FF7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80F4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79"/>
    <w:pPr>
      <w:spacing w:before="180" w:after="18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0102F5"/>
    <w:pPr>
      <w:pBdr>
        <w:bottom w:val="single" w:sz="12" w:space="12" w:color="004A7F"/>
      </w:pBdr>
      <w:spacing w:after="360"/>
      <w:outlineLvl w:val="0"/>
    </w:pPr>
    <w:rPr>
      <w:b/>
      <w:bCs w:val="0"/>
      <w:caps/>
      <w:sz w:val="46"/>
    </w:rPr>
  </w:style>
  <w:style w:type="paragraph" w:styleId="Heading2">
    <w:name w:val="heading 2"/>
    <w:basedOn w:val="HeadingBase"/>
    <w:next w:val="Normal"/>
    <w:link w:val="Heading2Char"/>
    <w:qFormat/>
    <w:rsid w:val="00F86CD4"/>
    <w:pPr>
      <w:spacing w:before="240"/>
      <w:outlineLvl w:val="1"/>
    </w:pPr>
    <w:rPr>
      <w:bCs w:val="0"/>
      <w:iCs/>
      <w:sz w:val="36"/>
      <w:szCs w:val="28"/>
    </w:rPr>
  </w:style>
  <w:style w:type="paragraph" w:styleId="Heading3">
    <w:name w:val="heading 3"/>
    <w:basedOn w:val="HeadingBase"/>
    <w:next w:val="Normal"/>
    <w:link w:val="Heading3Char"/>
    <w:qFormat/>
    <w:rsid w:val="003E4D87"/>
    <w:pPr>
      <w:spacing w:before="240"/>
      <w:outlineLvl w:val="2"/>
    </w:pPr>
    <w:rPr>
      <w:bCs w:val="0"/>
      <w:color w:val="7F7F7F"/>
      <w:sz w:val="28"/>
      <w:szCs w:val="26"/>
    </w:rPr>
  </w:style>
  <w:style w:type="paragraph" w:styleId="Heading4">
    <w:name w:val="heading 4"/>
    <w:basedOn w:val="HeadingBase"/>
    <w:next w:val="Normal"/>
    <w:link w:val="Heading4Char"/>
    <w:qFormat/>
    <w:rsid w:val="002427F4"/>
    <w:pPr>
      <w:spacing w:before="120" w:after="180"/>
      <w:outlineLvl w:val="3"/>
    </w:pPr>
    <w:rPr>
      <w:b/>
      <w:bCs w:val="0"/>
      <w:color w:val="595959" w:themeColor="text1" w:themeTint="A6"/>
      <w:sz w:val="26"/>
      <w:szCs w:val="26"/>
    </w:rPr>
  </w:style>
  <w:style w:type="paragraph" w:styleId="Heading5">
    <w:name w:val="heading 5"/>
    <w:basedOn w:val="HeadingBase"/>
    <w:next w:val="Normal"/>
    <w:link w:val="Heading5Char"/>
    <w:qFormat/>
    <w:rsid w:val="00E66742"/>
    <w:pPr>
      <w:spacing w:before="180" w:after="180"/>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8">
    <w:name w:val="heading 8"/>
    <w:basedOn w:val="Normal"/>
    <w:next w:val="Normal"/>
    <w:link w:val="Heading8Char"/>
    <w:uiPriority w:val="9"/>
    <w:semiHidden/>
    <w:unhideWhenUsed/>
    <w:qFormat/>
    <w:rsid w:val="00E50C62"/>
    <w:pPr>
      <w:keepNext/>
      <w:keepLines/>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2F5"/>
    <w:rPr>
      <w:rFonts w:ascii="Calibri" w:eastAsia="Times New Roman" w:hAnsi="Calibri" w:cs="Arial"/>
      <w:b/>
      <w:caps/>
      <w:color w:val="004A7F"/>
      <w:kern w:val="32"/>
      <w:sz w:val="46"/>
      <w:szCs w:val="36"/>
      <w:lang w:eastAsia="en-AU"/>
    </w:rPr>
  </w:style>
  <w:style w:type="character" w:customStyle="1" w:styleId="Heading2Char">
    <w:name w:val="Heading 2 Char"/>
    <w:basedOn w:val="DefaultParagraphFont"/>
    <w:link w:val="Heading2"/>
    <w:rsid w:val="00F86CD4"/>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E4D87"/>
    <w:rPr>
      <w:rFonts w:ascii="Calibri" w:eastAsia="Times New Roman" w:hAnsi="Calibri" w:cs="Arial"/>
      <w:color w:val="7F7F7F"/>
      <w:kern w:val="32"/>
      <w:sz w:val="28"/>
      <w:szCs w:val="26"/>
      <w:lang w:eastAsia="en-AU"/>
    </w:rPr>
  </w:style>
  <w:style w:type="character" w:customStyle="1" w:styleId="Heading4Char">
    <w:name w:val="Heading 4 Char"/>
    <w:basedOn w:val="DefaultParagraphFont"/>
    <w:link w:val="Heading4"/>
    <w:rsid w:val="002427F4"/>
    <w:rPr>
      <w:rFonts w:ascii="Calibri" w:eastAsia="Times New Roman" w:hAnsi="Calibri" w:cs="Arial"/>
      <w:b/>
      <w:color w:val="595959" w:themeColor="text1" w:themeTint="A6"/>
      <w:kern w:val="32"/>
      <w:sz w:val="26"/>
      <w:szCs w:val="26"/>
      <w:lang w:eastAsia="en-AU"/>
    </w:rPr>
  </w:style>
  <w:style w:type="character" w:customStyle="1" w:styleId="Heading5Char">
    <w:name w:val="Heading 5 Char"/>
    <w:basedOn w:val="DefaultParagraphFont"/>
    <w:link w:val="Heading5"/>
    <w:rsid w:val="00E6674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TableGraphic"/>
    <w:next w:val="Normal"/>
    <w:qFormat/>
    <w:rsid w:val="005F3E79"/>
    <w:pPr>
      <w:jc w:val="center"/>
    </w:p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0E4938"/>
    <w:pPr>
      <w:keepNext/>
      <w:spacing w:before="120" w:after="120" w:line="240" w:lineRule="auto"/>
      <w:ind w:left="57" w:right="57"/>
      <w:jc w:val="left"/>
    </w:pPr>
    <w:rPr>
      <w:b/>
      <w:caps/>
      <w:color w:val="004A7F"/>
      <w:sz w:val="24"/>
      <w:szCs w:val="26"/>
    </w:rPr>
  </w:style>
  <w:style w:type="paragraph" w:customStyle="1" w:styleId="BoxText">
    <w:name w:val="Box Text"/>
    <w:basedOn w:val="Normal"/>
    <w:rsid w:val="00EB7B9E"/>
    <w:pPr>
      <w:spacing w:before="100" w:after="100" w:line="270" w:lineRule="exact"/>
      <w:ind w:left="57" w:right="57"/>
    </w:pPr>
    <w:rPr>
      <w:rFonts w:ascii="Arial" w:hAnsi="Arial" w:cs="Arial"/>
      <w:sz w:val="18"/>
      <w:szCs w:val="18"/>
    </w:rPr>
  </w:style>
  <w:style w:type="paragraph" w:customStyle="1" w:styleId="Bullet">
    <w:name w:val="Bullet"/>
    <w:basedOn w:val="Normal"/>
    <w:link w:val="BulletChar"/>
    <w:rsid w:val="00155E57"/>
    <w:pPr>
      <w:numPr>
        <w:numId w:val="1"/>
      </w:numPr>
      <w:tabs>
        <w:tab w:val="clear" w:pos="283"/>
        <w:tab w:val="left" w:pos="425"/>
      </w:tabs>
      <w:ind w:left="425" w:hanging="425"/>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528D6"/>
    <w:pPr>
      <w:jc w:val="center"/>
    </w:pPr>
  </w:style>
  <w:style w:type="paragraph" w:customStyle="1" w:styleId="ChartorTableNote">
    <w:name w:val="Chart or Table Note"/>
    <w:next w:val="Normal"/>
    <w:rsid w:val="00AC7B83"/>
    <w:pPr>
      <w:spacing w:after="40" w:line="240" w:lineRule="auto"/>
      <w:jc w:val="both"/>
    </w:pPr>
    <w:rPr>
      <w:rFonts w:ascii="Calibri" w:eastAsia="Times New Roman" w:hAnsi="Calibri" w:cs="Times New Roman"/>
      <w:color w:val="595959" w:themeColor="text1" w:themeTint="A6"/>
      <w:spacing w:val="-6"/>
      <w:sz w:val="18"/>
      <w:szCs w:val="20"/>
      <w:lang w:eastAsia="en-AU"/>
    </w:rPr>
  </w:style>
  <w:style w:type="paragraph" w:customStyle="1" w:styleId="ChartSecondHeading">
    <w:name w:val="Chart Second Heading"/>
    <w:basedOn w:val="TableSecondHeading"/>
    <w:next w:val="ChartGraphic"/>
    <w:rsid w:val="000E0B74"/>
  </w:style>
  <w:style w:type="paragraph" w:customStyle="1" w:styleId="ReportDate">
    <w:name w:val="Report Date"/>
    <w:basedOn w:val="Normal"/>
    <w:link w:val="ReportDateChar"/>
    <w:rsid w:val="005F3E79"/>
    <w:pPr>
      <w:keepNext/>
      <w:spacing w:before="0" w:after="360" w:line="240" w:lineRule="auto"/>
      <w:jc w:val="right"/>
    </w:pPr>
    <w:rPr>
      <w:b/>
      <w:caps/>
      <w:color w:val="004A7F"/>
      <w:sz w:val="44"/>
    </w:rPr>
  </w:style>
  <w:style w:type="paragraph" w:customStyle="1" w:styleId="Dash">
    <w:name w:val="Dash"/>
    <w:basedOn w:val="Normal"/>
    <w:link w:val="DashChar"/>
    <w:rsid w:val="00155E57"/>
    <w:pPr>
      <w:numPr>
        <w:ilvl w:val="1"/>
        <w:numId w:val="1"/>
      </w:numPr>
      <w:tabs>
        <w:tab w:val="clear" w:pos="567"/>
        <w:tab w:val="left" w:pos="851"/>
      </w:tabs>
      <w:ind w:left="850" w:hanging="425"/>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E528D6"/>
    <w:pPr>
      <w:spacing w:before="120" w:after="40"/>
      <w:outlineLvl w:val="9"/>
    </w:pPr>
    <w:rPr>
      <w:b/>
      <w:color w:val="595959" w:themeColor="text1" w:themeTint="A6"/>
    </w:rPr>
  </w:style>
  <w:style w:type="paragraph" w:customStyle="1" w:styleId="FooterEven">
    <w:name w:val="Footer Even"/>
    <w:basedOn w:val="Footer"/>
    <w:rsid w:val="00EE1447"/>
    <w:pPr>
      <w:keepNext/>
      <w:tabs>
        <w:tab w:val="clear" w:pos="4513"/>
        <w:tab w:val="clear" w:pos="9026"/>
      </w:tabs>
      <w:jc w:val="left"/>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3905E4"/>
    <w:rPr>
      <w:b/>
      <w:color w:val="004A7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5F3E79"/>
    <w:pPr>
      <w:spacing w:before="0" w:after="0" w:line="240" w:lineRule="auto"/>
    </w:pPr>
    <w:rPr>
      <w:sz w:val="12"/>
      <w:szCs w:val="12"/>
      <w:lang w:val="en-US"/>
    </w:rPr>
  </w:style>
  <w:style w:type="paragraph" w:customStyle="1" w:styleId="TableSecondHeading">
    <w:name w:val="Table Second Heading"/>
    <w:basedOn w:val="Normal"/>
    <w:next w:val="Normal"/>
    <w:rsid w:val="005F3E79"/>
    <w:pPr>
      <w:keepNext/>
      <w:spacing w:before="60" w:after="60" w:line="240" w:lineRule="auto"/>
      <w:jc w:val="center"/>
    </w:pPr>
    <w:rPr>
      <w:b/>
      <w:caps/>
      <w:color w:val="595959" w:themeColor="text1" w:themeTint="A6"/>
      <w:kern w:val="32"/>
      <w:sz w:val="19"/>
    </w:rPr>
  </w:style>
  <w:style w:type="paragraph" w:customStyle="1" w:styleId="TableColumnHeadingCentred">
    <w:name w:val="Table Column Heading Centred"/>
    <w:basedOn w:val="TableTextLeft"/>
    <w:rsid w:val="000B438C"/>
    <w:pPr>
      <w:spacing w:before="80" w:after="80"/>
      <w:jc w:val="center"/>
    </w:pPr>
    <w:rPr>
      <w:b/>
      <w:caps/>
      <w:color w:val="004A7F"/>
      <w:sz w:val="20"/>
    </w:rPr>
  </w:style>
  <w:style w:type="paragraph" w:customStyle="1" w:styleId="TableColumnHeadingLeft">
    <w:name w:val="Table Column Heading Left"/>
    <w:basedOn w:val="TableColumnHeadingCentred"/>
    <w:rsid w:val="00AF0916"/>
    <w:pPr>
      <w:jc w:val="left"/>
    </w:p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5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0B438C"/>
    <w:pPr>
      <w:spacing w:before="60" w:after="60" w:line="240" w:lineRule="auto"/>
      <w:jc w:val="center"/>
    </w:pPr>
    <w:rPr>
      <w:sz w:val="19"/>
      <w:szCs w:val="19"/>
    </w:rPr>
  </w:style>
  <w:style w:type="paragraph" w:customStyle="1" w:styleId="TableTextLeft">
    <w:name w:val="Table Text Left"/>
    <w:basedOn w:val="TableTextRight"/>
    <w:rsid w:val="00AF0916"/>
    <w:pPr>
      <w:spacing w:before="60" w:after="60" w:line="240" w:lineRule="auto"/>
      <w:jc w:val="left"/>
    </w:pPr>
    <w:rPr>
      <w:sz w:val="19"/>
    </w:r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814BD"/>
    <w:pPr>
      <w:keepNext/>
      <w:tabs>
        <w:tab w:val="right" w:leader="dot" w:pos="9072"/>
      </w:tabs>
      <w:spacing w:after="120" w:line="240" w:lineRule="auto"/>
    </w:pPr>
    <w:rPr>
      <w:b/>
      <w:caps/>
      <w:noProof/>
      <w:color w:val="004A7F"/>
      <w:szCs w:val="22"/>
    </w:rPr>
  </w:style>
  <w:style w:type="paragraph" w:styleId="TOC2">
    <w:name w:val="toc 2"/>
    <w:basedOn w:val="Normal"/>
    <w:next w:val="Normal"/>
    <w:uiPriority w:val="39"/>
    <w:qFormat/>
    <w:rsid w:val="008814BD"/>
    <w:pPr>
      <w:keepNext/>
      <w:tabs>
        <w:tab w:val="left" w:pos="660"/>
        <w:tab w:val="right" w:leader="dot" w:pos="9072"/>
      </w:tabs>
      <w:spacing w:before="100" w:after="60" w:line="240" w:lineRule="auto"/>
      <w:ind w:left="709" w:right="851" w:hanging="425"/>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38"/>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style>
  <w:style w:type="character" w:customStyle="1" w:styleId="SingleParagraphChar">
    <w:name w:val="Single Paragraph Char"/>
    <w:basedOn w:val="DefaultParagraphFont"/>
    <w:link w:val="SingleParagraph"/>
    <w:rsid w:val="005F3E79"/>
    <w:rPr>
      <w:rFonts w:ascii="Calibri" w:eastAsia="Times New Roman" w:hAnsi="Calibri" w:cs="Times New Roman"/>
      <w:sz w:val="12"/>
      <w:szCs w:val="12"/>
      <w:lang w:val="en-US" w:eastAsia="en-AU"/>
    </w:rPr>
  </w:style>
  <w:style w:type="paragraph" w:customStyle="1" w:styleId="Heading2Numbered">
    <w:name w:val="Heading 2 Numbered"/>
    <w:basedOn w:val="Heading2"/>
    <w:next w:val="Normal"/>
    <w:rsid w:val="002427F4"/>
    <w:pPr>
      <w:numPr>
        <w:numId w:val="8"/>
      </w:numPr>
    </w:pPr>
    <w:rPr>
      <w:b/>
      <w:smallCaps/>
      <w:color w:val="595959" w:themeColor="text1" w:themeTint="A6"/>
      <w:sz w:val="40"/>
    </w:rPr>
  </w:style>
  <w:style w:type="paragraph" w:customStyle="1" w:styleId="Heading3Numbered">
    <w:name w:val="Heading 3 Numbered"/>
    <w:basedOn w:val="Heading3"/>
    <w:qFormat/>
    <w:rsid w:val="002427F4"/>
    <w:pPr>
      <w:numPr>
        <w:ilvl w:val="1"/>
        <w:numId w:val="8"/>
      </w:numPr>
      <w:spacing w:after="180"/>
    </w:pPr>
    <w:rPr>
      <w:b/>
      <w:color w:val="004A7F"/>
      <w:sz w:val="32"/>
    </w:rPr>
  </w:style>
  <w:style w:type="paragraph" w:styleId="Title">
    <w:name w:val="Title"/>
    <w:basedOn w:val="Normal"/>
    <w:next w:val="Normal"/>
    <w:link w:val="TitleChar"/>
    <w:uiPriority w:val="10"/>
    <w:qFormat/>
    <w:rsid w:val="005F3E79"/>
    <w:pPr>
      <w:spacing w:before="0" w:after="240" w:line="240" w:lineRule="auto"/>
      <w:contextualSpacing/>
      <w:jc w:val="right"/>
    </w:pPr>
    <w:rPr>
      <w:rFonts w:eastAsiaTheme="majorEastAsia" w:cstheme="majorBidi"/>
      <w:b/>
      <w:caps/>
      <w:color w:val="004A7F"/>
      <w:spacing w:val="5"/>
      <w:kern w:val="28"/>
      <w:sz w:val="72"/>
      <w:szCs w:val="52"/>
    </w:rPr>
  </w:style>
  <w:style w:type="character" w:customStyle="1" w:styleId="TitleChar">
    <w:name w:val="Title Char"/>
    <w:basedOn w:val="DefaultParagraphFont"/>
    <w:link w:val="Title"/>
    <w:uiPriority w:val="10"/>
    <w:rsid w:val="005F3E79"/>
    <w:rPr>
      <w:rFonts w:ascii="Calibri" w:eastAsiaTheme="majorEastAsia" w:hAnsi="Calibri" w:cstheme="majorBidi"/>
      <w:b/>
      <w:caps/>
      <w:color w:val="004A7F"/>
      <w:spacing w:val="5"/>
      <w:kern w:val="28"/>
      <w:sz w:val="72"/>
      <w:szCs w:val="52"/>
      <w:lang w:eastAsia="en-AU"/>
    </w:rPr>
  </w:style>
  <w:style w:type="paragraph" w:styleId="Subtitle">
    <w:name w:val="Subtitle"/>
    <w:basedOn w:val="Normal"/>
    <w:next w:val="Normal"/>
    <w:link w:val="SubtitleChar"/>
    <w:uiPriority w:val="11"/>
    <w:qFormat/>
    <w:rsid w:val="005F3E79"/>
    <w:pPr>
      <w:numPr>
        <w:ilvl w:val="1"/>
      </w:numPr>
      <w:spacing w:line="240" w:lineRule="auto"/>
      <w:jc w:val="right"/>
    </w:pPr>
    <w:rPr>
      <w:rFonts w:eastAsiaTheme="majorEastAsia" w:cstheme="majorBidi"/>
      <w:b/>
      <w:iCs/>
      <w:color w:val="595959" w:themeColor="text1" w:themeTint="A6"/>
      <w:sz w:val="46"/>
      <w:szCs w:val="46"/>
    </w:rPr>
  </w:style>
  <w:style w:type="character" w:customStyle="1" w:styleId="SubtitleChar">
    <w:name w:val="Subtitle Char"/>
    <w:basedOn w:val="DefaultParagraphFont"/>
    <w:link w:val="Subtitle"/>
    <w:uiPriority w:val="11"/>
    <w:rsid w:val="005F3E79"/>
    <w:rPr>
      <w:rFonts w:ascii="Calibri" w:eastAsiaTheme="majorEastAsia" w:hAnsi="Calibri" w:cstheme="majorBidi"/>
      <w:b/>
      <w:iCs/>
      <w:color w:val="595959" w:themeColor="text1" w:themeTint="A6"/>
      <w:sz w:val="46"/>
      <w:szCs w:val="46"/>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475085"/>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5F3E79"/>
    <w:rPr>
      <w:rFonts w:ascii="Calibri" w:eastAsia="Times New Roman" w:hAnsi="Calibri" w:cs="Times New Roman"/>
      <w:b/>
      <w:caps/>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val="0"/>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8814BD"/>
    <w:pPr>
      <w:tabs>
        <w:tab w:val="left" w:pos="567"/>
      </w:tabs>
    </w:pPr>
    <w:rPr>
      <w:color w:val="004A7F"/>
      <w:sz w:val="24"/>
    </w:rPr>
  </w:style>
  <w:style w:type="paragraph" w:customStyle="1" w:styleId="TableGraphic">
    <w:name w:val="Table Graphic"/>
    <w:basedOn w:val="HeadingBase"/>
    <w:next w:val="Normal"/>
    <w:qFormat/>
    <w:rsid w:val="00827D31"/>
    <w:pPr>
      <w:spacing w:after="0"/>
    </w:pPr>
    <w:rPr>
      <w:sz w:val="20"/>
    </w:rPr>
  </w:style>
  <w:style w:type="paragraph" w:customStyle="1" w:styleId="HeaderEven">
    <w:name w:val="Header Even"/>
    <w:basedOn w:val="Header"/>
    <w:qFormat/>
    <w:rsid w:val="00A12F62"/>
    <w:pPr>
      <w:jc w:val="left"/>
    </w:pPr>
  </w:style>
  <w:style w:type="paragraph" w:customStyle="1" w:styleId="HeaderOdd">
    <w:name w:val="Header Odd"/>
    <w:basedOn w:val="Header"/>
    <w:qFormat/>
    <w:rsid w:val="00A12F62"/>
  </w:style>
  <w:style w:type="paragraph" w:styleId="FootnoteText">
    <w:name w:val="footnote text"/>
    <w:basedOn w:val="Normal"/>
    <w:link w:val="FootnoteTextChar"/>
    <w:uiPriority w:val="99"/>
    <w:rsid w:val="00AC7B83"/>
    <w:pPr>
      <w:tabs>
        <w:tab w:val="left" w:pos="284"/>
      </w:tabs>
      <w:spacing w:before="0" w:after="40" w:line="240" w:lineRule="auto"/>
      <w:ind w:left="284" w:hanging="284"/>
    </w:pPr>
    <w:rPr>
      <w:rFonts w:cs="Calibri"/>
      <w:color w:val="212121"/>
      <w:spacing w:val="4"/>
      <w:sz w:val="20"/>
    </w:rPr>
  </w:style>
  <w:style w:type="character" w:customStyle="1" w:styleId="FootnoteTextChar">
    <w:name w:val="Footnote Text Char"/>
    <w:basedOn w:val="DefaultParagraphFont"/>
    <w:link w:val="FootnoteText"/>
    <w:uiPriority w:val="99"/>
    <w:rsid w:val="00AC7B83"/>
    <w:rPr>
      <w:rFonts w:ascii="Calibri" w:eastAsia="Times New Roman" w:hAnsi="Calibri" w:cs="Calibri"/>
      <w:color w:val="212121"/>
      <w:spacing w:val="4"/>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CommentReference">
    <w:name w:val="annotation reference"/>
    <w:basedOn w:val="DefaultParagraphFont"/>
    <w:uiPriority w:val="99"/>
    <w:rsid w:val="008A5743"/>
    <w:rPr>
      <w:sz w:val="16"/>
      <w:szCs w:val="16"/>
    </w:rPr>
  </w:style>
  <w:style w:type="paragraph" w:styleId="CommentText">
    <w:name w:val="annotation text"/>
    <w:basedOn w:val="Normal"/>
    <w:link w:val="CommentTextChar"/>
    <w:uiPriority w:val="99"/>
    <w:rsid w:val="008A5743"/>
    <w:pPr>
      <w:spacing w:before="0" w:after="240"/>
    </w:pPr>
    <w:rPr>
      <w:rFonts w:eastAsiaTheme="minorHAnsi" w:cstheme="minorBidi"/>
      <w:color w:val="000000" w:themeColor="text1"/>
      <w:sz w:val="20"/>
      <w:szCs w:val="22"/>
      <w:lang w:eastAsia="en-US"/>
    </w:rPr>
  </w:style>
  <w:style w:type="character" w:customStyle="1" w:styleId="CommentTextChar">
    <w:name w:val="Comment Text Char"/>
    <w:basedOn w:val="DefaultParagraphFont"/>
    <w:link w:val="CommentText"/>
    <w:uiPriority w:val="99"/>
    <w:rsid w:val="008A5743"/>
    <w:rPr>
      <w:rFonts w:ascii="Calibri" w:hAnsi="Calibri"/>
      <w:color w:val="000000" w:themeColor="text1"/>
      <w:sz w:val="20"/>
    </w:rPr>
  </w:style>
  <w:style w:type="paragraph" w:styleId="ListParagraph">
    <w:name w:val="List Paragraph"/>
    <w:basedOn w:val="Normal"/>
    <w:uiPriority w:val="34"/>
    <w:qFormat/>
    <w:rsid w:val="008A5743"/>
    <w:pPr>
      <w:ind w:left="720"/>
      <w:contextualSpacing/>
    </w:pPr>
  </w:style>
  <w:style w:type="character" w:customStyle="1" w:styleId="Heading8Char">
    <w:name w:val="Heading 8 Char"/>
    <w:basedOn w:val="DefaultParagraphFont"/>
    <w:link w:val="Heading8"/>
    <w:uiPriority w:val="9"/>
    <w:semiHidden/>
    <w:rsid w:val="00E50C62"/>
    <w:rPr>
      <w:rFonts w:asciiTheme="majorHAnsi" w:eastAsiaTheme="majorEastAsia" w:hAnsiTheme="majorHAnsi" w:cstheme="majorBidi"/>
      <w:color w:val="404040" w:themeColor="text1" w:themeTint="BF"/>
      <w:sz w:val="20"/>
      <w:szCs w:val="20"/>
      <w:lang w:eastAsia="en-AU"/>
    </w:rPr>
  </w:style>
  <w:style w:type="paragraph" w:styleId="NormalWeb">
    <w:name w:val="Normal (Web)"/>
    <w:basedOn w:val="Normal"/>
    <w:uiPriority w:val="99"/>
    <w:semiHidden/>
    <w:unhideWhenUsed/>
    <w:rsid w:val="00E50C62"/>
    <w:rPr>
      <w:rFonts w:ascii="Times New Roman" w:hAnsi="Times New Roman"/>
      <w:sz w:val="24"/>
      <w:szCs w:val="24"/>
    </w:rPr>
  </w:style>
  <w:style w:type="paragraph" w:styleId="Caption">
    <w:name w:val="caption"/>
    <w:basedOn w:val="Normal"/>
    <w:next w:val="Normal"/>
    <w:uiPriority w:val="35"/>
    <w:unhideWhenUsed/>
    <w:qFormat/>
    <w:rsid w:val="00E50C62"/>
    <w:pPr>
      <w:spacing w:before="0" w:after="240"/>
    </w:pPr>
    <w:rPr>
      <w:rFonts w:eastAsiaTheme="minorHAnsi" w:cstheme="minorBidi"/>
      <w:b/>
      <w:bCs/>
      <w:color w:val="003157"/>
      <w:sz w:val="18"/>
      <w:szCs w:val="18"/>
      <w:lang w:eastAsia="en-US"/>
    </w:rPr>
  </w:style>
  <w:style w:type="paragraph" w:customStyle="1" w:styleId="tabletext">
    <w:name w:val="table text"/>
    <w:basedOn w:val="Normal"/>
    <w:qFormat/>
    <w:rsid w:val="004D189B"/>
    <w:pPr>
      <w:framePr w:hSpace="180" w:wrap="around" w:vAnchor="text" w:hAnchor="page" w:x="1090" w:y="1168"/>
      <w:spacing w:before="0" w:after="0"/>
    </w:pPr>
    <w:rPr>
      <w:color w:val="000000"/>
      <w:sz w:val="20"/>
      <w:szCs w:val="24"/>
      <w:lang w:val="en-GB" w:eastAsia="en-GB"/>
    </w:rPr>
  </w:style>
  <w:style w:type="paragraph" w:styleId="ListBullet">
    <w:name w:val="List Bullet"/>
    <w:basedOn w:val="Normal"/>
    <w:uiPriority w:val="99"/>
    <w:unhideWhenUsed/>
    <w:rsid w:val="004D189B"/>
    <w:pPr>
      <w:numPr>
        <w:numId w:val="20"/>
      </w:numPr>
      <w:spacing w:before="0" w:after="240"/>
    </w:pPr>
    <w:rPr>
      <w:rFonts w:eastAsiaTheme="minorHAnsi" w:cstheme="minorBidi"/>
      <w:color w:val="000000" w:themeColor="text1"/>
      <w:sz w:val="20"/>
      <w:szCs w:val="22"/>
      <w:lang w:eastAsia="en-US"/>
    </w:rPr>
  </w:style>
  <w:style w:type="numbering" w:customStyle="1" w:styleId="ListBullets">
    <w:name w:val="ListBullets"/>
    <w:rsid w:val="004D189B"/>
    <w:pPr>
      <w:numPr>
        <w:numId w:val="20"/>
      </w:numPr>
    </w:pPr>
  </w:style>
  <w:style w:type="paragraph" w:styleId="ListBullet2">
    <w:name w:val="List Bullet 2"/>
    <w:basedOn w:val="Normal"/>
    <w:uiPriority w:val="99"/>
    <w:unhideWhenUsed/>
    <w:rsid w:val="004D189B"/>
    <w:pPr>
      <w:numPr>
        <w:ilvl w:val="1"/>
        <w:numId w:val="20"/>
      </w:numPr>
      <w:spacing w:before="0" w:after="240"/>
      <w:contextualSpacing/>
    </w:pPr>
    <w:rPr>
      <w:rFonts w:eastAsiaTheme="minorHAnsi" w:cstheme="minorBidi"/>
      <w:color w:val="000000" w:themeColor="text1"/>
      <w:sz w:val="20"/>
      <w:szCs w:val="22"/>
      <w:lang w:eastAsia="en-US"/>
    </w:rPr>
  </w:style>
  <w:style w:type="paragraph" w:styleId="ListBullet3">
    <w:name w:val="List Bullet 3"/>
    <w:basedOn w:val="Normal"/>
    <w:uiPriority w:val="99"/>
    <w:unhideWhenUsed/>
    <w:rsid w:val="004D189B"/>
    <w:pPr>
      <w:numPr>
        <w:ilvl w:val="2"/>
        <w:numId w:val="20"/>
      </w:numPr>
      <w:spacing w:before="0" w:after="240"/>
      <w:contextualSpacing/>
    </w:pPr>
    <w:rPr>
      <w:rFonts w:eastAsiaTheme="minorHAnsi" w:cstheme="minorBidi"/>
      <w:color w:val="000000" w:themeColor="text1"/>
      <w:sz w:val="20"/>
      <w:szCs w:val="22"/>
      <w:lang w:eastAsia="en-US"/>
    </w:rPr>
  </w:style>
  <w:style w:type="paragraph" w:styleId="ListBullet4">
    <w:name w:val="List Bullet 4"/>
    <w:basedOn w:val="Normal"/>
    <w:uiPriority w:val="99"/>
    <w:unhideWhenUsed/>
    <w:rsid w:val="004D189B"/>
    <w:pPr>
      <w:numPr>
        <w:ilvl w:val="3"/>
        <w:numId w:val="20"/>
      </w:numPr>
      <w:spacing w:before="0" w:after="240"/>
      <w:contextualSpacing/>
    </w:pPr>
    <w:rPr>
      <w:rFonts w:eastAsiaTheme="minorHAnsi" w:cstheme="minorBidi"/>
      <w:color w:val="000000" w:themeColor="text1"/>
      <w:sz w:val="20"/>
      <w:szCs w:val="22"/>
      <w:lang w:eastAsia="en-US"/>
    </w:rPr>
  </w:style>
  <w:style w:type="paragraph" w:styleId="ListBullet5">
    <w:name w:val="List Bullet 5"/>
    <w:basedOn w:val="Normal"/>
    <w:uiPriority w:val="99"/>
    <w:unhideWhenUsed/>
    <w:rsid w:val="004D189B"/>
    <w:pPr>
      <w:numPr>
        <w:ilvl w:val="4"/>
        <w:numId w:val="20"/>
      </w:numPr>
      <w:spacing w:before="0" w:after="240"/>
      <w:contextualSpacing/>
    </w:pPr>
    <w:rPr>
      <w:rFonts w:eastAsiaTheme="minorHAnsi" w:cstheme="minorBidi"/>
      <w:color w:val="000000" w:themeColor="text1"/>
      <w:sz w:val="20"/>
      <w:szCs w:val="22"/>
      <w:lang w:eastAsia="en-US"/>
    </w:rPr>
  </w:style>
  <w:style w:type="paragraph" w:customStyle="1" w:styleId="Default">
    <w:name w:val="Default"/>
    <w:rsid w:val="004D189B"/>
    <w:pPr>
      <w:autoSpaceDE w:val="0"/>
      <w:autoSpaceDN w:val="0"/>
      <w:adjustRightInd w:val="0"/>
      <w:spacing w:after="0" w:line="240" w:lineRule="auto"/>
    </w:pPr>
    <w:rPr>
      <w:rFonts w:ascii="Arial" w:hAnsi="Arial" w:cs="Arial"/>
      <w:color w:val="000000"/>
      <w:sz w:val="24"/>
      <w:szCs w:val="24"/>
    </w:rPr>
  </w:style>
  <w:style w:type="paragraph" w:customStyle="1" w:styleId="AMTsourcenokeepwithnext">
    <w:name w:val="AMT source no keep with next"/>
    <w:basedOn w:val="Normal"/>
    <w:link w:val="AMTsourcenokeepwithnextChar"/>
    <w:uiPriority w:val="1"/>
    <w:qFormat/>
    <w:rsid w:val="004D189B"/>
    <w:pPr>
      <w:keepLines/>
      <w:spacing w:before="20" w:after="20"/>
      <w:ind w:right="-357"/>
    </w:pPr>
    <w:rPr>
      <w:rFonts w:asciiTheme="minorHAnsi" w:eastAsiaTheme="minorHAnsi" w:hAnsiTheme="minorHAnsi" w:cstheme="minorBidi"/>
      <w:sz w:val="17"/>
      <w:szCs w:val="22"/>
      <w:lang w:eastAsia="en-US"/>
    </w:rPr>
  </w:style>
  <w:style w:type="character" w:customStyle="1" w:styleId="AMTsourcenokeepwithnextChar">
    <w:name w:val="AMT source no keep with next Char"/>
    <w:basedOn w:val="DefaultParagraphFont"/>
    <w:link w:val="AMTsourcenokeepwithnext"/>
    <w:uiPriority w:val="1"/>
    <w:rsid w:val="004D189B"/>
    <w:rPr>
      <w:sz w:val="17"/>
    </w:rPr>
  </w:style>
  <w:style w:type="character" w:customStyle="1" w:styleId="BulletChar">
    <w:name w:val="Bullet Char"/>
    <w:basedOn w:val="DefaultParagraphFont"/>
    <w:link w:val="Bullet"/>
    <w:rsid w:val="00155E57"/>
    <w:rPr>
      <w:rFonts w:ascii="Calibri" w:eastAsia="Times New Roman" w:hAnsi="Calibri" w:cs="Times New Roman"/>
      <w:szCs w:val="20"/>
      <w:lang w:eastAsia="en-AU"/>
    </w:rPr>
  </w:style>
  <w:style w:type="paragraph" w:customStyle="1" w:styleId="CaptionandTableFootnoteAlpha">
    <w:name w:val="Caption and Table Footnote Alpha"/>
    <w:basedOn w:val="Normal"/>
    <w:next w:val="Normal"/>
    <w:rsid w:val="004D189B"/>
    <w:pPr>
      <w:keepNext/>
      <w:numPr>
        <w:numId w:val="22"/>
      </w:numPr>
      <w:spacing w:before="0" w:after="0" w:line="260" w:lineRule="exact"/>
    </w:pPr>
    <w:rPr>
      <w:rFonts w:asciiTheme="minorHAnsi" w:eastAsiaTheme="minorHAnsi" w:hAnsiTheme="minorHAnsi" w:cstheme="minorBidi"/>
      <w:kern w:val="28"/>
      <w:sz w:val="20"/>
      <w:szCs w:val="22"/>
      <w:lang w:eastAsia="en-US"/>
    </w:rPr>
  </w:style>
  <w:style w:type="table" w:customStyle="1" w:styleId="TableGrid2">
    <w:name w:val="Table Grid2"/>
    <w:basedOn w:val="TableNormal"/>
    <w:next w:val="TableGrid"/>
    <w:uiPriority w:val="59"/>
    <w:rsid w:val="004D189B"/>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155E57"/>
    <w:pPr>
      <w:spacing w:line="240" w:lineRule="auto"/>
      <w:ind w:left="567" w:right="565"/>
    </w:pPr>
    <w:rPr>
      <w:i/>
      <w:iCs/>
      <w:color w:val="000000" w:themeColor="text1"/>
    </w:rPr>
  </w:style>
  <w:style w:type="character" w:customStyle="1" w:styleId="QuoteChar">
    <w:name w:val="Quote Char"/>
    <w:basedOn w:val="DefaultParagraphFont"/>
    <w:link w:val="Quote"/>
    <w:uiPriority w:val="29"/>
    <w:rsid w:val="00155E57"/>
    <w:rPr>
      <w:rFonts w:ascii="Calibri" w:eastAsia="Times New Roman" w:hAnsi="Calibri" w:cs="Times New Roman"/>
      <w:i/>
      <w:iCs/>
      <w:color w:val="000000" w:themeColor="text1"/>
      <w:szCs w:val="20"/>
      <w:lang w:eastAsia="en-AU"/>
    </w:rPr>
  </w:style>
  <w:style w:type="paragraph" w:customStyle="1" w:styleId="References">
    <w:name w:val="References"/>
    <w:basedOn w:val="Normal"/>
    <w:qFormat/>
    <w:rsid w:val="008415B8"/>
    <w:pPr>
      <w:widowControl w:val="0"/>
      <w:adjustRightInd w:val="0"/>
      <w:spacing w:before="0" w:after="240"/>
      <w:textAlignment w:val="baseline"/>
    </w:pPr>
    <w:rPr>
      <w:rFonts w:eastAsiaTheme="minorHAnsi" w:cstheme="minorBidi"/>
      <w:color w:val="000000" w:themeColor="text1"/>
      <w:sz w:val="20"/>
      <w:szCs w:val="22"/>
      <w:lang w:eastAsia="en-US"/>
    </w:rPr>
  </w:style>
  <w:style w:type="paragraph" w:styleId="CommentSubject">
    <w:name w:val="annotation subject"/>
    <w:basedOn w:val="CommentText"/>
    <w:next w:val="CommentText"/>
    <w:link w:val="CommentSubjectChar"/>
    <w:uiPriority w:val="99"/>
    <w:semiHidden/>
    <w:unhideWhenUsed/>
    <w:rsid w:val="00CC4EC3"/>
    <w:pPr>
      <w:spacing w:before="120" w:after="120" w:line="240" w:lineRule="auto"/>
      <w:jc w:val="left"/>
    </w:pPr>
    <w:rPr>
      <w:rFonts w:eastAsia="Times New Roman" w:cs="Times New Roman"/>
      <w:b/>
      <w:bCs/>
      <w:color w:val="auto"/>
      <w:szCs w:val="20"/>
      <w:lang w:eastAsia="en-AU"/>
    </w:rPr>
  </w:style>
  <w:style w:type="character" w:customStyle="1" w:styleId="CommentSubjectChar">
    <w:name w:val="Comment Subject Char"/>
    <w:basedOn w:val="CommentTextChar"/>
    <w:link w:val="CommentSubject"/>
    <w:uiPriority w:val="99"/>
    <w:semiHidden/>
    <w:rsid w:val="00CC4EC3"/>
    <w:rPr>
      <w:rFonts w:ascii="Calibri" w:eastAsia="Times New Roman" w:hAnsi="Calibri" w:cs="Times New Roman"/>
      <w:b/>
      <w:bCs/>
      <w:color w:val="000000" w:themeColor="text1"/>
      <w:sz w:val="20"/>
      <w:szCs w:val="20"/>
      <w:lang w:eastAsia="en-AU"/>
    </w:rPr>
  </w:style>
  <w:style w:type="paragraph" w:styleId="Revision">
    <w:name w:val="Revision"/>
    <w:hidden/>
    <w:uiPriority w:val="99"/>
    <w:semiHidden/>
    <w:rsid w:val="00E45CA5"/>
    <w:pPr>
      <w:spacing w:after="0" w:line="240" w:lineRule="auto"/>
    </w:pPr>
    <w:rPr>
      <w:rFonts w:ascii="Calibri" w:eastAsia="Times New Roman" w:hAnsi="Calibri" w:cs="Times New Roman"/>
      <w:szCs w:val="20"/>
      <w:lang w:eastAsia="en-AU"/>
    </w:rPr>
  </w:style>
  <w:style w:type="character" w:customStyle="1" w:styleId="DashChar">
    <w:name w:val="Dash Char"/>
    <w:basedOn w:val="DefaultParagraphFont"/>
    <w:link w:val="Dash"/>
    <w:rsid w:val="00155E57"/>
    <w:rPr>
      <w:rFonts w:ascii="Calibri" w:eastAsia="Times New Roman" w:hAnsi="Calibri" w:cs="Times New Roman"/>
      <w:szCs w:val="20"/>
      <w:lang w:eastAsia="en-AU"/>
    </w:rPr>
  </w:style>
  <w:style w:type="character" w:styleId="HTMLCite">
    <w:name w:val="HTML Cite"/>
    <w:basedOn w:val="DefaultParagraphFont"/>
    <w:uiPriority w:val="99"/>
    <w:semiHidden/>
    <w:unhideWhenUsed/>
    <w:rsid w:val="00C53E88"/>
    <w:rPr>
      <w:i/>
      <w:iCs/>
    </w:rPr>
  </w:style>
  <w:style w:type="character" w:styleId="FollowedHyperlink">
    <w:name w:val="FollowedHyperlink"/>
    <w:basedOn w:val="DefaultParagraphFont"/>
    <w:uiPriority w:val="99"/>
    <w:semiHidden/>
    <w:unhideWhenUsed/>
    <w:rsid w:val="00C53E88"/>
    <w:rPr>
      <w:color w:val="954F72" w:themeColor="followedHyperlink"/>
      <w:u w:val="single"/>
    </w:rPr>
  </w:style>
  <w:style w:type="character" w:styleId="Emphasis">
    <w:name w:val="Emphasis"/>
    <w:basedOn w:val="DefaultParagraphFont"/>
    <w:uiPriority w:val="20"/>
    <w:qFormat/>
    <w:rsid w:val="002530CE"/>
    <w:rPr>
      <w:i/>
      <w:iCs/>
    </w:rPr>
  </w:style>
  <w:style w:type="character" w:customStyle="1" w:styleId="CommentTextChar1">
    <w:name w:val="Comment Text Char1"/>
    <w:semiHidden/>
    <w:locked/>
    <w:rsid w:val="00486346"/>
    <w:rPr>
      <w:rFonts w:ascii="Calibri" w:eastAsia="Times New Roman" w:hAnsi="Calibri" w:cs="Times New Roman"/>
      <w:sz w:val="20"/>
      <w:szCs w:val="20"/>
      <w:lang w:eastAsia="en-US"/>
    </w:rPr>
  </w:style>
  <w:style w:type="paragraph" w:customStyle="1" w:styleId="TableTextBullet">
    <w:name w:val="Table Text Bullet"/>
    <w:basedOn w:val="Normal"/>
    <w:rsid w:val="007B55E5"/>
    <w:pPr>
      <w:numPr>
        <w:numId w:val="31"/>
      </w:numPr>
      <w:spacing w:before="40" w:after="40"/>
    </w:pPr>
    <w:rPr>
      <w:rFonts w:asciiTheme="minorHAnsi" w:hAnsiTheme="minorHAnsi"/>
      <w:sz w:val="20"/>
    </w:rPr>
  </w:style>
  <w:style w:type="numbering" w:customStyle="1" w:styleId="TableTextBulletList">
    <w:name w:val="Table Text Bullet List"/>
    <w:uiPriority w:val="99"/>
    <w:rsid w:val="007B55E5"/>
    <w:pPr>
      <w:numPr>
        <w:numId w:val="31"/>
      </w:numPr>
    </w:pPr>
  </w:style>
  <w:style w:type="paragraph" w:customStyle="1" w:styleId="Heading1-NoTOC">
    <w:name w:val="Heading 1 - No TOC"/>
    <w:basedOn w:val="Heading1"/>
    <w:rsid w:val="00F86CD4"/>
    <w:pPr>
      <w:outlineLvl w:val="9"/>
    </w:pPr>
  </w:style>
  <w:style w:type="paragraph" w:customStyle="1" w:styleId="Bullet-IndentFN">
    <w:name w:val="Bullet - Indent FN"/>
    <w:basedOn w:val="Bullet"/>
    <w:rsid w:val="005A6C3A"/>
    <w:pPr>
      <w:keepNext/>
      <w:keepLines/>
      <w:tabs>
        <w:tab w:val="left" w:pos="567"/>
      </w:tabs>
      <w:spacing w:after="0"/>
      <w:ind w:left="568"/>
    </w:pPr>
    <w:rPr>
      <w:rFonts w:cs="Calibri"/>
      <w:color w:val="212121"/>
      <w:sz w:val="18"/>
    </w:rPr>
  </w:style>
  <w:style w:type="paragraph" w:customStyle="1" w:styleId="Sub-Subtitle">
    <w:name w:val="Sub-Subtitle"/>
    <w:basedOn w:val="Subtitle"/>
    <w:rsid w:val="00C17FA3"/>
    <w:pPr>
      <w:spacing w:after="360" w:line="400" w:lineRule="exact"/>
      <w:contextualSpacing/>
    </w:pPr>
    <w:rPr>
      <w:sz w:val="28"/>
    </w:rPr>
  </w:style>
  <w:style w:type="paragraph" w:customStyle="1" w:styleId="Heading2-NoTOC">
    <w:name w:val="Heading 2 - No TOC"/>
    <w:basedOn w:val="Heading2"/>
    <w:rsid w:val="00C17FA3"/>
    <w:pPr>
      <w:spacing w:after="180"/>
      <w:outlineLvl w:val="9"/>
    </w:pPr>
    <w:rPr>
      <w:b/>
      <w:color w:val="595959" w:themeColor="text1" w:themeTint="A6"/>
    </w:rPr>
  </w:style>
  <w:style w:type="paragraph" w:customStyle="1" w:styleId="ChartGraphic-Text">
    <w:name w:val="Chart Graphic - Text"/>
    <w:basedOn w:val="ChartGraphic"/>
    <w:rsid w:val="00827D31"/>
    <w:pPr>
      <w:spacing w:after="120"/>
      <w:ind w:left="33"/>
      <w:jc w:val="both"/>
    </w:pPr>
    <w:rPr>
      <w:rFonts w:cs="Times New Roman"/>
      <w:bCs w:val="0"/>
      <w:color w:val="auto"/>
      <w:kern w:val="0"/>
      <w:szCs w:val="20"/>
      <w:lang w:val="en-US"/>
    </w:rPr>
  </w:style>
  <w:style w:type="paragraph" w:customStyle="1" w:styleId="FootnoteText-Bullet">
    <w:name w:val="Footnote Text - Bullet"/>
    <w:basedOn w:val="Bullet-IndentFN"/>
    <w:rsid w:val="00AC7B83"/>
    <w:pPr>
      <w:tabs>
        <w:tab w:val="clear" w:pos="425"/>
      </w:tabs>
      <w:spacing w:before="0" w:after="40" w:line="240" w:lineRule="auto"/>
      <w:ind w:left="567" w:hanging="283"/>
    </w:pPr>
    <w:rPr>
      <w:spacing w:val="4"/>
      <w:sz w:val="20"/>
    </w:rPr>
  </w:style>
  <w:style w:type="paragraph" w:customStyle="1" w:styleId="TableTextZero">
    <w:name w:val="Table Text Zero"/>
    <w:basedOn w:val="TableTextLeft"/>
    <w:rsid w:val="00F148E0"/>
    <w:pPr>
      <w:spacing w:before="0" w:after="0"/>
    </w:pPr>
    <w:rPr>
      <w:sz w:val="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79"/>
    <w:pPr>
      <w:spacing w:before="180" w:after="18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0102F5"/>
    <w:pPr>
      <w:pBdr>
        <w:bottom w:val="single" w:sz="12" w:space="12" w:color="004A7F"/>
      </w:pBdr>
      <w:spacing w:after="360"/>
      <w:outlineLvl w:val="0"/>
    </w:pPr>
    <w:rPr>
      <w:b/>
      <w:bCs w:val="0"/>
      <w:caps/>
      <w:sz w:val="46"/>
    </w:rPr>
  </w:style>
  <w:style w:type="paragraph" w:styleId="Heading2">
    <w:name w:val="heading 2"/>
    <w:basedOn w:val="HeadingBase"/>
    <w:next w:val="Normal"/>
    <w:link w:val="Heading2Char"/>
    <w:qFormat/>
    <w:rsid w:val="00F86CD4"/>
    <w:pPr>
      <w:spacing w:before="240"/>
      <w:outlineLvl w:val="1"/>
    </w:pPr>
    <w:rPr>
      <w:bCs w:val="0"/>
      <w:iCs/>
      <w:sz w:val="36"/>
      <w:szCs w:val="28"/>
    </w:rPr>
  </w:style>
  <w:style w:type="paragraph" w:styleId="Heading3">
    <w:name w:val="heading 3"/>
    <w:basedOn w:val="HeadingBase"/>
    <w:next w:val="Normal"/>
    <w:link w:val="Heading3Char"/>
    <w:qFormat/>
    <w:rsid w:val="003E4D87"/>
    <w:pPr>
      <w:spacing w:before="240"/>
      <w:outlineLvl w:val="2"/>
    </w:pPr>
    <w:rPr>
      <w:bCs w:val="0"/>
      <w:color w:val="7F7F7F"/>
      <w:sz w:val="28"/>
      <w:szCs w:val="26"/>
    </w:rPr>
  </w:style>
  <w:style w:type="paragraph" w:styleId="Heading4">
    <w:name w:val="heading 4"/>
    <w:basedOn w:val="HeadingBase"/>
    <w:next w:val="Normal"/>
    <w:link w:val="Heading4Char"/>
    <w:qFormat/>
    <w:rsid w:val="002427F4"/>
    <w:pPr>
      <w:spacing w:before="120" w:after="180"/>
      <w:outlineLvl w:val="3"/>
    </w:pPr>
    <w:rPr>
      <w:b/>
      <w:bCs w:val="0"/>
      <w:color w:val="595959" w:themeColor="text1" w:themeTint="A6"/>
      <w:sz w:val="26"/>
      <w:szCs w:val="26"/>
    </w:rPr>
  </w:style>
  <w:style w:type="paragraph" w:styleId="Heading5">
    <w:name w:val="heading 5"/>
    <w:basedOn w:val="HeadingBase"/>
    <w:next w:val="Normal"/>
    <w:link w:val="Heading5Char"/>
    <w:qFormat/>
    <w:rsid w:val="00E66742"/>
    <w:pPr>
      <w:spacing w:before="180" w:after="180"/>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8">
    <w:name w:val="heading 8"/>
    <w:basedOn w:val="Normal"/>
    <w:next w:val="Normal"/>
    <w:link w:val="Heading8Char"/>
    <w:uiPriority w:val="9"/>
    <w:semiHidden/>
    <w:unhideWhenUsed/>
    <w:qFormat/>
    <w:rsid w:val="00E50C62"/>
    <w:pPr>
      <w:keepNext/>
      <w:keepLines/>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2F5"/>
    <w:rPr>
      <w:rFonts w:ascii="Calibri" w:eastAsia="Times New Roman" w:hAnsi="Calibri" w:cs="Arial"/>
      <w:b/>
      <w:caps/>
      <w:color w:val="004A7F"/>
      <w:kern w:val="32"/>
      <w:sz w:val="46"/>
      <w:szCs w:val="36"/>
      <w:lang w:eastAsia="en-AU"/>
    </w:rPr>
  </w:style>
  <w:style w:type="character" w:customStyle="1" w:styleId="Heading2Char">
    <w:name w:val="Heading 2 Char"/>
    <w:basedOn w:val="DefaultParagraphFont"/>
    <w:link w:val="Heading2"/>
    <w:rsid w:val="00F86CD4"/>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E4D87"/>
    <w:rPr>
      <w:rFonts w:ascii="Calibri" w:eastAsia="Times New Roman" w:hAnsi="Calibri" w:cs="Arial"/>
      <w:color w:val="7F7F7F"/>
      <w:kern w:val="32"/>
      <w:sz w:val="28"/>
      <w:szCs w:val="26"/>
      <w:lang w:eastAsia="en-AU"/>
    </w:rPr>
  </w:style>
  <w:style w:type="character" w:customStyle="1" w:styleId="Heading4Char">
    <w:name w:val="Heading 4 Char"/>
    <w:basedOn w:val="DefaultParagraphFont"/>
    <w:link w:val="Heading4"/>
    <w:rsid w:val="002427F4"/>
    <w:rPr>
      <w:rFonts w:ascii="Calibri" w:eastAsia="Times New Roman" w:hAnsi="Calibri" w:cs="Arial"/>
      <w:b/>
      <w:color w:val="595959" w:themeColor="text1" w:themeTint="A6"/>
      <w:kern w:val="32"/>
      <w:sz w:val="26"/>
      <w:szCs w:val="26"/>
      <w:lang w:eastAsia="en-AU"/>
    </w:rPr>
  </w:style>
  <w:style w:type="character" w:customStyle="1" w:styleId="Heading5Char">
    <w:name w:val="Heading 5 Char"/>
    <w:basedOn w:val="DefaultParagraphFont"/>
    <w:link w:val="Heading5"/>
    <w:rsid w:val="00E6674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TableGraphic"/>
    <w:next w:val="Normal"/>
    <w:qFormat/>
    <w:rsid w:val="005F3E79"/>
    <w:pPr>
      <w:jc w:val="center"/>
    </w:p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0E4938"/>
    <w:pPr>
      <w:keepNext/>
      <w:spacing w:before="120" w:after="120" w:line="240" w:lineRule="auto"/>
      <w:ind w:left="57" w:right="57"/>
      <w:jc w:val="left"/>
    </w:pPr>
    <w:rPr>
      <w:b/>
      <w:caps/>
      <w:color w:val="004A7F"/>
      <w:sz w:val="24"/>
      <w:szCs w:val="26"/>
    </w:rPr>
  </w:style>
  <w:style w:type="paragraph" w:customStyle="1" w:styleId="BoxText">
    <w:name w:val="Box Text"/>
    <w:basedOn w:val="Normal"/>
    <w:rsid w:val="00EB7B9E"/>
    <w:pPr>
      <w:spacing w:before="100" w:after="100" w:line="270" w:lineRule="exact"/>
      <w:ind w:left="57" w:right="57"/>
    </w:pPr>
    <w:rPr>
      <w:rFonts w:ascii="Arial" w:hAnsi="Arial" w:cs="Arial"/>
      <w:sz w:val="18"/>
      <w:szCs w:val="18"/>
    </w:rPr>
  </w:style>
  <w:style w:type="paragraph" w:customStyle="1" w:styleId="Bullet">
    <w:name w:val="Bullet"/>
    <w:basedOn w:val="Normal"/>
    <w:link w:val="BulletChar"/>
    <w:rsid w:val="00155E57"/>
    <w:pPr>
      <w:numPr>
        <w:numId w:val="1"/>
      </w:numPr>
      <w:tabs>
        <w:tab w:val="clear" w:pos="283"/>
        <w:tab w:val="left" w:pos="425"/>
      </w:tabs>
      <w:ind w:left="425" w:hanging="425"/>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528D6"/>
    <w:pPr>
      <w:jc w:val="center"/>
    </w:pPr>
  </w:style>
  <w:style w:type="paragraph" w:customStyle="1" w:styleId="ChartorTableNote">
    <w:name w:val="Chart or Table Note"/>
    <w:next w:val="Normal"/>
    <w:rsid w:val="00AC7B83"/>
    <w:pPr>
      <w:spacing w:after="40" w:line="240" w:lineRule="auto"/>
      <w:jc w:val="both"/>
    </w:pPr>
    <w:rPr>
      <w:rFonts w:ascii="Calibri" w:eastAsia="Times New Roman" w:hAnsi="Calibri" w:cs="Times New Roman"/>
      <w:color w:val="595959" w:themeColor="text1" w:themeTint="A6"/>
      <w:spacing w:val="-6"/>
      <w:sz w:val="18"/>
      <w:szCs w:val="20"/>
      <w:lang w:eastAsia="en-AU"/>
    </w:rPr>
  </w:style>
  <w:style w:type="paragraph" w:customStyle="1" w:styleId="ChartSecondHeading">
    <w:name w:val="Chart Second Heading"/>
    <w:basedOn w:val="TableSecondHeading"/>
    <w:next w:val="ChartGraphic"/>
    <w:rsid w:val="000E0B74"/>
  </w:style>
  <w:style w:type="paragraph" w:customStyle="1" w:styleId="ReportDate">
    <w:name w:val="Report Date"/>
    <w:basedOn w:val="Normal"/>
    <w:link w:val="ReportDateChar"/>
    <w:rsid w:val="005F3E79"/>
    <w:pPr>
      <w:keepNext/>
      <w:spacing w:before="0" w:after="360" w:line="240" w:lineRule="auto"/>
      <w:jc w:val="right"/>
    </w:pPr>
    <w:rPr>
      <w:b/>
      <w:caps/>
      <w:color w:val="004A7F"/>
      <w:sz w:val="44"/>
    </w:rPr>
  </w:style>
  <w:style w:type="paragraph" w:customStyle="1" w:styleId="Dash">
    <w:name w:val="Dash"/>
    <w:basedOn w:val="Normal"/>
    <w:link w:val="DashChar"/>
    <w:rsid w:val="00155E57"/>
    <w:pPr>
      <w:numPr>
        <w:ilvl w:val="1"/>
        <w:numId w:val="1"/>
      </w:numPr>
      <w:tabs>
        <w:tab w:val="clear" w:pos="567"/>
        <w:tab w:val="left" w:pos="851"/>
      </w:tabs>
      <w:ind w:left="850" w:hanging="425"/>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E528D6"/>
    <w:pPr>
      <w:spacing w:before="120" w:after="40"/>
      <w:outlineLvl w:val="9"/>
    </w:pPr>
    <w:rPr>
      <w:b/>
      <w:color w:val="595959" w:themeColor="text1" w:themeTint="A6"/>
    </w:rPr>
  </w:style>
  <w:style w:type="paragraph" w:customStyle="1" w:styleId="FooterEven">
    <w:name w:val="Footer Even"/>
    <w:basedOn w:val="Footer"/>
    <w:rsid w:val="00EE1447"/>
    <w:pPr>
      <w:keepNext/>
      <w:tabs>
        <w:tab w:val="clear" w:pos="4513"/>
        <w:tab w:val="clear" w:pos="9026"/>
      </w:tabs>
      <w:jc w:val="left"/>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3905E4"/>
    <w:rPr>
      <w:b/>
      <w:color w:val="004A7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5F3E79"/>
    <w:pPr>
      <w:spacing w:before="0" w:after="0" w:line="240" w:lineRule="auto"/>
    </w:pPr>
    <w:rPr>
      <w:sz w:val="12"/>
      <w:szCs w:val="12"/>
      <w:lang w:val="en-US"/>
    </w:rPr>
  </w:style>
  <w:style w:type="paragraph" w:customStyle="1" w:styleId="TableSecondHeading">
    <w:name w:val="Table Second Heading"/>
    <w:basedOn w:val="Normal"/>
    <w:next w:val="Normal"/>
    <w:rsid w:val="005F3E79"/>
    <w:pPr>
      <w:keepNext/>
      <w:spacing w:before="60" w:after="60" w:line="240" w:lineRule="auto"/>
      <w:jc w:val="center"/>
    </w:pPr>
    <w:rPr>
      <w:b/>
      <w:caps/>
      <w:color w:val="595959" w:themeColor="text1" w:themeTint="A6"/>
      <w:kern w:val="32"/>
      <w:sz w:val="19"/>
    </w:rPr>
  </w:style>
  <w:style w:type="paragraph" w:customStyle="1" w:styleId="TableColumnHeadingCentred">
    <w:name w:val="Table Column Heading Centred"/>
    <w:basedOn w:val="TableTextLeft"/>
    <w:rsid w:val="000B438C"/>
    <w:pPr>
      <w:spacing w:before="80" w:after="80"/>
      <w:jc w:val="center"/>
    </w:pPr>
    <w:rPr>
      <w:b/>
      <w:caps/>
      <w:color w:val="004A7F"/>
      <w:sz w:val="20"/>
    </w:rPr>
  </w:style>
  <w:style w:type="paragraph" w:customStyle="1" w:styleId="TableColumnHeadingLeft">
    <w:name w:val="Table Column Heading Left"/>
    <w:basedOn w:val="TableColumnHeadingCentred"/>
    <w:rsid w:val="00AF0916"/>
    <w:pPr>
      <w:jc w:val="left"/>
    </w:p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5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0B438C"/>
    <w:pPr>
      <w:spacing w:before="60" w:after="60" w:line="240" w:lineRule="auto"/>
      <w:jc w:val="center"/>
    </w:pPr>
    <w:rPr>
      <w:sz w:val="19"/>
      <w:szCs w:val="19"/>
    </w:rPr>
  </w:style>
  <w:style w:type="paragraph" w:customStyle="1" w:styleId="TableTextLeft">
    <w:name w:val="Table Text Left"/>
    <w:basedOn w:val="TableTextRight"/>
    <w:rsid w:val="00AF0916"/>
    <w:pPr>
      <w:spacing w:before="60" w:after="60" w:line="240" w:lineRule="auto"/>
      <w:jc w:val="left"/>
    </w:pPr>
    <w:rPr>
      <w:sz w:val="19"/>
    </w:r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814BD"/>
    <w:pPr>
      <w:keepNext/>
      <w:tabs>
        <w:tab w:val="right" w:leader="dot" w:pos="9072"/>
      </w:tabs>
      <w:spacing w:after="120" w:line="240" w:lineRule="auto"/>
    </w:pPr>
    <w:rPr>
      <w:b/>
      <w:caps/>
      <w:noProof/>
      <w:color w:val="004A7F"/>
      <w:szCs w:val="22"/>
    </w:rPr>
  </w:style>
  <w:style w:type="paragraph" w:styleId="TOC2">
    <w:name w:val="toc 2"/>
    <w:basedOn w:val="Normal"/>
    <w:next w:val="Normal"/>
    <w:uiPriority w:val="39"/>
    <w:qFormat/>
    <w:rsid w:val="008814BD"/>
    <w:pPr>
      <w:keepNext/>
      <w:tabs>
        <w:tab w:val="left" w:pos="660"/>
        <w:tab w:val="right" w:leader="dot" w:pos="9072"/>
      </w:tabs>
      <w:spacing w:before="100" w:after="60" w:line="240" w:lineRule="auto"/>
      <w:ind w:left="709" w:right="851" w:hanging="425"/>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38"/>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style>
  <w:style w:type="character" w:customStyle="1" w:styleId="SingleParagraphChar">
    <w:name w:val="Single Paragraph Char"/>
    <w:basedOn w:val="DefaultParagraphFont"/>
    <w:link w:val="SingleParagraph"/>
    <w:rsid w:val="005F3E79"/>
    <w:rPr>
      <w:rFonts w:ascii="Calibri" w:eastAsia="Times New Roman" w:hAnsi="Calibri" w:cs="Times New Roman"/>
      <w:sz w:val="12"/>
      <w:szCs w:val="12"/>
      <w:lang w:val="en-US" w:eastAsia="en-AU"/>
    </w:rPr>
  </w:style>
  <w:style w:type="paragraph" w:customStyle="1" w:styleId="Heading2Numbered">
    <w:name w:val="Heading 2 Numbered"/>
    <w:basedOn w:val="Heading2"/>
    <w:next w:val="Normal"/>
    <w:rsid w:val="002427F4"/>
    <w:pPr>
      <w:numPr>
        <w:numId w:val="8"/>
      </w:numPr>
    </w:pPr>
    <w:rPr>
      <w:b/>
      <w:smallCaps/>
      <w:color w:val="595959" w:themeColor="text1" w:themeTint="A6"/>
      <w:sz w:val="40"/>
    </w:rPr>
  </w:style>
  <w:style w:type="paragraph" w:customStyle="1" w:styleId="Heading3Numbered">
    <w:name w:val="Heading 3 Numbered"/>
    <w:basedOn w:val="Heading3"/>
    <w:qFormat/>
    <w:rsid w:val="002427F4"/>
    <w:pPr>
      <w:numPr>
        <w:ilvl w:val="1"/>
        <w:numId w:val="8"/>
      </w:numPr>
      <w:spacing w:after="180"/>
    </w:pPr>
    <w:rPr>
      <w:b/>
      <w:color w:val="004A7F"/>
      <w:sz w:val="32"/>
    </w:rPr>
  </w:style>
  <w:style w:type="paragraph" w:styleId="Title">
    <w:name w:val="Title"/>
    <w:basedOn w:val="Normal"/>
    <w:next w:val="Normal"/>
    <w:link w:val="TitleChar"/>
    <w:uiPriority w:val="10"/>
    <w:qFormat/>
    <w:rsid w:val="005F3E79"/>
    <w:pPr>
      <w:spacing w:before="0" w:after="240" w:line="240" w:lineRule="auto"/>
      <w:contextualSpacing/>
      <w:jc w:val="right"/>
    </w:pPr>
    <w:rPr>
      <w:rFonts w:eastAsiaTheme="majorEastAsia" w:cstheme="majorBidi"/>
      <w:b/>
      <w:caps/>
      <w:color w:val="004A7F"/>
      <w:spacing w:val="5"/>
      <w:kern w:val="28"/>
      <w:sz w:val="72"/>
      <w:szCs w:val="52"/>
    </w:rPr>
  </w:style>
  <w:style w:type="character" w:customStyle="1" w:styleId="TitleChar">
    <w:name w:val="Title Char"/>
    <w:basedOn w:val="DefaultParagraphFont"/>
    <w:link w:val="Title"/>
    <w:uiPriority w:val="10"/>
    <w:rsid w:val="005F3E79"/>
    <w:rPr>
      <w:rFonts w:ascii="Calibri" w:eastAsiaTheme="majorEastAsia" w:hAnsi="Calibri" w:cstheme="majorBidi"/>
      <w:b/>
      <w:caps/>
      <w:color w:val="004A7F"/>
      <w:spacing w:val="5"/>
      <w:kern w:val="28"/>
      <w:sz w:val="72"/>
      <w:szCs w:val="52"/>
      <w:lang w:eastAsia="en-AU"/>
    </w:rPr>
  </w:style>
  <w:style w:type="paragraph" w:styleId="Subtitle">
    <w:name w:val="Subtitle"/>
    <w:basedOn w:val="Normal"/>
    <w:next w:val="Normal"/>
    <w:link w:val="SubtitleChar"/>
    <w:uiPriority w:val="11"/>
    <w:qFormat/>
    <w:rsid w:val="005F3E79"/>
    <w:pPr>
      <w:numPr>
        <w:ilvl w:val="1"/>
      </w:numPr>
      <w:spacing w:line="240" w:lineRule="auto"/>
      <w:jc w:val="right"/>
    </w:pPr>
    <w:rPr>
      <w:rFonts w:eastAsiaTheme="majorEastAsia" w:cstheme="majorBidi"/>
      <w:b/>
      <w:iCs/>
      <w:color w:val="595959" w:themeColor="text1" w:themeTint="A6"/>
      <w:sz w:val="46"/>
      <w:szCs w:val="46"/>
    </w:rPr>
  </w:style>
  <w:style w:type="character" w:customStyle="1" w:styleId="SubtitleChar">
    <w:name w:val="Subtitle Char"/>
    <w:basedOn w:val="DefaultParagraphFont"/>
    <w:link w:val="Subtitle"/>
    <w:uiPriority w:val="11"/>
    <w:rsid w:val="005F3E79"/>
    <w:rPr>
      <w:rFonts w:ascii="Calibri" w:eastAsiaTheme="majorEastAsia" w:hAnsi="Calibri" w:cstheme="majorBidi"/>
      <w:b/>
      <w:iCs/>
      <w:color w:val="595959" w:themeColor="text1" w:themeTint="A6"/>
      <w:sz w:val="46"/>
      <w:szCs w:val="46"/>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475085"/>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5F3E79"/>
    <w:rPr>
      <w:rFonts w:ascii="Calibri" w:eastAsia="Times New Roman" w:hAnsi="Calibri" w:cs="Times New Roman"/>
      <w:b/>
      <w:caps/>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val="0"/>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8814BD"/>
    <w:pPr>
      <w:tabs>
        <w:tab w:val="left" w:pos="567"/>
      </w:tabs>
    </w:pPr>
    <w:rPr>
      <w:color w:val="004A7F"/>
      <w:sz w:val="24"/>
    </w:rPr>
  </w:style>
  <w:style w:type="paragraph" w:customStyle="1" w:styleId="TableGraphic">
    <w:name w:val="Table Graphic"/>
    <w:basedOn w:val="HeadingBase"/>
    <w:next w:val="Normal"/>
    <w:qFormat/>
    <w:rsid w:val="00827D31"/>
    <w:pPr>
      <w:spacing w:after="0"/>
    </w:pPr>
    <w:rPr>
      <w:sz w:val="20"/>
    </w:rPr>
  </w:style>
  <w:style w:type="paragraph" w:customStyle="1" w:styleId="HeaderEven">
    <w:name w:val="Header Even"/>
    <w:basedOn w:val="Header"/>
    <w:qFormat/>
    <w:rsid w:val="00A12F62"/>
    <w:pPr>
      <w:jc w:val="left"/>
    </w:pPr>
  </w:style>
  <w:style w:type="paragraph" w:customStyle="1" w:styleId="HeaderOdd">
    <w:name w:val="Header Odd"/>
    <w:basedOn w:val="Header"/>
    <w:qFormat/>
    <w:rsid w:val="00A12F62"/>
  </w:style>
  <w:style w:type="paragraph" w:styleId="FootnoteText">
    <w:name w:val="footnote text"/>
    <w:basedOn w:val="Normal"/>
    <w:link w:val="FootnoteTextChar"/>
    <w:uiPriority w:val="99"/>
    <w:rsid w:val="00AC7B83"/>
    <w:pPr>
      <w:tabs>
        <w:tab w:val="left" w:pos="284"/>
      </w:tabs>
      <w:spacing w:before="0" w:after="40" w:line="240" w:lineRule="auto"/>
      <w:ind w:left="284" w:hanging="284"/>
    </w:pPr>
    <w:rPr>
      <w:rFonts w:cs="Calibri"/>
      <w:color w:val="212121"/>
      <w:spacing w:val="4"/>
      <w:sz w:val="20"/>
    </w:rPr>
  </w:style>
  <w:style w:type="character" w:customStyle="1" w:styleId="FootnoteTextChar">
    <w:name w:val="Footnote Text Char"/>
    <w:basedOn w:val="DefaultParagraphFont"/>
    <w:link w:val="FootnoteText"/>
    <w:uiPriority w:val="99"/>
    <w:rsid w:val="00AC7B83"/>
    <w:rPr>
      <w:rFonts w:ascii="Calibri" w:eastAsia="Times New Roman" w:hAnsi="Calibri" w:cs="Calibri"/>
      <w:color w:val="212121"/>
      <w:spacing w:val="4"/>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CommentReference">
    <w:name w:val="annotation reference"/>
    <w:basedOn w:val="DefaultParagraphFont"/>
    <w:uiPriority w:val="99"/>
    <w:rsid w:val="008A5743"/>
    <w:rPr>
      <w:sz w:val="16"/>
      <w:szCs w:val="16"/>
    </w:rPr>
  </w:style>
  <w:style w:type="paragraph" w:styleId="CommentText">
    <w:name w:val="annotation text"/>
    <w:basedOn w:val="Normal"/>
    <w:link w:val="CommentTextChar"/>
    <w:uiPriority w:val="99"/>
    <w:rsid w:val="008A5743"/>
    <w:pPr>
      <w:spacing w:before="0" w:after="240"/>
    </w:pPr>
    <w:rPr>
      <w:rFonts w:eastAsiaTheme="minorHAnsi" w:cstheme="minorBidi"/>
      <w:color w:val="000000" w:themeColor="text1"/>
      <w:sz w:val="20"/>
      <w:szCs w:val="22"/>
      <w:lang w:eastAsia="en-US"/>
    </w:rPr>
  </w:style>
  <w:style w:type="character" w:customStyle="1" w:styleId="CommentTextChar">
    <w:name w:val="Comment Text Char"/>
    <w:basedOn w:val="DefaultParagraphFont"/>
    <w:link w:val="CommentText"/>
    <w:uiPriority w:val="99"/>
    <w:rsid w:val="008A5743"/>
    <w:rPr>
      <w:rFonts w:ascii="Calibri" w:hAnsi="Calibri"/>
      <w:color w:val="000000" w:themeColor="text1"/>
      <w:sz w:val="20"/>
    </w:rPr>
  </w:style>
  <w:style w:type="paragraph" w:styleId="ListParagraph">
    <w:name w:val="List Paragraph"/>
    <w:basedOn w:val="Normal"/>
    <w:uiPriority w:val="34"/>
    <w:qFormat/>
    <w:rsid w:val="008A5743"/>
    <w:pPr>
      <w:ind w:left="720"/>
      <w:contextualSpacing/>
    </w:pPr>
  </w:style>
  <w:style w:type="character" w:customStyle="1" w:styleId="Heading8Char">
    <w:name w:val="Heading 8 Char"/>
    <w:basedOn w:val="DefaultParagraphFont"/>
    <w:link w:val="Heading8"/>
    <w:uiPriority w:val="9"/>
    <w:semiHidden/>
    <w:rsid w:val="00E50C62"/>
    <w:rPr>
      <w:rFonts w:asciiTheme="majorHAnsi" w:eastAsiaTheme="majorEastAsia" w:hAnsiTheme="majorHAnsi" w:cstheme="majorBidi"/>
      <w:color w:val="404040" w:themeColor="text1" w:themeTint="BF"/>
      <w:sz w:val="20"/>
      <w:szCs w:val="20"/>
      <w:lang w:eastAsia="en-AU"/>
    </w:rPr>
  </w:style>
  <w:style w:type="paragraph" w:styleId="NormalWeb">
    <w:name w:val="Normal (Web)"/>
    <w:basedOn w:val="Normal"/>
    <w:uiPriority w:val="99"/>
    <w:semiHidden/>
    <w:unhideWhenUsed/>
    <w:rsid w:val="00E50C62"/>
    <w:rPr>
      <w:rFonts w:ascii="Times New Roman" w:hAnsi="Times New Roman"/>
      <w:sz w:val="24"/>
      <w:szCs w:val="24"/>
    </w:rPr>
  </w:style>
  <w:style w:type="paragraph" w:styleId="Caption">
    <w:name w:val="caption"/>
    <w:basedOn w:val="Normal"/>
    <w:next w:val="Normal"/>
    <w:uiPriority w:val="35"/>
    <w:unhideWhenUsed/>
    <w:qFormat/>
    <w:rsid w:val="00E50C62"/>
    <w:pPr>
      <w:spacing w:before="0" w:after="240"/>
    </w:pPr>
    <w:rPr>
      <w:rFonts w:eastAsiaTheme="minorHAnsi" w:cstheme="minorBidi"/>
      <w:b/>
      <w:bCs/>
      <w:color w:val="003157"/>
      <w:sz w:val="18"/>
      <w:szCs w:val="18"/>
      <w:lang w:eastAsia="en-US"/>
    </w:rPr>
  </w:style>
  <w:style w:type="paragraph" w:customStyle="1" w:styleId="tabletext">
    <w:name w:val="table text"/>
    <w:basedOn w:val="Normal"/>
    <w:qFormat/>
    <w:rsid w:val="004D189B"/>
    <w:pPr>
      <w:framePr w:hSpace="180" w:wrap="around" w:vAnchor="text" w:hAnchor="page" w:x="1090" w:y="1168"/>
      <w:spacing w:before="0" w:after="0"/>
    </w:pPr>
    <w:rPr>
      <w:color w:val="000000"/>
      <w:sz w:val="20"/>
      <w:szCs w:val="24"/>
      <w:lang w:val="en-GB" w:eastAsia="en-GB"/>
    </w:rPr>
  </w:style>
  <w:style w:type="paragraph" w:styleId="ListBullet">
    <w:name w:val="List Bullet"/>
    <w:basedOn w:val="Normal"/>
    <w:uiPriority w:val="99"/>
    <w:unhideWhenUsed/>
    <w:rsid w:val="004D189B"/>
    <w:pPr>
      <w:numPr>
        <w:numId w:val="20"/>
      </w:numPr>
      <w:spacing w:before="0" w:after="240"/>
    </w:pPr>
    <w:rPr>
      <w:rFonts w:eastAsiaTheme="minorHAnsi" w:cstheme="minorBidi"/>
      <w:color w:val="000000" w:themeColor="text1"/>
      <w:sz w:val="20"/>
      <w:szCs w:val="22"/>
      <w:lang w:eastAsia="en-US"/>
    </w:rPr>
  </w:style>
  <w:style w:type="numbering" w:customStyle="1" w:styleId="ListBullets">
    <w:name w:val="ListBullets"/>
    <w:rsid w:val="004D189B"/>
    <w:pPr>
      <w:numPr>
        <w:numId w:val="20"/>
      </w:numPr>
    </w:pPr>
  </w:style>
  <w:style w:type="paragraph" w:styleId="ListBullet2">
    <w:name w:val="List Bullet 2"/>
    <w:basedOn w:val="Normal"/>
    <w:uiPriority w:val="99"/>
    <w:unhideWhenUsed/>
    <w:rsid w:val="004D189B"/>
    <w:pPr>
      <w:numPr>
        <w:ilvl w:val="1"/>
        <w:numId w:val="20"/>
      </w:numPr>
      <w:spacing w:before="0" w:after="240"/>
      <w:contextualSpacing/>
    </w:pPr>
    <w:rPr>
      <w:rFonts w:eastAsiaTheme="minorHAnsi" w:cstheme="minorBidi"/>
      <w:color w:val="000000" w:themeColor="text1"/>
      <w:sz w:val="20"/>
      <w:szCs w:val="22"/>
      <w:lang w:eastAsia="en-US"/>
    </w:rPr>
  </w:style>
  <w:style w:type="paragraph" w:styleId="ListBullet3">
    <w:name w:val="List Bullet 3"/>
    <w:basedOn w:val="Normal"/>
    <w:uiPriority w:val="99"/>
    <w:unhideWhenUsed/>
    <w:rsid w:val="004D189B"/>
    <w:pPr>
      <w:numPr>
        <w:ilvl w:val="2"/>
        <w:numId w:val="20"/>
      </w:numPr>
      <w:spacing w:before="0" w:after="240"/>
      <w:contextualSpacing/>
    </w:pPr>
    <w:rPr>
      <w:rFonts w:eastAsiaTheme="minorHAnsi" w:cstheme="minorBidi"/>
      <w:color w:val="000000" w:themeColor="text1"/>
      <w:sz w:val="20"/>
      <w:szCs w:val="22"/>
      <w:lang w:eastAsia="en-US"/>
    </w:rPr>
  </w:style>
  <w:style w:type="paragraph" w:styleId="ListBullet4">
    <w:name w:val="List Bullet 4"/>
    <w:basedOn w:val="Normal"/>
    <w:uiPriority w:val="99"/>
    <w:unhideWhenUsed/>
    <w:rsid w:val="004D189B"/>
    <w:pPr>
      <w:numPr>
        <w:ilvl w:val="3"/>
        <w:numId w:val="20"/>
      </w:numPr>
      <w:spacing w:before="0" w:after="240"/>
      <w:contextualSpacing/>
    </w:pPr>
    <w:rPr>
      <w:rFonts w:eastAsiaTheme="minorHAnsi" w:cstheme="minorBidi"/>
      <w:color w:val="000000" w:themeColor="text1"/>
      <w:sz w:val="20"/>
      <w:szCs w:val="22"/>
      <w:lang w:eastAsia="en-US"/>
    </w:rPr>
  </w:style>
  <w:style w:type="paragraph" w:styleId="ListBullet5">
    <w:name w:val="List Bullet 5"/>
    <w:basedOn w:val="Normal"/>
    <w:uiPriority w:val="99"/>
    <w:unhideWhenUsed/>
    <w:rsid w:val="004D189B"/>
    <w:pPr>
      <w:numPr>
        <w:ilvl w:val="4"/>
        <w:numId w:val="20"/>
      </w:numPr>
      <w:spacing w:before="0" w:after="240"/>
      <w:contextualSpacing/>
    </w:pPr>
    <w:rPr>
      <w:rFonts w:eastAsiaTheme="minorHAnsi" w:cstheme="minorBidi"/>
      <w:color w:val="000000" w:themeColor="text1"/>
      <w:sz w:val="20"/>
      <w:szCs w:val="22"/>
      <w:lang w:eastAsia="en-US"/>
    </w:rPr>
  </w:style>
  <w:style w:type="paragraph" w:customStyle="1" w:styleId="Default">
    <w:name w:val="Default"/>
    <w:rsid w:val="004D189B"/>
    <w:pPr>
      <w:autoSpaceDE w:val="0"/>
      <w:autoSpaceDN w:val="0"/>
      <w:adjustRightInd w:val="0"/>
      <w:spacing w:after="0" w:line="240" w:lineRule="auto"/>
    </w:pPr>
    <w:rPr>
      <w:rFonts w:ascii="Arial" w:hAnsi="Arial" w:cs="Arial"/>
      <w:color w:val="000000"/>
      <w:sz w:val="24"/>
      <w:szCs w:val="24"/>
    </w:rPr>
  </w:style>
  <w:style w:type="paragraph" w:customStyle="1" w:styleId="AMTsourcenokeepwithnext">
    <w:name w:val="AMT source no keep with next"/>
    <w:basedOn w:val="Normal"/>
    <w:link w:val="AMTsourcenokeepwithnextChar"/>
    <w:uiPriority w:val="1"/>
    <w:qFormat/>
    <w:rsid w:val="004D189B"/>
    <w:pPr>
      <w:keepLines/>
      <w:spacing w:before="20" w:after="20"/>
      <w:ind w:right="-357"/>
    </w:pPr>
    <w:rPr>
      <w:rFonts w:asciiTheme="minorHAnsi" w:eastAsiaTheme="minorHAnsi" w:hAnsiTheme="minorHAnsi" w:cstheme="minorBidi"/>
      <w:sz w:val="17"/>
      <w:szCs w:val="22"/>
      <w:lang w:eastAsia="en-US"/>
    </w:rPr>
  </w:style>
  <w:style w:type="character" w:customStyle="1" w:styleId="AMTsourcenokeepwithnextChar">
    <w:name w:val="AMT source no keep with next Char"/>
    <w:basedOn w:val="DefaultParagraphFont"/>
    <w:link w:val="AMTsourcenokeepwithnext"/>
    <w:uiPriority w:val="1"/>
    <w:rsid w:val="004D189B"/>
    <w:rPr>
      <w:sz w:val="17"/>
    </w:rPr>
  </w:style>
  <w:style w:type="character" w:customStyle="1" w:styleId="BulletChar">
    <w:name w:val="Bullet Char"/>
    <w:basedOn w:val="DefaultParagraphFont"/>
    <w:link w:val="Bullet"/>
    <w:rsid w:val="00155E57"/>
    <w:rPr>
      <w:rFonts w:ascii="Calibri" w:eastAsia="Times New Roman" w:hAnsi="Calibri" w:cs="Times New Roman"/>
      <w:szCs w:val="20"/>
      <w:lang w:eastAsia="en-AU"/>
    </w:rPr>
  </w:style>
  <w:style w:type="paragraph" w:customStyle="1" w:styleId="CaptionandTableFootnoteAlpha">
    <w:name w:val="Caption and Table Footnote Alpha"/>
    <w:basedOn w:val="Normal"/>
    <w:next w:val="Normal"/>
    <w:rsid w:val="004D189B"/>
    <w:pPr>
      <w:keepNext/>
      <w:numPr>
        <w:numId w:val="22"/>
      </w:numPr>
      <w:spacing w:before="0" w:after="0" w:line="260" w:lineRule="exact"/>
    </w:pPr>
    <w:rPr>
      <w:rFonts w:asciiTheme="minorHAnsi" w:eastAsiaTheme="minorHAnsi" w:hAnsiTheme="minorHAnsi" w:cstheme="minorBidi"/>
      <w:kern w:val="28"/>
      <w:sz w:val="20"/>
      <w:szCs w:val="22"/>
      <w:lang w:eastAsia="en-US"/>
    </w:rPr>
  </w:style>
  <w:style w:type="table" w:customStyle="1" w:styleId="TableGrid2">
    <w:name w:val="Table Grid2"/>
    <w:basedOn w:val="TableNormal"/>
    <w:next w:val="TableGrid"/>
    <w:uiPriority w:val="59"/>
    <w:rsid w:val="004D189B"/>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155E57"/>
    <w:pPr>
      <w:spacing w:line="240" w:lineRule="auto"/>
      <w:ind w:left="567" w:right="565"/>
    </w:pPr>
    <w:rPr>
      <w:i/>
      <w:iCs/>
      <w:color w:val="000000" w:themeColor="text1"/>
    </w:rPr>
  </w:style>
  <w:style w:type="character" w:customStyle="1" w:styleId="QuoteChar">
    <w:name w:val="Quote Char"/>
    <w:basedOn w:val="DefaultParagraphFont"/>
    <w:link w:val="Quote"/>
    <w:uiPriority w:val="29"/>
    <w:rsid w:val="00155E57"/>
    <w:rPr>
      <w:rFonts w:ascii="Calibri" w:eastAsia="Times New Roman" w:hAnsi="Calibri" w:cs="Times New Roman"/>
      <w:i/>
      <w:iCs/>
      <w:color w:val="000000" w:themeColor="text1"/>
      <w:szCs w:val="20"/>
      <w:lang w:eastAsia="en-AU"/>
    </w:rPr>
  </w:style>
  <w:style w:type="paragraph" w:customStyle="1" w:styleId="References">
    <w:name w:val="References"/>
    <w:basedOn w:val="Normal"/>
    <w:qFormat/>
    <w:rsid w:val="008415B8"/>
    <w:pPr>
      <w:widowControl w:val="0"/>
      <w:adjustRightInd w:val="0"/>
      <w:spacing w:before="0" w:after="240"/>
      <w:textAlignment w:val="baseline"/>
    </w:pPr>
    <w:rPr>
      <w:rFonts w:eastAsiaTheme="minorHAnsi" w:cstheme="minorBidi"/>
      <w:color w:val="000000" w:themeColor="text1"/>
      <w:sz w:val="20"/>
      <w:szCs w:val="22"/>
      <w:lang w:eastAsia="en-US"/>
    </w:rPr>
  </w:style>
  <w:style w:type="paragraph" w:styleId="CommentSubject">
    <w:name w:val="annotation subject"/>
    <w:basedOn w:val="CommentText"/>
    <w:next w:val="CommentText"/>
    <w:link w:val="CommentSubjectChar"/>
    <w:uiPriority w:val="99"/>
    <w:semiHidden/>
    <w:unhideWhenUsed/>
    <w:rsid w:val="00CC4EC3"/>
    <w:pPr>
      <w:spacing w:before="120" w:after="120" w:line="240" w:lineRule="auto"/>
      <w:jc w:val="left"/>
    </w:pPr>
    <w:rPr>
      <w:rFonts w:eastAsia="Times New Roman" w:cs="Times New Roman"/>
      <w:b/>
      <w:bCs/>
      <w:color w:val="auto"/>
      <w:szCs w:val="20"/>
      <w:lang w:eastAsia="en-AU"/>
    </w:rPr>
  </w:style>
  <w:style w:type="character" w:customStyle="1" w:styleId="CommentSubjectChar">
    <w:name w:val="Comment Subject Char"/>
    <w:basedOn w:val="CommentTextChar"/>
    <w:link w:val="CommentSubject"/>
    <w:uiPriority w:val="99"/>
    <w:semiHidden/>
    <w:rsid w:val="00CC4EC3"/>
    <w:rPr>
      <w:rFonts w:ascii="Calibri" w:eastAsia="Times New Roman" w:hAnsi="Calibri" w:cs="Times New Roman"/>
      <w:b/>
      <w:bCs/>
      <w:color w:val="000000" w:themeColor="text1"/>
      <w:sz w:val="20"/>
      <w:szCs w:val="20"/>
      <w:lang w:eastAsia="en-AU"/>
    </w:rPr>
  </w:style>
  <w:style w:type="paragraph" w:styleId="Revision">
    <w:name w:val="Revision"/>
    <w:hidden/>
    <w:uiPriority w:val="99"/>
    <w:semiHidden/>
    <w:rsid w:val="00E45CA5"/>
    <w:pPr>
      <w:spacing w:after="0" w:line="240" w:lineRule="auto"/>
    </w:pPr>
    <w:rPr>
      <w:rFonts w:ascii="Calibri" w:eastAsia="Times New Roman" w:hAnsi="Calibri" w:cs="Times New Roman"/>
      <w:szCs w:val="20"/>
      <w:lang w:eastAsia="en-AU"/>
    </w:rPr>
  </w:style>
  <w:style w:type="character" w:customStyle="1" w:styleId="DashChar">
    <w:name w:val="Dash Char"/>
    <w:basedOn w:val="DefaultParagraphFont"/>
    <w:link w:val="Dash"/>
    <w:rsid w:val="00155E57"/>
    <w:rPr>
      <w:rFonts w:ascii="Calibri" w:eastAsia="Times New Roman" w:hAnsi="Calibri" w:cs="Times New Roman"/>
      <w:szCs w:val="20"/>
      <w:lang w:eastAsia="en-AU"/>
    </w:rPr>
  </w:style>
  <w:style w:type="character" w:styleId="HTMLCite">
    <w:name w:val="HTML Cite"/>
    <w:basedOn w:val="DefaultParagraphFont"/>
    <w:uiPriority w:val="99"/>
    <w:semiHidden/>
    <w:unhideWhenUsed/>
    <w:rsid w:val="00C53E88"/>
    <w:rPr>
      <w:i/>
      <w:iCs/>
    </w:rPr>
  </w:style>
  <w:style w:type="character" w:styleId="FollowedHyperlink">
    <w:name w:val="FollowedHyperlink"/>
    <w:basedOn w:val="DefaultParagraphFont"/>
    <w:uiPriority w:val="99"/>
    <w:semiHidden/>
    <w:unhideWhenUsed/>
    <w:rsid w:val="00C53E88"/>
    <w:rPr>
      <w:color w:val="954F72" w:themeColor="followedHyperlink"/>
      <w:u w:val="single"/>
    </w:rPr>
  </w:style>
  <w:style w:type="character" w:styleId="Emphasis">
    <w:name w:val="Emphasis"/>
    <w:basedOn w:val="DefaultParagraphFont"/>
    <w:uiPriority w:val="20"/>
    <w:qFormat/>
    <w:rsid w:val="002530CE"/>
    <w:rPr>
      <w:i/>
      <w:iCs/>
    </w:rPr>
  </w:style>
  <w:style w:type="character" w:customStyle="1" w:styleId="CommentTextChar1">
    <w:name w:val="Comment Text Char1"/>
    <w:semiHidden/>
    <w:locked/>
    <w:rsid w:val="00486346"/>
    <w:rPr>
      <w:rFonts w:ascii="Calibri" w:eastAsia="Times New Roman" w:hAnsi="Calibri" w:cs="Times New Roman"/>
      <w:sz w:val="20"/>
      <w:szCs w:val="20"/>
      <w:lang w:eastAsia="en-US"/>
    </w:rPr>
  </w:style>
  <w:style w:type="paragraph" w:customStyle="1" w:styleId="TableTextBullet">
    <w:name w:val="Table Text Bullet"/>
    <w:basedOn w:val="Normal"/>
    <w:rsid w:val="007B55E5"/>
    <w:pPr>
      <w:numPr>
        <w:numId w:val="31"/>
      </w:numPr>
      <w:spacing w:before="40" w:after="40"/>
    </w:pPr>
    <w:rPr>
      <w:rFonts w:asciiTheme="minorHAnsi" w:hAnsiTheme="minorHAnsi"/>
      <w:sz w:val="20"/>
    </w:rPr>
  </w:style>
  <w:style w:type="numbering" w:customStyle="1" w:styleId="TableTextBulletList">
    <w:name w:val="Table Text Bullet List"/>
    <w:uiPriority w:val="99"/>
    <w:rsid w:val="007B55E5"/>
    <w:pPr>
      <w:numPr>
        <w:numId w:val="31"/>
      </w:numPr>
    </w:pPr>
  </w:style>
  <w:style w:type="paragraph" w:customStyle="1" w:styleId="Heading1-NoTOC">
    <w:name w:val="Heading 1 - No TOC"/>
    <w:basedOn w:val="Heading1"/>
    <w:rsid w:val="00F86CD4"/>
    <w:pPr>
      <w:outlineLvl w:val="9"/>
    </w:pPr>
  </w:style>
  <w:style w:type="paragraph" w:customStyle="1" w:styleId="Bullet-IndentFN">
    <w:name w:val="Bullet - Indent FN"/>
    <w:basedOn w:val="Bullet"/>
    <w:rsid w:val="005A6C3A"/>
    <w:pPr>
      <w:keepNext/>
      <w:keepLines/>
      <w:tabs>
        <w:tab w:val="left" w:pos="567"/>
      </w:tabs>
      <w:spacing w:after="0"/>
      <w:ind w:left="568"/>
    </w:pPr>
    <w:rPr>
      <w:rFonts w:cs="Calibri"/>
      <w:color w:val="212121"/>
      <w:sz w:val="18"/>
    </w:rPr>
  </w:style>
  <w:style w:type="paragraph" w:customStyle="1" w:styleId="Sub-Subtitle">
    <w:name w:val="Sub-Subtitle"/>
    <w:basedOn w:val="Subtitle"/>
    <w:rsid w:val="00C17FA3"/>
    <w:pPr>
      <w:spacing w:after="360" w:line="400" w:lineRule="exact"/>
      <w:contextualSpacing/>
    </w:pPr>
    <w:rPr>
      <w:sz w:val="28"/>
    </w:rPr>
  </w:style>
  <w:style w:type="paragraph" w:customStyle="1" w:styleId="Heading2-NoTOC">
    <w:name w:val="Heading 2 - No TOC"/>
    <w:basedOn w:val="Heading2"/>
    <w:rsid w:val="00C17FA3"/>
    <w:pPr>
      <w:spacing w:after="180"/>
      <w:outlineLvl w:val="9"/>
    </w:pPr>
    <w:rPr>
      <w:b/>
      <w:color w:val="595959" w:themeColor="text1" w:themeTint="A6"/>
    </w:rPr>
  </w:style>
  <w:style w:type="paragraph" w:customStyle="1" w:styleId="ChartGraphic-Text">
    <w:name w:val="Chart Graphic - Text"/>
    <w:basedOn w:val="ChartGraphic"/>
    <w:rsid w:val="00827D31"/>
    <w:pPr>
      <w:spacing w:after="120"/>
      <w:ind w:left="33"/>
      <w:jc w:val="both"/>
    </w:pPr>
    <w:rPr>
      <w:rFonts w:cs="Times New Roman"/>
      <w:bCs w:val="0"/>
      <w:color w:val="auto"/>
      <w:kern w:val="0"/>
      <w:szCs w:val="20"/>
      <w:lang w:val="en-US"/>
    </w:rPr>
  </w:style>
  <w:style w:type="paragraph" w:customStyle="1" w:styleId="FootnoteText-Bullet">
    <w:name w:val="Footnote Text - Bullet"/>
    <w:basedOn w:val="Bullet-IndentFN"/>
    <w:rsid w:val="00AC7B83"/>
    <w:pPr>
      <w:tabs>
        <w:tab w:val="clear" w:pos="425"/>
      </w:tabs>
      <w:spacing w:before="0" w:after="40" w:line="240" w:lineRule="auto"/>
      <w:ind w:left="567" w:hanging="283"/>
    </w:pPr>
    <w:rPr>
      <w:spacing w:val="4"/>
      <w:sz w:val="20"/>
    </w:rPr>
  </w:style>
  <w:style w:type="paragraph" w:customStyle="1" w:styleId="TableTextZero">
    <w:name w:val="Table Text Zero"/>
    <w:basedOn w:val="TableTextLeft"/>
    <w:rsid w:val="00F148E0"/>
    <w:pPr>
      <w:spacing w:before="0" w:after="0"/>
    </w:pPr>
    <w:rPr>
      <w:sz w:val="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34198">
      <w:bodyDiv w:val="1"/>
      <w:marLeft w:val="0"/>
      <w:marRight w:val="0"/>
      <w:marTop w:val="0"/>
      <w:marBottom w:val="0"/>
      <w:divBdr>
        <w:top w:val="none" w:sz="0" w:space="0" w:color="auto"/>
        <w:left w:val="none" w:sz="0" w:space="0" w:color="auto"/>
        <w:bottom w:val="none" w:sz="0" w:space="0" w:color="auto"/>
        <w:right w:val="none" w:sz="0" w:space="0" w:color="auto"/>
      </w:divBdr>
      <w:divsChild>
        <w:div w:id="1055591362">
          <w:marLeft w:val="0"/>
          <w:marRight w:val="0"/>
          <w:marTop w:val="0"/>
          <w:marBottom w:val="0"/>
          <w:divBdr>
            <w:top w:val="none" w:sz="0" w:space="0" w:color="auto"/>
            <w:left w:val="none" w:sz="0" w:space="0" w:color="auto"/>
            <w:bottom w:val="none" w:sz="0" w:space="0" w:color="auto"/>
            <w:right w:val="none" w:sz="0" w:space="0" w:color="auto"/>
          </w:divBdr>
          <w:divsChild>
            <w:div w:id="1065564419">
              <w:marLeft w:val="0"/>
              <w:marRight w:val="0"/>
              <w:marTop w:val="0"/>
              <w:marBottom w:val="0"/>
              <w:divBdr>
                <w:top w:val="none" w:sz="0" w:space="0" w:color="auto"/>
                <w:left w:val="none" w:sz="0" w:space="0" w:color="auto"/>
                <w:bottom w:val="none" w:sz="0" w:space="0" w:color="auto"/>
                <w:right w:val="none" w:sz="0" w:space="0" w:color="auto"/>
              </w:divBdr>
              <w:divsChild>
                <w:div w:id="68282739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83136843">
      <w:bodyDiv w:val="1"/>
      <w:marLeft w:val="30"/>
      <w:marRight w:val="30"/>
      <w:marTop w:val="0"/>
      <w:marBottom w:val="0"/>
      <w:divBdr>
        <w:top w:val="none" w:sz="0" w:space="0" w:color="auto"/>
        <w:left w:val="none" w:sz="0" w:space="0" w:color="auto"/>
        <w:bottom w:val="none" w:sz="0" w:space="0" w:color="auto"/>
        <w:right w:val="none" w:sz="0" w:space="0" w:color="auto"/>
      </w:divBdr>
      <w:divsChild>
        <w:div w:id="1119757134">
          <w:marLeft w:val="0"/>
          <w:marRight w:val="0"/>
          <w:marTop w:val="0"/>
          <w:marBottom w:val="0"/>
          <w:divBdr>
            <w:top w:val="none" w:sz="0" w:space="0" w:color="auto"/>
            <w:left w:val="none" w:sz="0" w:space="0" w:color="auto"/>
            <w:bottom w:val="none" w:sz="0" w:space="0" w:color="auto"/>
            <w:right w:val="none" w:sz="0" w:space="0" w:color="auto"/>
          </w:divBdr>
          <w:divsChild>
            <w:div w:id="814301293">
              <w:marLeft w:val="0"/>
              <w:marRight w:val="0"/>
              <w:marTop w:val="0"/>
              <w:marBottom w:val="0"/>
              <w:divBdr>
                <w:top w:val="none" w:sz="0" w:space="0" w:color="auto"/>
                <w:left w:val="none" w:sz="0" w:space="0" w:color="auto"/>
                <w:bottom w:val="none" w:sz="0" w:space="0" w:color="auto"/>
                <w:right w:val="none" w:sz="0" w:space="0" w:color="auto"/>
              </w:divBdr>
              <w:divsChild>
                <w:div w:id="596716435">
                  <w:marLeft w:val="180"/>
                  <w:marRight w:val="0"/>
                  <w:marTop w:val="0"/>
                  <w:marBottom w:val="0"/>
                  <w:divBdr>
                    <w:top w:val="none" w:sz="0" w:space="0" w:color="auto"/>
                    <w:left w:val="none" w:sz="0" w:space="0" w:color="auto"/>
                    <w:bottom w:val="none" w:sz="0" w:space="0" w:color="auto"/>
                    <w:right w:val="none" w:sz="0" w:space="0" w:color="auto"/>
                  </w:divBdr>
                  <w:divsChild>
                    <w:div w:id="178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0011">
      <w:bodyDiv w:val="1"/>
      <w:marLeft w:val="0"/>
      <w:marRight w:val="0"/>
      <w:marTop w:val="0"/>
      <w:marBottom w:val="0"/>
      <w:divBdr>
        <w:top w:val="none" w:sz="0" w:space="0" w:color="auto"/>
        <w:left w:val="none" w:sz="0" w:space="0" w:color="auto"/>
        <w:bottom w:val="none" w:sz="0" w:space="0" w:color="auto"/>
        <w:right w:val="none" w:sz="0" w:space="0" w:color="auto"/>
      </w:divBdr>
    </w:div>
    <w:div w:id="276764856">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03503447">
      <w:bodyDiv w:val="1"/>
      <w:marLeft w:val="0"/>
      <w:marRight w:val="0"/>
      <w:marTop w:val="0"/>
      <w:marBottom w:val="0"/>
      <w:divBdr>
        <w:top w:val="none" w:sz="0" w:space="0" w:color="auto"/>
        <w:left w:val="none" w:sz="0" w:space="0" w:color="auto"/>
        <w:bottom w:val="none" w:sz="0" w:space="0" w:color="auto"/>
        <w:right w:val="none" w:sz="0" w:space="0" w:color="auto"/>
      </w:divBdr>
    </w:div>
    <w:div w:id="1268536892">
      <w:bodyDiv w:val="1"/>
      <w:marLeft w:val="0"/>
      <w:marRight w:val="0"/>
      <w:marTop w:val="0"/>
      <w:marBottom w:val="0"/>
      <w:divBdr>
        <w:top w:val="none" w:sz="0" w:space="0" w:color="auto"/>
        <w:left w:val="none" w:sz="0" w:space="0" w:color="auto"/>
        <w:bottom w:val="none" w:sz="0" w:space="0" w:color="auto"/>
        <w:right w:val="none" w:sz="0" w:space="0" w:color="auto"/>
      </w:divBdr>
    </w:div>
    <w:div w:id="1285846391">
      <w:bodyDiv w:val="1"/>
      <w:marLeft w:val="0"/>
      <w:marRight w:val="0"/>
      <w:marTop w:val="0"/>
      <w:marBottom w:val="0"/>
      <w:divBdr>
        <w:top w:val="none" w:sz="0" w:space="0" w:color="auto"/>
        <w:left w:val="none" w:sz="0" w:space="0" w:color="auto"/>
        <w:bottom w:val="none" w:sz="0" w:space="0" w:color="auto"/>
        <w:right w:val="none" w:sz="0" w:space="0" w:color="auto"/>
      </w:divBdr>
      <w:divsChild>
        <w:div w:id="642201619">
          <w:marLeft w:val="0"/>
          <w:marRight w:val="0"/>
          <w:marTop w:val="0"/>
          <w:marBottom w:val="0"/>
          <w:divBdr>
            <w:top w:val="none" w:sz="0" w:space="0" w:color="auto"/>
            <w:left w:val="none" w:sz="0" w:space="0" w:color="auto"/>
            <w:bottom w:val="none" w:sz="0" w:space="0" w:color="auto"/>
            <w:right w:val="none" w:sz="0" w:space="0" w:color="auto"/>
          </w:divBdr>
          <w:divsChild>
            <w:div w:id="193734950">
              <w:marLeft w:val="0"/>
              <w:marRight w:val="0"/>
              <w:marTop w:val="0"/>
              <w:marBottom w:val="0"/>
              <w:divBdr>
                <w:top w:val="none" w:sz="0" w:space="0" w:color="auto"/>
                <w:left w:val="none" w:sz="0" w:space="0" w:color="auto"/>
                <w:bottom w:val="none" w:sz="0" w:space="0" w:color="auto"/>
                <w:right w:val="none" w:sz="0" w:space="0" w:color="auto"/>
              </w:divBdr>
              <w:divsChild>
                <w:div w:id="1602103449">
                  <w:marLeft w:val="0"/>
                  <w:marRight w:val="0"/>
                  <w:marTop w:val="0"/>
                  <w:marBottom w:val="0"/>
                  <w:divBdr>
                    <w:top w:val="none" w:sz="0" w:space="0" w:color="auto"/>
                    <w:left w:val="none" w:sz="0" w:space="0" w:color="auto"/>
                    <w:bottom w:val="none" w:sz="0" w:space="0" w:color="auto"/>
                    <w:right w:val="none" w:sz="0" w:space="0" w:color="auto"/>
                  </w:divBdr>
                  <w:divsChild>
                    <w:div w:id="2111775342">
                      <w:marLeft w:val="150"/>
                      <w:marRight w:val="150"/>
                      <w:marTop w:val="150"/>
                      <w:marBottom w:val="150"/>
                      <w:divBdr>
                        <w:top w:val="none" w:sz="0" w:space="0" w:color="auto"/>
                        <w:left w:val="none" w:sz="0" w:space="0" w:color="auto"/>
                        <w:bottom w:val="none" w:sz="0" w:space="0" w:color="auto"/>
                        <w:right w:val="none" w:sz="0" w:space="0" w:color="auto"/>
                      </w:divBdr>
                      <w:divsChild>
                        <w:div w:id="102258691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487472270">
      <w:bodyDiv w:val="1"/>
      <w:marLeft w:val="0"/>
      <w:marRight w:val="0"/>
      <w:marTop w:val="0"/>
      <w:marBottom w:val="0"/>
      <w:divBdr>
        <w:top w:val="none" w:sz="0" w:space="0" w:color="auto"/>
        <w:left w:val="none" w:sz="0" w:space="0" w:color="auto"/>
        <w:bottom w:val="none" w:sz="0" w:space="0" w:color="auto"/>
        <w:right w:val="none" w:sz="0" w:space="0" w:color="auto"/>
      </w:divBdr>
    </w:div>
    <w:div w:id="1557008201">
      <w:bodyDiv w:val="1"/>
      <w:marLeft w:val="0"/>
      <w:marRight w:val="0"/>
      <w:marTop w:val="0"/>
      <w:marBottom w:val="0"/>
      <w:divBdr>
        <w:top w:val="none" w:sz="0" w:space="0" w:color="auto"/>
        <w:left w:val="none" w:sz="0" w:space="0" w:color="auto"/>
        <w:bottom w:val="none" w:sz="0" w:space="0" w:color="auto"/>
        <w:right w:val="none" w:sz="0" w:space="0" w:color="auto"/>
      </w:divBdr>
    </w:div>
    <w:div w:id="1896623484">
      <w:bodyDiv w:val="1"/>
      <w:marLeft w:val="0"/>
      <w:marRight w:val="0"/>
      <w:marTop w:val="0"/>
      <w:marBottom w:val="0"/>
      <w:divBdr>
        <w:top w:val="none" w:sz="0" w:space="0" w:color="auto"/>
        <w:left w:val="none" w:sz="0" w:space="0" w:color="auto"/>
        <w:bottom w:val="none" w:sz="0" w:space="0" w:color="auto"/>
        <w:right w:val="none" w:sz="0" w:space="0" w:color="auto"/>
      </w:divBdr>
    </w:div>
    <w:div w:id="1995836947">
      <w:bodyDiv w:val="1"/>
      <w:marLeft w:val="0"/>
      <w:marRight w:val="0"/>
      <w:marTop w:val="0"/>
      <w:marBottom w:val="0"/>
      <w:divBdr>
        <w:top w:val="none" w:sz="0" w:space="0" w:color="auto"/>
        <w:left w:val="none" w:sz="0" w:space="0" w:color="auto"/>
        <w:bottom w:val="none" w:sz="0" w:space="0" w:color="auto"/>
        <w:right w:val="none" w:sz="0" w:space="0" w:color="auto"/>
      </w:divBdr>
      <w:divsChild>
        <w:div w:id="2009818676">
          <w:marLeft w:val="0"/>
          <w:marRight w:val="0"/>
          <w:marTop w:val="0"/>
          <w:marBottom w:val="0"/>
          <w:divBdr>
            <w:top w:val="none" w:sz="0" w:space="0" w:color="auto"/>
            <w:left w:val="none" w:sz="0" w:space="0" w:color="auto"/>
            <w:bottom w:val="none" w:sz="0" w:space="0" w:color="auto"/>
            <w:right w:val="none" w:sz="0" w:space="0" w:color="auto"/>
          </w:divBdr>
          <w:divsChild>
            <w:div w:id="1701008216">
              <w:marLeft w:val="-300"/>
              <w:marRight w:val="0"/>
              <w:marTop w:val="0"/>
              <w:marBottom w:val="0"/>
              <w:divBdr>
                <w:top w:val="none" w:sz="0" w:space="0" w:color="auto"/>
                <w:left w:val="none" w:sz="0" w:space="0" w:color="auto"/>
                <w:bottom w:val="none" w:sz="0" w:space="0" w:color="auto"/>
                <w:right w:val="none" w:sz="0" w:space="0" w:color="auto"/>
              </w:divBdr>
              <w:divsChild>
                <w:div w:id="70975928">
                  <w:marLeft w:val="0"/>
                  <w:marRight w:val="0"/>
                  <w:marTop w:val="0"/>
                  <w:marBottom w:val="0"/>
                  <w:divBdr>
                    <w:top w:val="none" w:sz="0" w:space="0" w:color="auto"/>
                    <w:left w:val="none" w:sz="0" w:space="0" w:color="auto"/>
                    <w:bottom w:val="none" w:sz="0" w:space="0" w:color="auto"/>
                    <w:right w:val="none" w:sz="0" w:space="0" w:color="auto"/>
                  </w:divBdr>
                  <w:divsChild>
                    <w:div w:id="1882133492">
                      <w:marLeft w:val="0"/>
                      <w:marRight w:val="0"/>
                      <w:marTop w:val="0"/>
                      <w:marBottom w:val="360"/>
                      <w:divBdr>
                        <w:top w:val="none" w:sz="0" w:space="0" w:color="auto"/>
                        <w:left w:val="none" w:sz="0" w:space="0" w:color="auto"/>
                        <w:bottom w:val="none" w:sz="0" w:space="0" w:color="auto"/>
                        <w:right w:val="none" w:sz="0" w:space="0" w:color="auto"/>
                      </w:divBdr>
                      <w:divsChild>
                        <w:div w:id="13921878">
                          <w:marLeft w:val="0"/>
                          <w:marRight w:val="0"/>
                          <w:marTop w:val="0"/>
                          <w:marBottom w:val="0"/>
                          <w:divBdr>
                            <w:top w:val="none" w:sz="0" w:space="0" w:color="auto"/>
                            <w:left w:val="none" w:sz="0" w:space="0" w:color="auto"/>
                            <w:bottom w:val="none" w:sz="0" w:space="0" w:color="auto"/>
                            <w:right w:val="none" w:sz="0" w:space="0" w:color="auto"/>
                          </w:divBdr>
                          <w:divsChild>
                            <w:div w:id="11069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oter" Target="footer20.xml"/><Relationship Id="rId21" Type="http://schemas.openxmlformats.org/officeDocument/2006/relationships/hyperlink" Target="http://creativecommons.org/licenses/by/3.0/au/legalcode" TargetMode="External"/><Relationship Id="rId42" Type="http://schemas.openxmlformats.org/officeDocument/2006/relationships/header" Target="header12.xml"/><Relationship Id="rId47" Type="http://schemas.openxmlformats.org/officeDocument/2006/relationships/image" Target="media/image7.emf"/><Relationship Id="rId63" Type="http://schemas.openxmlformats.org/officeDocument/2006/relationships/image" Target="media/image23.png"/><Relationship Id="rId68" Type="http://schemas.openxmlformats.org/officeDocument/2006/relationships/image" Target="media/image27.emf"/><Relationship Id="rId84" Type="http://schemas.openxmlformats.org/officeDocument/2006/relationships/image" Target="media/image42.emf"/><Relationship Id="rId89" Type="http://schemas.openxmlformats.org/officeDocument/2006/relationships/chart" Target="charts/chart3.xml"/><Relationship Id="rId112" Type="http://schemas.openxmlformats.org/officeDocument/2006/relationships/hyperlink" Target="https://www.border.gov.au/ReportsandPublications/Documents/research/migrants-account-unexpected-rise-labour-force-rate-aus-2000-2010.pdf" TargetMode="External"/><Relationship Id="rId16" Type="http://schemas.openxmlformats.org/officeDocument/2006/relationships/footer" Target="footer1.xml"/><Relationship Id="rId107" Type="http://schemas.openxmlformats.org/officeDocument/2006/relationships/header" Target="header17.xml"/><Relationship Id="rId11" Type="http://schemas.openxmlformats.org/officeDocument/2006/relationships/webSettings" Target="webSettings.xml"/><Relationship Id="rId32" Type="http://schemas.openxmlformats.org/officeDocument/2006/relationships/image" Target="media/image4.png"/><Relationship Id="rId37" Type="http://schemas.openxmlformats.org/officeDocument/2006/relationships/header" Target="header9.xml"/><Relationship Id="rId53" Type="http://schemas.openxmlformats.org/officeDocument/2006/relationships/image" Target="media/image13.emf"/><Relationship Id="rId58" Type="http://schemas.openxmlformats.org/officeDocument/2006/relationships/image" Target="media/image18.emf"/><Relationship Id="rId74" Type="http://schemas.openxmlformats.org/officeDocument/2006/relationships/image" Target="media/image33.png"/><Relationship Id="rId79" Type="http://schemas.openxmlformats.org/officeDocument/2006/relationships/image" Target="media/image38.emf"/><Relationship Id="rId102" Type="http://schemas.openxmlformats.org/officeDocument/2006/relationships/header" Target="header15.xml"/><Relationship Id="rId123" Type="http://schemas.openxmlformats.org/officeDocument/2006/relationships/hyperlink" Target="https://www.border.gov.au/ReportsandPublications/Documents/research/citizenship-in-australia-2011.pdf" TargetMode="External"/><Relationship Id="rId128" Type="http://schemas.openxmlformats.org/officeDocument/2006/relationships/hyperlink" Target="https://data.worldbank.org/indicator/SP.POP.TOTL" TargetMode="External"/><Relationship Id="rId5" Type="http://schemas.openxmlformats.org/officeDocument/2006/relationships/customXml" Target="../customXml/item5.xml"/><Relationship Id="rId90" Type="http://schemas.openxmlformats.org/officeDocument/2006/relationships/chart" Target="charts/chart4.xml"/><Relationship Id="rId95" Type="http://schemas.openxmlformats.org/officeDocument/2006/relationships/image" Target="media/image47.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image" Target="media/image28.emf"/><Relationship Id="rId77" Type="http://schemas.openxmlformats.org/officeDocument/2006/relationships/image" Target="media/image36.emf"/><Relationship Id="rId100" Type="http://schemas.openxmlformats.org/officeDocument/2006/relationships/footer" Target="footer13.xml"/><Relationship Id="rId105" Type="http://schemas.openxmlformats.org/officeDocument/2006/relationships/footer" Target="footer16.xml"/><Relationship Id="rId113" Type="http://schemas.openxmlformats.org/officeDocument/2006/relationships/hyperlink" Target="https://theconversation.com/public-transport-is-always-greener-on-the-other-side-44307" TargetMode="External"/><Relationship Id="rId118" Type="http://schemas.openxmlformats.org/officeDocument/2006/relationships/hyperlink" Target="https://www.bostonfed.org/-/media/Documents/economic/...2016/Alan-B-Krueger.pdf" TargetMode="External"/><Relationship Id="rId126" Type="http://schemas.openxmlformats.org/officeDocument/2006/relationships/hyperlink" Target="http://budgetfiles201617.budget.vic.gov.au/2016-17+State+Budget+-+BP2+Strategy+and+Outlook.pdf" TargetMode="External"/><Relationship Id="rId8" Type="http://schemas.openxmlformats.org/officeDocument/2006/relationships/styles" Target="styles.xml"/><Relationship Id="rId51" Type="http://schemas.openxmlformats.org/officeDocument/2006/relationships/image" Target="media/image11.emf"/><Relationship Id="rId72" Type="http://schemas.openxmlformats.org/officeDocument/2006/relationships/image" Target="media/image31.emf"/><Relationship Id="rId80" Type="http://schemas.openxmlformats.org/officeDocument/2006/relationships/image" Target="media/image39.emf"/><Relationship Id="rId85" Type="http://schemas.openxmlformats.org/officeDocument/2006/relationships/chart" Target="charts/chart2.xml"/><Relationship Id="rId93" Type="http://schemas.openxmlformats.org/officeDocument/2006/relationships/chart" Target="charts/chart7.xml"/><Relationship Id="rId98" Type="http://schemas.openxmlformats.org/officeDocument/2006/relationships/header" Target="header13.xml"/><Relationship Id="rId121" Type="http://schemas.openxmlformats.org/officeDocument/2006/relationships/hyperlink" Target="https://www.pc.gov.au/inquiries/completed/migrant-intake/draft/migrant-intake-draft.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medialiaison@treasury.gov.au" TargetMode="External"/><Relationship Id="rId33" Type="http://schemas.openxmlformats.org/officeDocument/2006/relationships/image" Target="media/image5.png"/><Relationship Id="rId38" Type="http://schemas.openxmlformats.org/officeDocument/2006/relationships/footer" Target="footer8.xml"/><Relationship Id="rId46" Type="http://schemas.openxmlformats.org/officeDocument/2006/relationships/image" Target="media/image6.emf"/><Relationship Id="rId59" Type="http://schemas.openxmlformats.org/officeDocument/2006/relationships/image" Target="media/image19.jpeg"/><Relationship Id="rId67" Type="http://schemas.openxmlformats.org/officeDocument/2006/relationships/image" Target="media/image26.emf"/><Relationship Id="rId103" Type="http://schemas.openxmlformats.org/officeDocument/2006/relationships/footer" Target="footer15.xml"/><Relationship Id="rId108" Type="http://schemas.openxmlformats.org/officeDocument/2006/relationships/footer" Target="footer18.xml"/><Relationship Id="rId116" Type="http://schemas.openxmlformats.org/officeDocument/2006/relationships/hyperlink" Target="https://link.springer.com/article/10.1186/2193-9039-2-18" TargetMode="External"/><Relationship Id="rId124" Type="http://schemas.openxmlformats.org/officeDocument/2006/relationships/footer" Target="footer22.xml"/><Relationship Id="rId129" Type="http://schemas.openxmlformats.org/officeDocument/2006/relationships/footer" Target="footer23.xml"/><Relationship Id="rId20" Type="http://schemas.openxmlformats.org/officeDocument/2006/relationships/hyperlink" Target="http://creativecommons.org/licenses/by/3.0/au/deed.en" TargetMode="External"/><Relationship Id="rId41" Type="http://schemas.openxmlformats.org/officeDocument/2006/relationships/footer" Target="footer9.xml"/><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image" Target="media/image29.emf"/><Relationship Id="rId75" Type="http://schemas.openxmlformats.org/officeDocument/2006/relationships/image" Target="media/image34.png"/><Relationship Id="rId83" Type="http://schemas.openxmlformats.org/officeDocument/2006/relationships/image" Target="media/image41.emf"/><Relationship Id="rId88" Type="http://schemas.openxmlformats.org/officeDocument/2006/relationships/image" Target="media/image45.emf"/><Relationship Id="rId91" Type="http://schemas.openxmlformats.org/officeDocument/2006/relationships/chart" Target="charts/chart5.xml"/><Relationship Id="rId96" Type="http://schemas.openxmlformats.org/officeDocument/2006/relationships/image" Target="media/image48.emf"/><Relationship Id="rId11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creativecommons.org/licenses/by/3.0/au/deed.en"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9.emf"/><Relationship Id="rId57" Type="http://schemas.openxmlformats.org/officeDocument/2006/relationships/image" Target="media/image17.emf"/><Relationship Id="rId106" Type="http://schemas.openxmlformats.org/officeDocument/2006/relationships/footer" Target="footer17.xml"/><Relationship Id="rId114" Type="http://schemas.openxmlformats.org/officeDocument/2006/relationships/hyperlink" Target="https://www.border.gov.au/about/reports-publications/research-statistics/statistics/live-in-australia/migration-programme" TargetMode="External"/><Relationship Id="rId119" Type="http://schemas.openxmlformats.org/officeDocument/2006/relationships/footer" Target="footer21.xml"/><Relationship Id="rId127" Type="http://schemas.openxmlformats.org/officeDocument/2006/relationships/hyperlink" Target="https://static.treasury.gov.au/uploads/sites/1/2017/06/TWP_FI_Residential_Property_Price_Growth.pdf" TargetMode="External"/><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image" Target="media/image12.emf"/><Relationship Id="rId60" Type="http://schemas.openxmlformats.org/officeDocument/2006/relationships/image" Target="media/image20.png"/><Relationship Id="rId65" Type="http://schemas.openxmlformats.org/officeDocument/2006/relationships/image" Target="media/image25.emf"/><Relationship Id="rId73" Type="http://schemas.openxmlformats.org/officeDocument/2006/relationships/image" Target="media/image32.jpeg"/><Relationship Id="rId78" Type="http://schemas.openxmlformats.org/officeDocument/2006/relationships/image" Target="media/image37.emf"/><Relationship Id="rId81" Type="http://schemas.openxmlformats.org/officeDocument/2006/relationships/image" Target="media/image40.emf"/><Relationship Id="rId86" Type="http://schemas.openxmlformats.org/officeDocument/2006/relationships/image" Target="media/image43.emf"/><Relationship Id="rId94" Type="http://schemas.openxmlformats.org/officeDocument/2006/relationships/image" Target="media/image46.emf"/><Relationship Id="rId99" Type="http://schemas.openxmlformats.org/officeDocument/2006/relationships/header" Target="header14.xml"/><Relationship Id="rId101" Type="http://schemas.openxmlformats.org/officeDocument/2006/relationships/footer" Target="footer14.xml"/><Relationship Id="rId122" Type="http://schemas.openxmlformats.org/officeDocument/2006/relationships/hyperlink" Target="http://www.pc.gov.au/inquiries/completed/migrant-intake/report/migrant-intake-report.pdf"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yperlink" Target="http://www.mipex.eu/" TargetMode="External"/><Relationship Id="rId34" Type="http://schemas.openxmlformats.org/officeDocument/2006/relationships/header" Target="header7.xml"/><Relationship Id="rId50" Type="http://schemas.openxmlformats.org/officeDocument/2006/relationships/image" Target="media/image10.emf"/><Relationship Id="rId55" Type="http://schemas.openxmlformats.org/officeDocument/2006/relationships/image" Target="media/image15.emf"/><Relationship Id="rId76" Type="http://schemas.openxmlformats.org/officeDocument/2006/relationships/image" Target="media/image35.emf"/><Relationship Id="rId97" Type="http://schemas.openxmlformats.org/officeDocument/2006/relationships/image" Target="media/image49.png"/><Relationship Id="rId104" Type="http://schemas.openxmlformats.org/officeDocument/2006/relationships/header" Target="header16.xml"/><Relationship Id="rId120" Type="http://schemas.openxmlformats.org/officeDocument/2006/relationships/hyperlink" Target="https://data.oecd.org/transport/infrastructure-investment.htm" TargetMode="External"/><Relationship Id="rId125" Type="http://schemas.openxmlformats.org/officeDocument/2006/relationships/hyperlink" Target="https://www.parliament.vic.gov.au/images/stories/documents/council/Select_Committees/Trains/Presentations/Myki_Pres.pdf" TargetMode="External"/><Relationship Id="rId7" Type="http://schemas.openxmlformats.org/officeDocument/2006/relationships/numbering" Target="numbering.xml"/><Relationship Id="rId71" Type="http://schemas.openxmlformats.org/officeDocument/2006/relationships/image" Target="media/image30.emf"/><Relationship Id="rId92" Type="http://schemas.openxmlformats.org/officeDocument/2006/relationships/chart" Target="charts/chart6.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www.itsanhonour.gov.au" TargetMode="External"/><Relationship Id="rId40" Type="http://schemas.openxmlformats.org/officeDocument/2006/relationships/header" Target="header11.xml"/><Relationship Id="rId45" Type="http://schemas.openxmlformats.org/officeDocument/2006/relationships/footer" Target="footer12.xml"/><Relationship Id="rId66" Type="http://schemas.openxmlformats.org/officeDocument/2006/relationships/chart" Target="charts/chart1.xml"/><Relationship Id="rId87" Type="http://schemas.openxmlformats.org/officeDocument/2006/relationships/image" Target="media/image44.emf"/><Relationship Id="rId110" Type="http://schemas.openxmlformats.org/officeDocument/2006/relationships/hyperlink" Target="http://blog.id.com.au/2016/population/demographic-trends/are-australias-migrants-home-owners/" TargetMode="External"/><Relationship Id="rId115" Type="http://schemas.openxmlformats.org/officeDocument/2006/relationships/hyperlink" Target="https://www.border.gov.au/about/reports-publications/research-statistics/statistics/live-in-australia/temporary-entrants-in-australia" TargetMode="External"/><Relationship Id="rId131" Type="http://schemas.openxmlformats.org/officeDocument/2006/relationships/theme" Target="theme/theme1.xml"/><Relationship Id="rId61" Type="http://schemas.openxmlformats.org/officeDocument/2006/relationships/image" Target="media/image21.emf"/><Relationship Id="rId82" Type="http://schemas.openxmlformats.org/officeDocument/2006/relationships/hyperlink" Target="https://link.springer.com/article/10.1186/2193-9039-2-1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14590276726953"/>
          <c:y val="0.39197530864197533"/>
          <c:w val="6.3310591609165981E-2"/>
          <c:h val="4.9413580246913578E-2"/>
        </c:manualLayout>
      </c:layout>
      <c:barChart>
        <c:barDir val="col"/>
        <c:grouping val="stacked"/>
        <c:varyColors val="0"/>
        <c:ser>
          <c:idx val="0"/>
          <c:order val="0"/>
          <c:tx>
            <c:strRef>
              <c:f>Sheet1!$B$1</c:f>
              <c:strCache>
                <c:ptCount val="1"/>
                <c:pt idx="0">
                  <c:v>1996</c:v>
                </c:pt>
              </c:strCache>
            </c:strRef>
          </c:tx>
          <c:spPr>
            <a:solidFill>
              <a:srgbClr val="35B779"/>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Sheet1!$B$23:$B$30</c:f>
              <c:numCache>
                <c:formatCode>General</c:formatCode>
                <c:ptCount val="8"/>
                <c:pt idx="0">
                  <c:v>196.62</c:v>
                </c:pt>
                <c:pt idx="1">
                  <c:v>31.03</c:v>
                </c:pt>
                <c:pt idx="2">
                  <c:v>12.83</c:v>
                </c:pt>
                <c:pt idx="3">
                  <c:v>10.55</c:v>
                </c:pt>
                <c:pt idx="4">
                  <c:v>18</c:v>
                </c:pt>
                <c:pt idx="5">
                  <c:v>4.49</c:v>
                </c:pt>
                <c:pt idx="6">
                  <c:v>4.0599999999999996</c:v>
                </c:pt>
                <c:pt idx="7">
                  <c:v>19.46</c:v>
                </c:pt>
              </c:numCache>
            </c:numRef>
          </c:val>
        </c:ser>
        <c:ser>
          <c:idx val="1"/>
          <c:order val="1"/>
          <c:tx>
            <c:strRef>
              <c:f>Sheet1!$C$1</c:f>
              <c:strCache>
                <c:ptCount val="1"/>
                <c:pt idx="0">
                  <c:v>2016 increase</c:v>
                </c:pt>
              </c:strCache>
            </c:strRef>
          </c:tx>
          <c:spPr>
            <a:solidFill>
              <a:srgbClr val="31688E"/>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Sheet1!$C$23:$C$30</c:f>
              <c:numCache>
                <c:formatCode>General</c:formatCode>
                <c:ptCount val="8"/>
                <c:pt idx="0">
                  <c:v>44.12</c:v>
                </c:pt>
                <c:pt idx="1">
                  <c:v>37.31</c:v>
                </c:pt>
                <c:pt idx="2">
                  <c:v>39.18</c:v>
                </c:pt>
                <c:pt idx="3">
                  <c:v>28.76</c:v>
                </c:pt>
                <c:pt idx="4">
                  <c:v>13.45</c:v>
                </c:pt>
                <c:pt idx="5">
                  <c:v>24.38</c:v>
                </c:pt>
                <c:pt idx="6">
                  <c:v>23.38</c:v>
                </c:pt>
                <c:pt idx="7">
                  <c:v>0</c:v>
                </c:pt>
              </c:numCache>
            </c:numRef>
          </c:val>
        </c:ser>
        <c:ser>
          <c:idx val="2"/>
          <c:order val="2"/>
          <c:tx>
            <c:strRef>
              <c:f>Sheet1!$D$1</c:f>
              <c:strCache>
                <c:ptCount val="1"/>
                <c:pt idx="0">
                  <c:v>2016 decrease</c:v>
                </c:pt>
              </c:strCache>
            </c:strRef>
          </c:tx>
          <c:spPr>
            <a:solidFill>
              <a:srgbClr val="808080"/>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Sheet1!$D$23:$D$30</c:f>
              <c:numCache>
                <c:formatCode>General</c:formatCode>
                <c:ptCount val="8"/>
                <c:pt idx="0">
                  <c:v>0</c:v>
                </c:pt>
                <c:pt idx="1">
                  <c:v>0</c:v>
                </c:pt>
                <c:pt idx="2">
                  <c:v>0</c:v>
                </c:pt>
                <c:pt idx="3">
                  <c:v>0</c:v>
                </c:pt>
                <c:pt idx="4">
                  <c:v>0</c:v>
                </c:pt>
                <c:pt idx="5">
                  <c:v>0</c:v>
                </c:pt>
                <c:pt idx="6">
                  <c:v>0</c:v>
                </c:pt>
                <c:pt idx="7">
                  <c:v>4.91</c:v>
                </c:pt>
              </c:numCache>
            </c:numRef>
          </c:val>
        </c:ser>
        <c:dLbls>
          <c:showLegendKey val="0"/>
          <c:showVal val="0"/>
          <c:showCatName val="0"/>
          <c:showSerName val="0"/>
          <c:showPercent val="0"/>
          <c:showBubbleSize val="0"/>
        </c:dLbls>
        <c:gapWidth val="150"/>
        <c:overlap val="100"/>
        <c:axId val="137742592"/>
        <c:axId val="137752576"/>
      </c:barChart>
      <c:barChart>
        <c:barDir val="col"/>
        <c:grouping val="stacked"/>
        <c:varyColors val="0"/>
        <c:ser>
          <c:idx val="3"/>
          <c:order val="3"/>
          <c:tx>
            <c:v>DUMMY</c:v>
          </c:tx>
          <c:spPr>
            <a:noFill/>
            <a:ln w="25400">
              <a:noFill/>
            </a:ln>
            <a:effectLst/>
          </c:spPr>
          <c:invertIfNegative val="0"/>
        </c:ser>
        <c:dLbls>
          <c:showLegendKey val="0"/>
          <c:showVal val="0"/>
          <c:showCatName val="0"/>
          <c:showSerName val="0"/>
          <c:showPercent val="0"/>
          <c:showBubbleSize val="0"/>
        </c:dLbls>
        <c:gapWidth val="150"/>
        <c:overlap val="100"/>
        <c:axId val="137755648"/>
        <c:axId val="137754112"/>
      </c:barChart>
      <c:catAx>
        <c:axId val="137742592"/>
        <c:scaling>
          <c:orientation val="minMax"/>
        </c:scaling>
        <c:delete val="1"/>
        <c:axPos val="b"/>
        <c:majorTickMark val="in"/>
        <c:minorTickMark val="none"/>
        <c:tickLblPos val="low"/>
        <c:crossAx val="137752576"/>
        <c:crosses val="autoZero"/>
        <c:auto val="1"/>
        <c:lblAlgn val="ctr"/>
        <c:lblOffset val="100"/>
        <c:noMultiLvlLbl val="0"/>
      </c:catAx>
      <c:valAx>
        <c:axId val="137752576"/>
        <c:scaling>
          <c:orientation val="minMax"/>
          <c:max val="250"/>
        </c:scaling>
        <c:delete val="1"/>
        <c:axPos val="l"/>
        <c:numFmt formatCode="General" sourceLinked="1"/>
        <c:majorTickMark val="in"/>
        <c:minorTickMark val="none"/>
        <c:tickLblPos val="nextTo"/>
        <c:crossAx val="137742592"/>
        <c:crosses val="autoZero"/>
        <c:crossBetween val="between"/>
      </c:valAx>
      <c:valAx>
        <c:axId val="137754112"/>
        <c:scaling>
          <c:orientation val="minMax"/>
          <c:max val="250"/>
          <c:min val="0"/>
        </c:scaling>
        <c:delete val="1"/>
        <c:axPos val="r"/>
        <c:numFmt formatCode="General" sourceLinked="0"/>
        <c:majorTickMark val="in"/>
        <c:minorTickMark val="none"/>
        <c:tickLblPos val="nextTo"/>
        <c:crossAx val="137755648"/>
        <c:crosses val="max"/>
        <c:crossBetween val="between"/>
        <c:majorUnit val="50"/>
        <c:minorUnit val="10"/>
      </c:valAx>
      <c:catAx>
        <c:axId val="137755648"/>
        <c:scaling>
          <c:orientation val="minMax"/>
        </c:scaling>
        <c:delete val="1"/>
        <c:axPos val="b"/>
        <c:majorTickMark val="out"/>
        <c:minorTickMark val="none"/>
        <c:tickLblPos val="nextTo"/>
        <c:crossAx val="137754112"/>
        <c:crosses val="autoZero"/>
        <c:auto val="1"/>
        <c:lblAlgn val="ctr"/>
        <c:lblOffset val="100"/>
        <c:noMultiLvlLbl val="0"/>
      </c:cat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b"/>
      <c:legendEntry>
        <c:idx val="3"/>
        <c:delete val="1"/>
      </c:legendEntry>
      <c:layout>
        <c:manualLayout>
          <c:xMode val="edge"/>
          <c:yMode val="edge"/>
          <c:x val="9.5078251360746449E-2"/>
          <c:y val="0.37404999999999999"/>
          <c:w val="0.76586712244761568"/>
          <c:h val="0.1163820987654321"/>
        </c:manualLayout>
      </c:layout>
      <c:overlay val="0"/>
      <c:spPr>
        <a:solidFill>
          <a:schemeClr val="bg1"/>
        </a:solidFill>
        <a:ln w="25400">
          <a:noFill/>
        </a:ln>
      </c:spPr>
      <c:txPr>
        <a:bodyPr/>
        <a:lstStyle/>
        <a:p>
          <a:pPr>
            <a:defRPr sz="800">
              <a:latin typeface="Arial"/>
              <a:ea typeface="Arial"/>
              <a:cs typeface="Arial"/>
            </a:defRPr>
          </a:pPr>
          <a:endParaRPr lang="en-US"/>
        </a:p>
      </c:tx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912728413692129E-2"/>
          <c:y val="5.4155352727731983E-2"/>
          <c:w val="0.8614979942032519"/>
          <c:h val="0.9186091053950497"/>
        </c:manualLayout>
      </c:layout>
      <c:barChart>
        <c:barDir val="col"/>
        <c:grouping val="stacked"/>
        <c:varyColors val="0"/>
        <c:ser>
          <c:idx val="0"/>
          <c:order val="0"/>
          <c:tx>
            <c:strRef>
              <c:f>'[170820 - Fiscal impact of immigration.xlsx]Sheet1'!$B$1</c:f>
              <c:strCache>
                <c:ptCount val="1"/>
                <c:pt idx="0">
                  <c:v>Secondary</c:v>
                </c:pt>
              </c:strCache>
            </c:strRef>
          </c:tx>
          <c:spPr>
            <a:solidFill>
              <a:srgbClr val="31688E">
                <a:alpha val="25000"/>
              </a:srgbClr>
            </a:solidFill>
          </c:spPr>
          <c:invertIfNegative val="0"/>
          <c:dLbls>
            <c:dLbl>
              <c:idx val="0"/>
              <c:layout>
                <c:manualLayout>
                  <c:x val="-4.3604416620597946E-3"/>
                  <c:y val="-4.195549405354478E-5"/>
                </c:manualLayout>
              </c:layout>
              <c:dLblPos val="ctr"/>
              <c:showLegendKey val="0"/>
              <c:showVal val="0"/>
              <c:showCatName val="0"/>
              <c:showSerName val="1"/>
              <c:showPercent val="0"/>
              <c:showBubbleSize val="0"/>
            </c:dLbl>
            <c:dLbl>
              <c:idx val="1"/>
              <c:delete val="1"/>
            </c:dLbl>
            <c:txPr>
              <a:bodyPr rot="-5400000" vert="horz"/>
              <a:lstStyle/>
              <a:p>
                <a:pPr>
                  <a:defRPr sz="750">
                    <a:solidFill>
                      <a:srgbClr val="31688E"/>
                    </a:solidFill>
                  </a:defRPr>
                </a:pPr>
                <a:endParaRPr lang="en-US"/>
              </a:p>
            </c:txPr>
            <c:dLblPos val="inBase"/>
            <c:showLegendKey val="0"/>
            <c:showVal val="0"/>
            <c:showCatName val="0"/>
            <c:showSerName val="1"/>
            <c:showPercent val="0"/>
            <c:showBubbleSize val="0"/>
            <c:showLeaderLines val="0"/>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immigration.xlsx]Sheet1'!$B$2:$B$12</c:f>
              <c:numCache>
                <c:formatCode>General</c:formatCode>
                <c:ptCount val="11"/>
                <c:pt idx="0">
                  <c:v>-2.8</c:v>
                </c:pt>
                <c:pt idx="1">
                  <c:v>0</c:v>
                </c:pt>
              </c:numCache>
            </c:numRef>
          </c:val>
        </c:ser>
        <c:ser>
          <c:idx val="1"/>
          <c:order val="1"/>
          <c:tx>
            <c:strRef>
              <c:f>'[170820 - Fiscal impact of immigration.xlsx]Sheet1'!$C$1</c:f>
              <c:strCache>
                <c:ptCount val="1"/>
                <c:pt idx="0">
                  <c:v>Primary</c:v>
                </c:pt>
              </c:strCache>
            </c:strRef>
          </c:tx>
          <c:spPr>
            <a:solidFill>
              <a:srgbClr val="31688E"/>
            </a:solidFill>
          </c:spPr>
          <c:invertIfNegative val="0"/>
          <c:dPt>
            <c:idx val="0"/>
            <c:invertIfNegative val="0"/>
            <c:bubble3D val="0"/>
            <c:spPr>
              <a:solidFill>
                <a:srgbClr val="31688E">
                  <a:alpha val="25000"/>
                </a:srgbClr>
              </a:solidFill>
            </c:spPr>
          </c:dPt>
          <c:dPt>
            <c:idx val="1"/>
            <c:invertIfNegative val="0"/>
            <c:bubble3D val="0"/>
          </c:dPt>
          <c:dLbls>
            <c:dLbl>
              <c:idx val="0"/>
              <c:tx>
                <c:rich>
                  <a:bodyPr rot="-5400000" vert="horz"/>
                  <a:lstStyle/>
                  <a:p>
                    <a:pPr>
                      <a:defRPr sz="800"/>
                    </a:pPr>
                    <a:r>
                      <a:rPr lang="en-US" sz="800">
                        <a:solidFill>
                          <a:srgbClr val="31688E"/>
                        </a:solidFill>
                      </a:rPr>
                      <a:t>Primary</a:t>
                    </a:r>
                    <a:endParaRPr lang="en-US">
                      <a:solidFill>
                        <a:srgbClr val="31688E"/>
                      </a:solidFill>
                    </a:endParaRPr>
                  </a:p>
                </c:rich>
              </c:tx>
              <c:spPr/>
              <c:showLegendKey val="0"/>
              <c:showVal val="0"/>
              <c:showCatName val="0"/>
              <c:showSerName val="1"/>
              <c:showPercent val="0"/>
              <c:showBubbleSize val="0"/>
            </c:dLbl>
            <c:dLbl>
              <c:idx val="1"/>
              <c:delete val="1"/>
            </c:dLbl>
            <c:txPr>
              <a:bodyPr/>
              <a:lstStyle/>
              <a:p>
                <a:pPr>
                  <a:defRPr sz="800"/>
                </a:pPr>
                <a:endParaRPr lang="en-US"/>
              </a:p>
            </c:txPr>
            <c:showLegendKey val="0"/>
            <c:showVal val="0"/>
            <c:showCatName val="0"/>
            <c:showSerName val="1"/>
            <c:showPercent val="0"/>
            <c:showBubbleSize val="0"/>
            <c:showLeaderLines val="0"/>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immigration.xlsx]Sheet1'!$C$2:$C$12</c:f>
              <c:numCache>
                <c:formatCode>General</c:formatCode>
                <c:ptCount val="11"/>
                <c:pt idx="0">
                  <c:v>9.8000000000000007</c:v>
                </c:pt>
                <c:pt idx="1">
                  <c:v>6.9</c:v>
                </c:pt>
              </c:numCache>
            </c:numRef>
          </c:val>
        </c:ser>
        <c:ser>
          <c:idx val="2"/>
          <c:order val="2"/>
          <c:tx>
            <c:strRef>
              <c:f>'[170820 - Fiscal impact of immigration.xlsx]Sheet1'!$D$1</c:f>
              <c:strCache>
                <c:ptCount val="1"/>
                <c:pt idx="0">
                  <c:v>Other</c:v>
                </c:pt>
              </c:strCache>
            </c:strRef>
          </c:tx>
          <c:spPr>
            <a:solidFill>
              <a:srgbClr val="35B779">
                <a:alpha val="25000"/>
              </a:srgbClr>
            </a:solidFill>
          </c:spPr>
          <c:invertIfNegative val="0"/>
          <c:dLbls>
            <c:dLbl>
              <c:idx val="3"/>
              <c:layout>
                <c:manualLayout>
                  <c:x val="-3.9975512757656071E-4"/>
                  <c:y val="7.7870814673717235E-4"/>
                </c:manualLayout>
              </c:layout>
              <c:showLegendKey val="0"/>
              <c:showVal val="0"/>
              <c:showCatName val="0"/>
              <c:showSerName val="1"/>
              <c:showPercent val="0"/>
              <c:showBubbleSize val="0"/>
            </c:dLbl>
            <c:dLbl>
              <c:idx val="4"/>
              <c:delete val="1"/>
            </c:dLbl>
            <c:txPr>
              <a:bodyPr rot="-5400000" vert="horz"/>
              <a:lstStyle/>
              <a:p>
                <a:pPr>
                  <a:defRPr sz="750">
                    <a:solidFill>
                      <a:srgbClr val="35B779"/>
                    </a:solidFill>
                  </a:defRPr>
                </a:pPr>
                <a:endParaRPr lang="en-US"/>
              </a:p>
            </c:txPr>
            <c:showLegendKey val="0"/>
            <c:showVal val="0"/>
            <c:showCatName val="0"/>
            <c:showSerName val="1"/>
            <c:showPercent val="0"/>
            <c:showBubbleSize val="0"/>
            <c:showLeaderLines val="0"/>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immigration.xlsx]Sheet1'!$D$2:$D$12</c:f>
              <c:numCache>
                <c:formatCode>General</c:formatCode>
                <c:ptCount val="11"/>
                <c:pt idx="3">
                  <c:v>-1.8</c:v>
                </c:pt>
                <c:pt idx="4">
                  <c:v>0</c:v>
                </c:pt>
              </c:numCache>
            </c:numRef>
          </c:val>
        </c:ser>
        <c:ser>
          <c:idx val="3"/>
          <c:order val="3"/>
          <c:tx>
            <c:strRef>
              <c:f>'[170820 - Fiscal impact of immigration.xlsx]Sheet1'!$E$1</c:f>
              <c:strCache>
                <c:ptCount val="1"/>
                <c:pt idx="0">
                  <c:v>Partner</c:v>
                </c:pt>
              </c:strCache>
            </c:strRef>
          </c:tx>
          <c:spPr>
            <a:solidFill>
              <a:srgbClr val="35B779"/>
            </a:solidFill>
          </c:spPr>
          <c:invertIfNegative val="0"/>
          <c:dPt>
            <c:idx val="2"/>
            <c:invertIfNegative val="0"/>
            <c:bubble3D val="0"/>
            <c:spPr>
              <a:solidFill>
                <a:srgbClr val="35B779">
                  <a:alpha val="25000"/>
                </a:srgbClr>
              </a:solidFill>
            </c:spPr>
          </c:dPt>
          <c:dPt>
            <c:idx val="3"/>
            <c:invertIfNegative val="0"/>
            <c:bubble3D val="0"/>
            <c:spPr>
              <a:solidFill>
                <a:srgbClr val="35B779">
                  <a:alpha val="25000"/>
                </a:srgbClr>
              </a:solidFill>
            </c:spPr>
          </c:dPt>
          <c:dLbls>
            <c:dLbl>
              <c:idx val="2"/>
              <c:layout>
                <c:manualLayout>
                  <c:x val="-9.9004264079440756E-4"/>
                  <c:y val="-8.6656533663381774E-3"/>
                </c:manualLayout>
              </c:layout>
              <c:dLblPos val="ctr"/>
              <c:showLegendKey val="0"/>
              <c:showVal val="0"/>
              <c:showCatName val="0"/>
              <c:showSerName val="1"/>
              <c:showPercent val="0"/>
              <c:showBubbleSize val="0"/>
            </c:dLbl>
            <c:dLbl>
              <c:idx val="3"/>
              <c:delete val="1"/>
            </c:dLbl>
            <c:dLbl>
              <c:idx val="4"/>
              <c:layout>
                <c:manualLayout>
                  <c:x val="-7.468086226726714E-2"/>
                  <c:y val="-4.7739187893731425E-2"/>
                </c:manualLayout>
              </c:layout>
              <c:dLblPos val="ctr"/>
              <c:showLegendKey val="0"/>
              <c:showVal val="0"/>
              <c:showCatName val="0"/>
              <c:showSerName val="1"/>
              <c:showPercent val="0"/>
              <c:showBubbleSize val="0"/>
            </c:dLbl>
            <c:txPr>
              <a:bodyPr rot="-5400000" vert="horz"/>
              <a:lstStyle/>
              <a:p>
                <a:pPr>
                  <a:defRPr sz="800">
                    <a:solidFill>
                      <a:srgbClr val="35B779"/>
                    </a:solidFill>
                  </a:defRPr>
                </a:pPr>
                <a:endParaRPr lang="en-US"/>
              </a:p>
            </c:txPr>
            <c:dLblPos val="inBase"/>
            <c:showLegendKey val="0"/>
            <c:showVal val="0"/>
            <c:showCatName val="0"/>
            <c:showSerName val="1"/>
            <c:showPercent val="0"/>
            <c:showBubbleSize val="0"/>
            <c:showLeaderLines val="0"/>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immigration.xlsx]Sheet1'!$E$2:$E$12</c:f>
              <c:numCache>
                <c:formatCode>General</c:formatCode>
                <c:ptCount val="11"/>
                <c:pt idx="3">
                  <c:v>3.3</c:v>
                </c:pt>
                <c:pt idx="4">
                  <c:v>1.6</c:v>
                </c:pt>
              </c:numCache>
            </c:numRef>
          </c:val>
        </c:ser>
        <c:ser>
          <c:idx val="4"/>
          <c:order val="4"/>
          <c:tx>
            <c:strRef>
              <c:f>'[170820 - Fiscal impact of immigration.xlsx]Sheet1'!$F$1</c:f>
              <c:strCache>
                <c:ptCount val="1"/>
                <c:pt idx="0">
                  <c:v>Humanitarian</c:v>
                </c:pt>
              </c:strCache>
            </c:strRef>
          </c:tx>
          <c:spPr>
            <a:solidFill>
              <a:srgbClr val="440154"/>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immigration.xlsx]Sheet1'!$F$2:$F$12</c:f>
              <c:numCache>
                <c:formatCode>General</c:formatCode>
                <c:ptCount val="11"/>
                <c:pt idx="6">
                  <c:v>-2.7</c:v>
                </c:pt>
              </c:numCache>
            </c:numRef>
          </c:val>
        </c:ser>
        <c:ser>
          <c:idx val="5"/>
          <c:order val="5"/>
          <c:tx>
            <c:strRef>
              <c:f>'[170820 - Fiscal impact of immigration.xlsx]Sheet1'!$G$1</c:f>
              <c:strCache>
                <c:ptCount val="1"/>
                <c:pt idx="0">
                  <c:v>457</c:v>
                </c:pt>
              </c:strCache>
            </c:strRef>
          </c:tx>
          <c:spPr>
            <a:solidFill>
              <a:srgbClr val="F1D56F"/>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immigration.xlsx]Sheet1'!$G$2:$G$12</c:f>
              <c:numCache>
                <c:formatCode>General</c:formatCode>
                <c:ptCount val="11"/>
                <c:pt idx="8">
                  <c:v>3.9</c:v>
                </c:pt>
              </c:numCache>
            </c:numRef>
          </c:val>
        </c:ser>
        <c:ser>
          <c:idx val="6"/>
          <c:order val="6"/>
          <c:tx>
            <c:strRef>
              <c:f>'[170820 - Fiscal impact of immigration.xlsx]Sheet1'!$H$1</c:f>
              <c:strCache>
                <c:ptCount val="1"/>
                <c:pt idx="0">
                  <c:v>Total</c:v>
                </c:pt>
              </c:strCache>
            </c:strRef>
          </c:tx>
          <c:spPr>
            <a:solidFill>
              <a:srgbClr val="CB5D6A"/>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immigration.xlsx]Sheet1'!$H$2:$H$12</c:f>
              <c:numCache>
                <c:formatCode>General</c:formatCode>
                <c:ptCount val="11"/>
                <c:pt idx="10">
                  <c:v>9.6999999999999993</c:v>
                </c:pt>
              </c:numCache>
            </c:numRef>
          </c:val>
        </c:ser>
        <c:dLbls>
          <c:showLegendKey val="0"/>
          <c:showVal val="1"/>
          <c:showCatName val="0"/>
          <c:showSerName val="0"/>
          <c:showPercent val="0"/>
          <c:showBubbleSize val="0"/>
        </c:dLbls>
        <c:gapWidth val="61"/>
        <c:overlap val="100"/>
        <c:serLines>
          <c:spPr>
            <a:ln>
              <a:prstDash val="dash"/>
            </a:ln>
          </c:spPr>
        </c:serLines>
        <c:axId val="63121280"/>
        <c:axId val="63122816"/>
      </c:barChart>
      <c:barChart>
        <c:barDir val="col"/>
        <c:grouping val="stacked"/>
        <c:varyColors val="0"/>
        <c:ser>
          <c:idx val="7"/>
          <c:order val="7"/>
          <c:tx>
            <c:v>DUMMY</c:v>
          </c:tx>
          <c:spPr>
            <a:noFill/>
            <a:ln w="25400">
              <a:noFill/>
            </a:ln>
            <a:effectLst/>
          </c:spPr>
          <c:invertIfNegative val="0"/>
          <c:dLbls>
            <c:showLegendKey val="0"/>
            <c:showVal val="1"/>
            <c:showCatName val="0"/>
            <c:showSerName val="0"/>
            <c:showPercent val="0"/>
            <c:showBubbleSize val="0"/>
            <c:showLeaderLines val="0"/>
          </c:dLbls>
        </c:ser>
        <c:dLbls>
          <c:showLegendKey val="0"/>
          <c:showVal val="0"/>
          <c:showCatName val="0"/>
          <c:showSerName val="0"/>
          <c:showPercent val="0"/>
          <c:showBubbleSize val="0"/>
        </c:dLbls>
        <c:gapWidth val="150"/>
        <c:overlap val="100"/>
        <c:axId val="63143296"/>
        <c:axId val="63141376"/>
      </c:barChart>
      <c:catAx>
        <c:axId val="63121280"/>
        <c:scaling>
          <c:orientation val="minMax"/>
        </c:scaling>
        <c:delete val="0"/>
        <c:axPos val="b"/>
        <c:majorTickMark val="none"/>
        <c:minorTickMark val="none"/>
        <c:tickLblPos val="none"/>
        <c:spPr>
          <a:ln w="12700">
            <a:solidFill>
              <a:srgbClr val="808080"/>
            </a:solidFill>
            <a:prstDash val="solid"/>
          </a:ln>
        </c:spPr>
        <c:txPr>
          <a:bodyPr rot="-5400000" vert="horz"/>
          <a:lstStyle/>
          <a:p>
            <a:pPr>
              <a:defRPr sz="800" b="0" i="0">
                <a:solidFill>
                  <a:srgbClr val="000000"/>
                </a:solidFill>
                <a:latin typeface="Arial"/>
                <a:ea typeface="Arial"/>
                <a:cs typeface="Arial"/>
              </a:defRPr>
            </a:pPr>
            <a:endParaRPr lang="en-US"/>
          </a:p>
        </c:txPr>
        <c:crossAx val="63122816"/>
        <c:crosses val="autoZero"/>
        <c:auto val="1"/>
        <c:lblAlgn val="ctr"/>
        <c:lblOffset val="100"/>
        <c:noMultiLvlLbl val="0"/>
      </c:catAx>
      <c:valAx>
        <c:axId val="63122816"/>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5.8731138982429008E-2"/>
              <c:y val="1.9478595403828686E-3"/>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121280"/>
        <c:crosses val="autoZero"/>
        <c:crossBetween val="between"/>
      </c:valAx>
      <c:valAx>
        <c:axId val="63141376"/>
        <c:scaling>
          <c:orientation val="minMax"/>
          <c:max val="12"/>
          <c:min val="-4"/>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81853447619081765"/>
              <c:y val="3.0974690779321926E-3"/>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3143296"/>
        <c:crosses val="max"/>
        <c:crossBetween val="between"/>
        <c:majorUnit val="2"/>
        <c:minorUnit val="0.4"/>
      </c:valAx>
      <c:catAx>
        <c:axId val="63143296"/>
        <c:scaling>
          <c:orientation val="minMax"/>
        </c:scaling>
        <c:delete val="1"/>
        <c:axPos val="b"/>
        <c:majorTickMark val="out"/>
        <c:minorTickMark val="none"/>
        <c:tickLblPos val="nextTo"/>
        <c:crossAx val="6314137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Charts'!$A$6:$A$126</c:f>
              <c:strCache>
                <c:ptCount val="121"/>
                <c:pt idx="0">
                  <c:v>Dec-86</c:v>
                </c:pt>
                <c:pt idx="1">
                  <c:v>Mar-87</c:v>
                </c:pt>
                <c:pt idx="2">
                  <c:v>Jun-87</c:v>
                </c:pt>
                <c:pt idx="3">
                  <c:v>Sep-87</c:v>
                </c:pt>
                <c:pt idx="4">
                  <c:v>Dec-87</c:v>
                </c:pt>
                <c:pt idx="5">
                  <c:v>Mar-88</c:v>
                </c:pt>
                <c:pt idx="6">
                  <c:v>Jun-88</c:v>
                </c:pt>
                <c:pt idx="7">
                  <c:v>Sep-88</c:v>
                </c:pt>
                <c:pt idx="8">
                  <c:v>Dec-88</c:v>
                </c:pt>
                <c:pt idx="9">
                  <c:v>Mar-89</c:v>
                </c:pt>
                <c:pt idx="10">
                  <c:v>Jun-89</c:v>
                </c:pt>
                <c:pt idx="11">
                  <c:v>Sep-89</c:v>
                </c:pt>
                <c:pt idx="12">
                  <c:v>Dec-89</c:v>
                </c:pt>
                <c:pt idx="13">
                  <c:v>Mar-90</c:v>
                </c:pt>
                <c:pt idx="14">
                  <c:v>Jun-90</c:v>
                </c:pt>
                <c:pt idx="15">
                  <c:v>Sep-90</c:v>
                </c:pt>
                <c:pt idx="16">
                  <c:v>Dec-90</c:v>
                </c:pt>
                <c:pt idx="17">
                  <c:v>Mar-91</c:v>
                </c:pt>
                <c:pt idx="18">
                  <c:v>Jun-91</c:v>
                </c:pt>
                <c:pt idx="19">
                  <c:v>Sep-91</c:v>
                </c:pt>
                <c:pt idx="20">
                  <c:v>Dec-91</c:v>
                </c:pt>
                <c:pt idx="21">
                  <c:v>Mar-92</c:v>
                </c:pt>
                <c:pt idx="22">
                  <c:v>Jun-92</c:v>
                </c:pt>
                <c:pt idx="23">
                  <c:v>Sep-92</c:v>
                </c:pt>
                <c:pt idx="24">
                  <c:v>Dec-92</c:v>
                </c:pt>
                <c:pt idx="25">
                  <c:v>Mar-93</c:v>
                </c:pt>
                <c:pt idx="26">
                  <c:v>Jun-93</c:v>
                </c:pt>
                <c:pt idx="27">
                  <c:v>Sep-93</c:v>
                </c:pt>
                <c:pt idx="28">
                  <c:v>Dec-93</c:v>
                </c:pt>
                <c:pt idx="29">
                  <c:v>Mar-94</c:v>
                </c:pt>
                <c:pt idx="30">
                  <c:v>Jun-94</c:v>
                </c:pt>
                <c:pt idx="31">
                  <c:v>Sep-94</c:v>
                </c:pt>
                <c:pt idx="32">
                  <c:v>Dec-94</c:v>
                </c:pt>
                <c:pt idx="33">
                  <c:v>Mar-95</c:v>
                </c:pt>
                <c:pt idx="34">
                  <c:v>Jun-95</c:v>
                </c:pt>
                <c:pt idx="35">
                  <c:v>Sep-95</c:v>
                </c:pt>
                <c:pt idx="36">
                  <c:v>Dec-95</c:v>
                </c:pt>
                <c:pt idx="37">
                  <c:v>Mar-96</c:v>
                </c:pt>
                <c:pt idx="38">
                  <c:v>Jun-96</c:v>
                </c:pt>
                <c:pt idx="39">
                  <c:v>Sep-96</c:v>
                </c:pt>
                <c:pt idx="40">
                  <c:v>Dec-96</c:v>
                </c:pt>
                <c:pt idx="41">
                  <c:v>Mar-97</c:v>
                </c:pt>
                <c:pt idx="42">
                  <c:v>Jun-97</c:v>
                </c:pt>
                <c:pt idx="43">
                  <c:v>Sep-97</c:v>
                </c:pt>
                <c:pt idx="44">
                  <c:v>Dec-97</c:v>
                </c:pt>
                <c:pt idx="45">
                  <c:v>Mar-98</c:v>
                </c:pt>
                <c:pt idx="46">
                  <c:v>Jun-98</c:v>
                </c:pt>
                <c:pt idx="47">
                  <c:v>Sep-98</c:v>
                </c:pt>
                <c:pt idx="48">
                  <c:v>Dec-98</c:v>
                </c:pt>
                <c:pt idx="49">
                  <c:v>Mar-99</c:v>
                </c:pt>
                <c:pt idx="50">
                  <c:v>Jun-99</c:v>
                </c:pt>
                <c:pt idx="51">
                  <c:v>Sep-99</c:v>
                </c:pt>
                <c:pt idx="52">
                  <c:v>Dec-99</c:v>
                </c:pt>
                <c:pt idx="53">
                  <c:v>Mar-00</c:v>
                </c:pt>
                <c:pt idx="54">
                  <c:v>Jun-00</c:v>
                </c:pt>
                <c:pt idx="55">
                  <c:v>Sep-00</c:v>
                </c:pt>
                <c:pt idx="56">
                  <c:v>Dec-00</c:v>
                </c:pt>
                <c:pt idx="57">
                  <c:v>Mar-01</c:v>
                </c:pt>
                <c:pt idx="58">
                  <c:v>Jun-01</c:v>
                </c:pt>
                <c:pt idx="59">
                  <c:v>Sep-01</c:v>
                </c:pt>
                <c:pt idx="60">
                  <c:v>Dec-01</c:v>
                </c:pt>
                <c:pt idx="61">
                  <c:v>Mar-02</c:v>
                </c:pt>
                <c:pt idx="62">
                  <c:v>Jun-02</c:v>
                </c:pt>
                <c:pt idx="63">
                  <c:v>Sep-02</c:v>
                </c:pt>
                <c:pt idx="64">
                  <c:v>Dec-02</c:v>
                </c:pt>
                <c:pt idx="65">
                  <c:v>Mar-03</c:v>
                </c:pt>
                <c:pt idx="66">
                  <c:v>Jun-03</c:v>
                </c:pt>
                <c:pt idx="67">
                  <c:v>Sep-03</c:v>
                </c:pt>
                <c:pt idx="68">
                  <c:v>Dec-03</c:v>
                </c:pt>
                <c:pt idx="69">
                  <c:v>Mar-04</c:v>
                </c:pt>
                <c:pt idx="70">
                  <c:v>Jun-04</c:v>
                </c:pt>
                <c:pt idx="71">
                  <c:v>Sep-04</c:v>
                </c:pt>
                <c:pt idx="72">
                  <c:v>Dec-04</c:v>
                </c:pt>
                <c:pt idx="73">
                  <c:v>Mar-05</c:v>
                </c:pt>
                <c:pt idx="74">
                  <c:v>Jun-05</c:v>
                </c:pt>
                <c:pt idx="75">
                  <c:v>Sep-05</c:v>
                </c:pt>
                <c:pt idx="76">
                  <c:v>Dec-05</c:v>
                </c:pt>
                <c:pt idx="77">
                  <c:v>Mar-06</c:v>
                </c:pt>
                <c:pt idx="78">
                  <c:v>Jun-06</c:v>
                </c:pt>
                <c:pt idx="79">
                  <c:v>Sep-06</c:v>
                </c:pt>
                <c:pt idx="80">
                  <c:v>Dec-06</c:v>
                </c:pt>
                <c:pt idx="81">
                  <c:v>Mar-07</c:v>
                </c:pt>
                <c:pt idx="82">
                  <c:v>Jun-07</c:v>
                </c:pt>
                <c:pt idx="83">
                  <c:v>Sep-07</c:v>
                </c:pt>
                <c:pt idx="84">
                  <c:v>Dec-07</c:v>
                </c:pt>
                <c:pt idx="85">
                  <c:v>Mar-08</c:v>
                </c:pt>
                <c:pt idx="86">
                  <c:v>Jun-08</c:v>
                </c:pt>
                <c:pt idx="87">
                  <c:v>Sep-08</c:v>
                </c:pt>
                <c:pt idx="88">
                  <c:v>Dec-08</c:v>
                </c:pt>
                <c:pt idx="89">
                  <c:v>Mar-09</c:v>
                </c:pt>
                <c:pt idx="90">
                  <c:v>Jun-09</c:v>
                </c:pt>
                <c:pt idx="91">
                  <c:v>Sep-09</c:v>
                </c:pt>
                <c:pt idx="92">
                  <c:v>Dec-09</c:v>
                </c:pt>
                <c:pt idx="93">
                  <c:v>Mar-10</c:v>
                </c:pt>
                <c:pt idx="94">
                  <c:v>Jun-10</c:v>
                </c:pt>
                <c:pt idx="95">
                  <c:v>Sep-10</c:v>
                </c:pt>
                <c:pt idx="96">
                  <c:v>Dec-10</c:v>
                </c:pt>
                <c:pt idx="97">
                  <c:v>Mar-11</c:v>
                </c:pt>
                <c:pt idx="98">
                  <c:v>Jun-11</c:v>
                </c:pt>
                <c:pt idx="99">
                  <c:v>Sep-11</c:v>
                </c:pt>
                <c:pt idx="100">
                  <c:v>Dec-11</c:v>
                </c:pt>
                <c:pt idx="101">
                  <c:v>Mar-12</c:v>
                </c:pt>
                <c:pt idx="102">
                  <c:v>Jun-12</c:v>
                </c:pt>
                <c:pt idx="103">
                  <c:v>Sep-12</c:v>
                </c:pt>
                <c:pt idx="104">
                  <c:v>Dec-12</c:v>
                </c:pt>
                <c:pt idx="105">
                  <c:v>Mar-13</c:v>
                </c:pt>
                <c:pt idx="106">
                  <c:v>Jun-13</c:v>
                </c:pt>
                <c:pt idx="107">
                  <c:v>Sep-13</c:v>
                </c:pt>
                <c:pt idx="108">
                  <c:v>Dec-13</c:v>
                </c:pt>
                <c:pt idx="109">
                  <c:v>Mar-14</c:v>
                </c:pt>
                <c:pt idx="110">
                  <c:v>Jun-14</c:v>
                </c:pt>
                <c:pt idx="111">
                  <c:v>Sep-14</c:v>
                </c:pt>
                <c:pt idx="112">
                  <c:v>Dec-14</c:v>
                </c:pt>
                <c:pt idx="113">
                  <c:v>Mar-15</c:v>
                </c:pt>
                <c:pt idx="114">
                  <c:v>Jun-15</c:v>
                </c:pt>
                <c:pt idx="115">
                  <c:v>Sep-15</c:v>
                </c:pt>
                <c:pt idx="116">
                  <c:v>Dec-15</c:v>
                </c:pt>
                <c:pt idx="117">
                  <c:v>Mar-16</c:v>
                </c:pt>
                <c:pt idx="118">
                  <c:v>Jun-16</c:v>
                </c:pt>
                <c:pt idx="119">
                  <c:v>Sep-16</c:v>
                </c:pt>
                <c:pt idx="120">
                  <c:v>Dec-16</c:v>
                </c:pt>
              </c:strCache>
            </c:strRef>
          </c:cat>
          <c:val>
            <c:numRef>
              <c:f>'Index Charts'!$U$6:$U$126</c:f>
              <c:numCache>
                <c:formatCode>0</c:formatCode>
                <c:ptCount val="121"/>
                <c:pt idx="0">
                  <c:v>98.78234774879104</c:v>
                </c:pt>
                <c:pt idx="1">
                  <c:v>90.208895954428343</c:v>
                </c:pt>
                <c:pt idx="2">
                  <c:v>85.007689987794222</c:v>
                </c:pt>
                <c:pt idx="3">
                  <c:v>83.102374179066331</c:v>
                </c:pt>
                <c:pt idx="4">
                  <c:v>80.691428605581791</c:v>
                </c:pt>
                <c:pt idx="5">
                  <c:v>74.394919612533599</c:v>
                </c:pt>
                <c:pt idx="6">
                  <c:v>74.692997087503414</c:v>
                </c:pt>
                <c:pt idx="7">
                  <c:v>75.011357909017192</c:v>
                </c:pt>
                <c:pt idx="8">
                  <c:v>78.033212746006441</c:v>
                </c:pt>
                <c:pt idx="9">
                  <c:v>77.891327212622656</c:v>
                </c:pt>
                <c:pt idx="10">
                  <c:v>84.162013038642655</c:v>
                </c:pt>
                <c:pt idx="11">
                  <c:v>94.585631678735382</c:v>
                </c:pt>
                <c:pt idx="12">
                  <c:v>99.312922462184645</c:v>
                </c:pt>
                <c:pt idx="13">
                  <c:v>102.98383313822698</c:v>
                </c:pt>
                <c:pt idx="14">
                  <c:v>104.60176841428803</c:v>
                </c:pt>
                <c:pt idx="15">
                  <c:v>110.98878532335128</c:v>
                </c:pt>
                <c:pt idx="16">
                  <c:v>110.74789073367579</c:v>
                </c:pt>
                <c:pt idx="17">
                  <c:v>101.99598132584417</c:v>
                </c:pt>
                <c:pt idx="18">
                  <c:v>101.04706919913065</c:v>
                </c:pt>
                <c:pt idx="19">
                  <c:v>102.91436624778294</c:v>
                </c:pt>
                <c:pt idx="20">
                  <c:v>108.84036139681967</c:v>
                </c:pt>
                <c:pt idx="21">
                  <c:v>105.39256064241802</c:v>
                </c:pt>
                <c:pt idx="22">
                  <c:v>106.56469909089654</c:v>
                </c:pt>
                <c:pt idx="23">
                  <c:v>119.10661618408935</c:v>
                </c:pt>
                <c:pt idx="24">
                  <c:v>131.66595408163596</c:v>
                </c:pt>
                <c:pt idx="25">
                  <c:v>135.71528887925476</c:v>
                </c:pt>
                <c:pt idx="26">
                  <c:v>146.0602236514753</c:v>
                </c:pt>
                <c:pt idx="27">
                  <c:v>161.57457208357636</c:v>
                </c:pt>
                <c:pt idx="28">
                  <c:v>173.28890691561512</c:v>
                </c:pt>
                <c:pt idx="29">
                  <c:v>168.69838517557218</c:v>
                </c:pt>
                <c:pt idx="30">
                  <c:v>166.788038020285</c:v>
                </c:pt>
                <c:pt idx="31">
                  <c:v>170.68009453938001</c:v>
                </c:pt>
                <c:pt idx="32">
                  <c:v>171.41686903356293</c:v>
                </c:pt>
                <c:pt idx="33">
                  <c:v>163.54525001603614</c:v>
                </c:pt>
                <c:pt idx="34">
                  <c:v>147.92658022614381</c:v>
                </c:pt>
                <c:pt idx="35">
                  <c:v>145.77413784282865</c:v>
                </c:pt>
                <c:pt idx="36">
                  <c:v>133.94505529570031</c:v>
                </c:pt>
                <c:pt idx="37">
                  <c:v>125.78265884093702</c:v>
                </c:pt>
                <c:pt idx="38">
                  <c:v>110.08300706584255</c:v>
                </c:pt>
                <c:pt idx="39">
                  <c:v>106.00387726729943</c:v>
                </c:pt>
                <c:pt idx="40">
                  <c:v>103.57631487216108</c:v>
                </c:pt>
                <c:pt idx="41">
                  <c:v>97.842608883160736</c:v>
                </c:pt>
                <c:pt idx="42">
                  <c:v>100.66833086509683</c:v>
                </c:pt>
                <c:pt idx="43">
                  <c:v>105.77813619260034</c:v>
                </c:pt>
                <c:pt idx="44">
                  <c:v>112.50538820490664</c:v>
                </c:pt>
                <c:pt idx="45">
                  <c:v>110.33580488513965</c:v>
                </c:pt>
                <c:pt idx="46">
                  <c:v>117.40902216381663</c:v>
                </c:pt>
                <c:pt idx="47">
                  <c:v>126.30250352185564</c:v>
                </c:pt>
                <c:pt idx="48">
                  <c:v>125.29569431550829</c:v>
                </c:pt>
                <c:pt idx="49">
                  <c:v>116.57781526128818</c:v>
                </c:pt>
                <c:pt idx="50">
                  <c:v>116.87819330517952</c:v>
                </c:pt>
                <c:pt idx="51">
                  <c:v>122.43467789453445</c:v>
                </c:pt>
                <c:pt idx="52">
                  <c:v>118.22006169423828</c:v>
                </c:pt>
                <c:pt idx="53">
                  <c:v>111.79977389656185</c:v>
                </c:pt>
                <c:pt idx="54">
                  <c:v>118.14986739242757</c:v>
                </c:pt>
                <c:pt idx="55">
                  <c:v>125.30914833178714</c:v>
                </c:pt>
                <c:pt idx="56">
                  <c:v>120.48389027830571</c:v>
                </c:pt>
                <c:pt idx="57">
                  <c:v>107.86261092064444</c:v>
                </c:pt>
                <c:pt idx="58">
                  <c:v>104.0600616593609</c:v>
                </c:pt>
                <c:pt idx="59">
                  <c:v>105.53956946553453</c:v>
                </c:pt>
                <c:pt idx="60">
                  <c:v>95.239606511528635</c:v>
                </c:pt>
                <c:pt idx="61">
                  <c:v>88.744714852891789</c:v>
                </c:pt>
                <c:pt idx="62">
                  <c:v>91.553694395208893</c:v>
                </c:pt>
                <c:pt idx="63">
                  <c:v>103.69555533817827</c:v>
                </c:pt>
                <c:pt idx="64">
                  <c:v>109.05710366864216</c:v>
                </c:pt>
                <c:pt idx="65">
                  <c:v>106.37672823531862</c:v>
                </c:pt>
                <c:pt idx="66">
                  <c:v>112.36412671857359</c:v>
                </c:pt>
                <c:pt idx="67">
                  <c:v>121.41613897266066</c:v>
                </c:pt>
                <c:pt idx="68">
                  <c:v>119.77943717692818</c:v>
                </c:pt>
                <c:pt idx="69">
                  <c:v>115.64293056262559</c:v>
                </c:pt>
                <c:pt idx="70">
                  <c:v>121.0414745616313</c:v>
                </c:pt>
                <c:pt idx="71">
                  <c:v>129.77515209706723</c:v>
                </c:pt>
                <c:pt idx="72">
                  <c:v>126.1290444335629</c:v>
                </c:pt>
                <c:pt idx="73">
                  <c:v>115.04213969405588</c:v>
                </c:pt>
                <c:pt idx="74">
                  <c:v>116.19852438846779</c:v>
                </c:pt>
                <c:pt idx="75">
                  <c:v>118.94959269289495</c:v>
                </c:pt>
                <c:pt idx="76">
                  <c:v>110.25991819942369</c:v>
                </c:pt>
                <c:pt idx="77">
                  <c:v>98.487336399791019</c:v>
                </c:pt>
                <c:pt idx="78">
                  <c:v>97.905773782200512</c:v>
                </c:pt>
                <c:pt idx="79">
                  <c:v>94.865491692675732</c:v>
                </c:pt>
                <c:pt idx="80">
                  <c:v>86.746121628765806</c:v>
                </c:pt>
                <c:pt idx="81">
                  <c:v>76.095478589716407</c:v>
                </c:pt>
                <c:pt idx="82">
                  <c:v>71.933037454790167</c:v>
                </c:pt>
                <c:pt idx="83">
                  <c:v>71.465331769908175</c:v>
                </c:pt>
                <c:pt idx="84">
                  <c:v>67.761136524520381</c:v>
                </c:pt>
                <c:pt idx="85">
                  <c:v>62.262032223392758</c:v>
                </c:pt>
                <c:pt idx="86">
                  <c:v>59.251667461989207</c:v>
                </c:pt>
                <c:pt idx="87">
                  <c:v>59.047744527308751</c:v>
                </c:pt>
                <c:pt idx="88">
                  <c:v>58.135168181190757</c:v>
                </c:pt>
                <c:pt idx="89">
                  <c:v>54.483709463705885</c:v>
                </c:pt>
                <c:pt idx="90">
                  <c:v>53.688371035329538</c:v>
                </c:pt>
                <c:pt idx="91">
                  <c:v>57.855139835369499</c:v>
                </c:pt>
                <c:pt idx="92">
                  <c:v>61.875265873078845</c:v>
                </c:pt>
                <c:pt idx="93">
                  <c:v>62.458074834913631</c:v>
                </c:pt>
                <c:pt idx="94">
                  <c:v>66.414036306424208</c:v>
                </c:pt>
                <c:pt idx="95">
                  <c:v>75.726335780557932</c:v>
                </c:pt>
                <c:pt idx="96">
                  <c:v>81.82743557594705</c:v>
                </c:pt>
                <c:pt idx="97">
                  <c:v>82.069217398082372</c:v>
                </c:pt>
                <c:pt idx="98">
                  <c:v>82.495049704405204</c:v>
                </c:pt>
                <c:pt idx="99">
                  <c:v>85.547388819919263</c:v>
                </c:pt>
                <c:pt idx="100">
                  <c:v>80.680382976446069</c:v>
                </c:pt>
                <c:pt idx="101">
                  <c:v>70.906850475578295</c:v>
                </c:pt>
                <c:pt idx="102">
                  <c:v>65.418889291097443</c:v>
                </c:pt>
                <c:pt idx="103">
                  <c:v>64.663937770835304</c:v>
                </c:pt>
                <c:pt idx="104">
                  <c:v>62.147030612644151</c:v>
                </c:pt>
                <c:pt idx="105">
                  <c:v>58.215044192123159</c:v>
                </c:pt>
                <c:pt idx="106">
                  <c:v>58.27800052457016</c:v>
                </c:pt>
                <c:pt idx="107">
                  <c:v>63.499367339133315</c:v>
                </c:pt>
                <c:pt idx="108">
                  <c:v>66.449764926534101</c:v>
                </c:pt>
                <c:pt idx="109">
                  <c:v>64.826617703278046</c:v>
                </c:pt>
                <c:pt idx="110">
                  <c:v>68.337978539337769</c:v>
                </c:pt>
                <c:pt idx="111">
                  <c:v>77.097385385652245</c:v>
                </c:pt>
                <c:pt idx="112">
                  <c:v>82.278090309721506</c:v>
                </c:pt>
                <c:pt idx="113">
                  <c:v>81.427942701728156</c:v>
                </c:pt>
                <c:pt idx="114">
                  <c:v>84.826639466574889</c:v>
                </c:pt>
                <c:pt idx="115">
                  <c:v>94.579952613828155</c:v>
                </c:pt>
                <c:pt idx="116">
                  <c:v>96.949467269124412</c:v>
                </c:pt>
                <c:pt idx="117">
                  <c:v>90.168733696661249</c:v>
                </c:pt>
                <c:pt idx="118">
                  <c:v>91.032731805332475</c:v>
                </c:pt>
                <c:pt idx="119">
                  <c:v>96.131699488436766</c:v>
                </c:pt>
                <c:pt idx="120">
                  <c:v>99.131081355113963</c:v>
                </c:pt>
              </c:numCache>
            </c:numRef>
          </c:val>
          <c:smooth val="0"/>
        </c:ser>
        <c:dLbls>
          <c:showLegendKey val="0"/>
          <c:showVal val="0"/>
          <c:showCatName val="0"/>
          <c:showSerName val="0"/>
          <c:showPercent val="0"/>
          <c:showBubbleSize val="0"/>
        </c:dLbls>
        <c:marker val="1"/>
        <c:smooth val="0"/>
        <c:axId val="63208832"/>
        <c:axId val="63218816"/>
      </c:lineChart>
      <c:lineChart>
        <c:grouping val="standard"/>
        <c:varyColors val="0"/>
        <c:ser>
          <c:idx val="1"/>
          <c:order val="1"/>
          <c:marker>
            <c:symbol val="none"/>
          </c:marker>
          <c:cat>
            <c:strRef>
              <c:f>'Index Charts'!$A$6:$A$126</c:f>
              <c:strCache>
                <c:ptCount val="121"/>
                <c:pt idx="0">
                  <c:v>Dec-86</c:v>
                </c:pt>
                <c:pt idx="1">
                  <c:v>Mar-87</c:v>
                </c:pt>
                <c:pt idx="2">
                  <c:v>Jun-87</c:v>
                </c:pt>
                <c:pt idx="3">
                  <c:v>Sep-87</c:v>
                </c:pt>
                <c:pt idx="4">
                  <c:v>Dec-87</c:v>
                </c:pt>
                <c:pt idx="5">
                  <c:v>Mar-88</c:v>
                </c:pt>
                <c:pt idx="6">
                  <c:v>Jun-88</c:v>
                </c:pt>
                <c:pt idx="7">
                  <c:v>Sep-88</c:v>
                </c:pt>
                <c:pt idx="8">
                  <c:v>Dec-88</c:v>
                </c:pt>
                <c:pt idx="9">
                  <c:v>Mar-89</c:v>
                </c:pt>
                <c:pt idx="10">
                  <c:v>Jun-89</c:v>
                </c:pt>
                <c:pt idx="11">
                  <c:v>Sep-89</c:v>
                </c:pt>
                <c:pt idx="12">
                  <c:v>Dec-89</c:v>
                </c:pt>
                <c:pt idx="13">
                  <c:v>Mar-90</c:v>
                </c:pt>
                <c:pt idx="14">
                  <c:v>Jun-90</c:v>
                </c:pt>
                <c:pt idx="15">
                  <c:v>Sep-90</c:v>
                </c:pt>
                <c:pt idx="16">
                  <c:v>Dec-90</c:v>
                </c:pt>
                <c:pt idx="17">
                  <c:v>Mar-91</c:v>
                </c:pt>
                <c:pt idx="18">
                  <c:v>Jun-91</c:v>
                </c:pt>
                <c:pt idx="19">
                  <c:v>Sep-91</c:v>
                </c:pt>
                <c:pt idx="20">
                  <c:v>Dec-91</c:v>
                </c:pt>
                <c:pt idx="21">
                  <c:v>Mar-92</c:v>
                </c:pt>
                <c:pt idx="22">
                  <c:v>Jun-92</c:v>
                </c:pt>
                <c:pt idx="23">
                  <c:v>Sep-92</c:v>
                </c:pt>
                <c:pt idx="24">
                  <c:v>Dec-92</c:v>
                </c:pt>
                <c:pt idx="25">
                  <c:v>Mar-93</c:v>
                </c:pt>
                <c:pt idx="26">
                  <c:v>Jun-93</c:v>
                </c:pt>
                <c:pt idx="27">
                  <c:v>Sep-93</c:v>
                </c:pt>
                <c:pt idx="28">
                  <c:v>Dec-93</c:v>
                </c:pt>
                <c:pt idx="29">
                  <c:v>Mar-94</c:v>
                </c:pt>
                <c:pt idx="30">
                  <c:v>Jun-94</c:v>
                </c:pt>
                <c:pt idx="31">
                  <c:v>Sep-94</c:v>
                </c:pt>
                <c:pt idx="32">
                  <c:v>Dec-94</c:v>
                </c:pt>
                <c:pt idx="33">
                  <c:v>Mar-95</c:v>
                </c:pt>
                <c:pt idx="34">
                  <c:v>Jun-95</c:v>
                </c:pt>
                <c:pt idx="35">
                  <c:v>Sep-95</c:v>
                </c:pt>
                <c:pt idx="36">
                  <c:v>Dec-95</c:v>
                </c:pt>
                <c:pt idx="37">
                  <c:v>Mar-96</c:v>
                </c:pt>
                <c:pt idx="38">
                  <c:v>Jun-96</c:v>
                </c:pt>
                <c:pt idx="39">
                  <c:v>Sep-96</c:v>
                </c:pt>
                <c:pt idx="40">
                  <c:v>Dec-96</c:v>
                </c:pt>
                <c:pt idx="41">
                  <c:v>Mar-97</c:v>
                </c:pt>
                <c:pt idx="42">
                  <c:v>Jun-97</c:v>
                </c:pt>
                <c:pt idx="43">
                  <c:v>Sep-97</c:v>
                </c:pt>
                <c:pt idx="44">
                  <c:v>Dec-97</c:v>
                </c:pt>
                <c:pt idx="45">
                  <c:v>Mar-98</c:v>
                </c:pt>
                <c:pt idx="46">
                  <c:v>Jun-98</c:v>
                </c:pt>
                <c:pt idx="47">
                  <c:v>Sep-98</c:v>
                </c:pt>
                <c:pt idx="48">
                  <c:v>Dec-98</c:v>
                </c:pt>
                <c:pt idx="49">
                  <c:v>Mar-99</c:v>
                </c:pt>
                <c:pt idx="50">
                  <c:v>Jun-99</c:v>
                </c:pt>
                <c:pt idx="51">
                  <c:v>Sep-99</c:v>
                </c:pt>
                <c:pt idx="52">
                  <c:v>Dec-99</c:v>
                </c:pt>
                <c:pt idx="53">
                  <c:v>Mar-00</c:v>
                </c:pt>
                <c:pt idx="54">
                  <c:v>Jun-00</c:v>
                </c:pt>
                <c:pt idx="55">
                  <c:v>Sep-00</c:v>
                </c:pt>
                <c:pt idx="56">
                  <c:v>Dec-00</c:v>
                </c:pt>
                <c:pt idx="57">
                  <c:v>Mar-01</c:v>
                </c:pt>
                <c:pt idx="58">
                  <c:v>Jun-01</c:v>
                </c:pt>
                <c:pt idx="59">
                  <c:v>Sep-01</c:v>
                </c:pt>
                <c:pt idx="60">
                  <c:v>Dec-01</c:v>
                </c:pt>
                <c:pt idx="61">
                  <c:v>Mar-02</c:v>
                </c:pt>
                <c:pt idx="62">
                  <c:v>Jun-02</c:v>
                </c:pt>
                <c:pt idx="63">
                  <c:v>Sep-02</c:v>
                </c:pt>
                <c:pt idx="64">
                  <c:v>Dec-02</c:v>
                </c:pt>
                <c:pt idx="65">
                  <c:v>Mar-03</c:v>
                </c:pt>
                <c:pt idx="66">
                  <c:v>Jun-03</c:v>
                </c:pt>
                <c:pt idx="67">
                  <c:v>Sep-03</c:v>
                </c:pt>
                <c:pt idx="68">
                  <c:v>Dec-03</c:v>
                </c:pt>
                <c:pt idx="69">
                  <c:v>Mar-04</c:v>
                </c:pt>
                <c:pt idx="70">
                  <c:v>Jun-04</c:v>
                </c:pt>
                <c:pt idx="71">
                  <c:v>Sep-04</c:v>
                </c:pt>
                <c:pt idx="72">
                  <c:v>Dec-04</c:v>
                </c:pt>
                <c:pt idx="73">
                  <c:v>Mar-05</c:v>
                </c:pt>
                <c:pt idx="74">
                  <c:v>Jun-05</c:v>
                </c:pt>
                <c:pt idx="75">
                  <c:v>Sep-05</c:v>
                </c:pt>
                <c:pt idx="76">
                  <c:v>Dec-05</c:v>
                </c:pt>
                <c:pt idx="77">
                  <c:v>Mar-06</c:v>
                </c:pt>
                <c:pt idx="78">
                  <c:v>Jun-06</c:v>
                </c:pt>
                <c:pt idx="79">
                  <c:v>Sep-06</c:v>
                </c:pt>
                <c:pt idx="80">
                  <c:v>Dec-06</c:v>
                </c:pt>
                <c:pt idx="81">
                  <c:v>Mar-07</c:v>
                </c:pt>
                <c:pt idx="82">
                  <c:v>Jun-07</c:v>
                </c:pt>
                <c:pt idx="83">
                  <c:v>Sep-07</c:v>
                </c:pt>
                <c:pt idx="84">
                  <c:v>Dec-07</c:v>
                </c:pt>
                <c:pt idx="85">
                  <c:v>Mar-08</c:v>
                </c:pt>
                <c:pt idx="86">
                  <c:v>Jun-08</c:v>
                </c:pt>
                <c:pt idx="87">
                  <c:v>Sep-08</c:v>
                </c:pt>
                <c:pt idx="88">
                  <c:v>Dec-08</c:v>
                </c:pt>
                <c:pt idx="89">
                  <c:v>Mar-09</c:v>
                </c:pt>
                <c:pt idx="90">
                  <c:v>Jun-09</c:v>
                </c:pt>
                <c:pt idx="91">
                  <c:v>Sep-09</c:v>
                </c:pt>
                <c:pt idx="92">
                  <c:v>Dec-09</c:v>
                </c:pt>
                <c:pt idx="93">
                  <c:v>Mar-10</c:v>
                </c:pt>
                <c:pt idx="94">
                  <c:v>Jun-10</c:v>
                </c:pt>
                <c:pt idx="95">
                  <c:v>Sep-10</c:v>
                </c:pt>
                <c:pt idx="96">
                  <c:v>Dec-10</c:v>
                </c:pt>
                <c:pt idx="97">
                  <c:v>Mar-11</c:v>
                </c:pt>
                <c:pt idx="98">
                  <c:v>Jun-11</c:v>
                </c:pt>
                <c:pt idx="99">
                  <c:v>Sep-11</c:v>
                </c:pt>
                <c:pt idx="100">
                  <c:v>Dec-11</c:v>
                </c:pt>
                <c:pt idx="101">
                  <c:v>Mar-12</c:v>
                </c:pt>
                <c:pt idx="102">
                  <c:v>Jun-12</c:v>
                </c:pt>
                <c:pt idx="103">
                  <c:v>Sep-12</c:v>
                </c:pt>
                <c:pt idx="104">
                  <c:v>Dec-12</c:v>
                </c:pt>
                <c:pt idx="105">
                  <c:v>Mar-13</c:v>
                </c:pt>
                <c:pt idx="106">
                  <c:v>Jun-13</c:v>
                </c:pt>
                <c:pt idx="107">
                  <c:v>Sep-13</c:v>
                </c:pt>
                <c:pt idx="108">
                  <c:v>Dec-13</c:v>
                </c:pt>
                <c:pt idx="109">
                  <c:v>Mar-14</c:v>
                </c:pt>
                <c:pt idx="110">
                  <c:v>Jun-14</c:v>
                </c:pt>
                <c:pt idx="111">
                  <c:v>Sep-14</c:v>
                </c:pt>
                <c:pt idx="112">
                  <c:v>Dec-14</c:v>
                </c:pt>
                <c:pt idx="113">
                  <c:v>Mar-15</c:v>
                </c:pt>
                <c:pt idx="114">
                  <c:v>Jun-15</c:v>
                </c:pt>
                <c:pt idx="115">
                  <c:v>Sep-15</c:v>
                </c:pt>
                <c:pt idx="116">
                  <c:v>Dec-15</c:v>
                </c:pt>
                <c:pt idx="117">
                  <c:v>Mar-16</c:v>
                </c:pt>
                <c:pt idx="118">
                  <c:v>Jun-16</c:v>
                </c:pt>
                <c:pt idx="119">
                  <c:v>Sep-16</c:v>
                </c:pt>
                <c:pt idx="120">
                  <c:v>Dec-16</c:v>
                </c:pt>
              </c:strCache>
            </c:strRef>
          </c:cat>
          <c:val>
            <c:numRef>
              <c:f>'Index Charts'!$N$6:$N$126</c:f>
              <c:numCache>
                <c:formatCode>0</c:formatCode>
                <c:ptCount val="1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63222912"/>
        <c:axId val="63220736"/>
      </c:lineChart>
      <c:catAx>
        <c:axId val="6320883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218816"/>
        <c:crosses val="autoZero"/>
        <c:auto val="1"/>
        <c:lblAlgn val="ctr"/>
        <c:lblOffset val="100"/>
        <c:tickLblSkip val="24"/>
        <c:tickMarkSkip val="24"/>
        <c:noMultiLvlLbl val="0"/>
      </c:catAx>
      <c:valAx>
        <c:axId val="63218816"/>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7.8485663082437263E-2"/>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208832"/>
        <c:crosses val="autoZero"/>
        <c:crossBetween val="midCat"/>
      </c:valAx>
      <c:valAx>
        <c:axId val="63220736"/>
        <c:scaling>
          <c:orientation val="minMax"/>
          <c:max val="20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8812711469534050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3222912"/>
        <c:crosses val="max"/>
        <c:crossBetween val="midCat"/>
        <c:majorUnit val="20"/>
        <c:minorUnit val="10"/>
      </c:valAx>
      <c:catAx>
        <c:axId val="63222912"/>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3220736"/>
        <c:crosses val="max"/>
        <c:auto val="1"/>
        <c:lblAlgn val="ctr"/>
        <c:lblOffset val="100"/>
        <c:noMultiLvlLbl val="0"/>
      </c:catAx>
      <c:spPr>
        <a:solidFill>
          <a:srgbClr val="FFFFFF"/>
        </a:solidFill>
        <a:ln>
          <a:noFill/>
          <a:round/>
        </a:ln>
        <a:effectLs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New South Wales</a:t>
            </a:r>
          </a:p>
        </c:rich>
      </c:tx>
      <c:layout>
        <c:manualLayout>
          <c:xMode val="edge"/>
          <c:yMode val="edge"/>
          <c:x val="0.30923214280137562"/>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Charts'!$M$46:$M$126</c:f>
              <c:numCache>
                <c:formatCode>0</c:formatCode>
                <c:ptCount val="81"/>
                <c:pt idx="0">
                  <c:v>100.91285436819413</c:v>
                </c:pt>
                <c:pt idx="1">
                  <c:v>95.844098893320975</c:v>
                </c:pt>
                <c:pt idx="2">
                  <c:v>99.949151834696934</c:v>
                </c:pt>
                <c:pt idx="3">
                  <c:v>99.06864765630111</c:v>
                </c:pt>
                <c:pt idx="4">
                  <c:v>103.05829765451413</c:v>
                </c:pt>
                <c:pt idx="5">
                  <c:v>100.89230280444579</c:v>
                </c:pt>
                <c:pt idx="6">
                  <c:v>111.50533751535868</c:v>
                </c:pt>
                <c:pt idx="7">
                  <c:v>115.32628220179274</c:v>
                </c:pt>
                <c:pt idx="8">
                  <c:v>115.86245073518815</c:v>
                </c:pt>
                <c:pt idx="9">
                  <c:v>109.26903459072466</c:v>
                </c:pt>
                <c:pt idx="10">
                  <c:v>110.97144504989286</c:v>
                </c:pt>
                <c:pt idx="11">
                  <c:v>116.76974323608103</c:v>
                </c:pt>
                <c:pt idx="12">
                  <c:v>111.4851783895749</c:v>
                </c:pt>
                <c:pt idx="13">
                  <c:v>109.97122740004247</c:v>
                </c:pt>
                <c:pt idx="14">
                  <c:v>113.41648982121626</c:v>
                </c:pt>
                <c:pt idx="15">
                  <c:v>120.50383335480284</c:v>
                </c:pt>
                <c:pt idx="16">
                  <c:v>113.98461861828618</c:v>
                </c:pt>
                <c:pt idx="17">
                  <c:v>99.500838514444894</c:v>
                </c:pt>
                <c:pt idx="18">
                  <c:v>94.219868905397092</c:v>
                </c:pt>
                <c:pt idx="19">
                  <c:v>94.823648326005554</c:v>
                </c:pt>
                <c:pt idx="20">
                  <c:v>86.873065250330427</c:v>
                </c:pt>
                <c:pt idx="21">
                  <c:v>82.287160649351335</c:v>
                </c:pt>
                <c:pt idx="22">
                  <c:v>89.470579883131137</c:v>
                </c:pt>
                <c:pt idx="23">
                  <c:v>113.4506931801486</c:v>
                </c:pt>
                <c:pt idx="24">
                  <c:v>137.12101717715001</c:v>
                </c:pt>
                <c:pt idx="25">
                  <c:v>138.57063340541345</c:v>
                </c:pt>
                <c:pt idx="26">
                  <c:v>164.27541379193892</c:v>
                </c:pt>
                <c:pt idx="27">
                  <c:v>199.1527887335622</c:v>
                </c:pt>
                <c:pt idx="28">
                  <c:v>196.68776041717786</c:v>
                </c:pt>
                <c:pt idx="29">
                  <c:v>187.95853629739474</c:v>
                </c:pt>
                <c:pt idx="30">
                  <c:v>210.734351910557</c:v>
                </c:pt>
                <c:pt idx="31">
                  <c:v>243.83525206693841</c:v>
                </c:pt>
                <c:pt idx="32">
                  <c:v>225.90513561272391</c:v>
                </c:pt>
                <c:pt idx="33">
                  <c:v>188.21688855773661</c:v>
                </c:pt>
                <c:pt idx="34">
                  <c:v>189.49904269344532</c:v>
                </c:pt>
                <c:pt idx="35">
                  <c:v>190.02438179954945</c:v>
                </c:pt>
                <c:pt idx="36">
                  <c:v>159.54513067215353</c:v>
                </c:pt>
                <c:pt idx="37">
                  <c:v>134.56046095805951</c:v>
                </c:pt>
                <c:pt idx="38">
                  <c:v>129.61686029159844</c:v>
                </c:pt>
                <c:pt idx="39">
                  <c:v>113.30373594954246</c:v>
                </c:pt>
                <c:pt idx="40">
                  <c:v>91.515612127336297</c:v>
                </c:pt>
                <c:pt idx="41">
                  <c:v>72.921777126603303</c:v>
                </c:pt>
                <c:pt idx="42">
                  <c:v>64.708275971834922</c:v>
                </c:pt>
                <c:pt idx="43">
                  <c:v>59.034176663922587</c:v>
                </c:pt>
                <c:pt idx="44">
                  <c:v>51.725657357110208</c:v>
                </c:pt>
                <c:pt idx="45">
                  <c:v>46.656361628805705</c:v>
                </c:pt>
                <c:pt idx="46">
                  <c:v>43.548097489697369</c:v>
                </c:pt>
                <c:pt idx="47">
                  <c:v>42.827791321215955</c:v>
                </c:pt>
                <c:pt idx="48">
                  <c:v>40.331041617186983</c:v>
                </c:pt>
                <c:pt idx="49">
                  <c:v>38.996337067842376</c:v>
                </c:pt>
                <c:pt idx="50">
                  <c:v>39.671984172795753</c:v>
                </c:pt>
                <c:pt idx="51">
                  <c:v>41.129015875592607</c:v>
                </c:pt>
                <c:pt idx="52">
                  <c:v>43.631805014274825</c:v>
                </c:pt>
                <c:pt idx="53">
                  <c:v>43.098615191505921</c:v>
                </c:pt>
                <c:pt idx="54">
                  <c:v>46.324753366627277</c:v>
                </c:pt>
                <c:pt idx="55">
                  <c:v>51.321336530872976</c:v>
                </c:pt>
                <c:pt idx="56">
                  <c:v>54.516150142124154</c:v>
                </c:pt>
                <c:pt idx="57">
                  <c:v>58.599227032992317</c:v>
                </c:pt>
                <c:pt idx="58">
                  <c:v>62.805621514245281</c:v>
                </c:pt>
                <c:pt idx="59">
                  <c:v>68.34767419693452</c:v>
                </c:pt>
                <c:pt idx="60">
                  <c:v>65.104624056728198</c:v>
                </c:pt>
                <c:pt idx="61">
                  <c:v>59.995234138824337</c:v>
                </c:pt>
                <c:pt idx="62">
                  <c:v>56.680485117105675</c:v>
                </c:pt>
                <c:pt idx="63">
                  <c:v>55.206986064739063</c:v>
                </c:pt>
                <c:pt idx="64">
                  <c:v>51.872387724691038</c:v>
                </c:pt>
                <c:pt idx="65">
                  <c:v>48.740018602177962</c:v>
                </c:pt>
                <c:pt idx="66">
                  <c:v>50.869707736781123</c:v>
                </c:pt>
                <c:pt idx="67">
                  <c:v>53.489041509735067</c:v>
                </c:pt>
                <c:pt idx="68">
                  <c:v>54.750287883988278</c:v>
                </c:pt>
                <c:pt idx="69">
                  <c:v>53.042970326729474</c:v>
                </c:pt>
                <c:pt idx="70">
                  <c:v>55.586401807466657</c:v>
                </c:pt>
                <c:pt idx="71">
                  <c:v>60.598078695603064</c:v>
                </c:pt>
                <c:pt idx="72">
                  <c:v>61.95060052306269</c:v>
                </c:pt>
                <c:pt idx="73">
                  <c:v>61.770593720151453</c:v>
                </c:pt>
                <c:pt idx="74">
                  <c:v>64.685386044085675</c:v>
                </c:pt>
                <c:pt idx="75">
                  <c:v>71.486894827125482</c:v>
                </c:pt>
                <c:pt idx="76">
                  <c:v>70.90629690600619</c:v>
                </c:pt>
                <c:pt idx="77">
                  <c:v>68.182431971615955</c:v>
                </c:pt>
                <c:pt idx="78">
                  <c:v>73.433690243311773</c:v>
                </c:pt>
                <c:pt idx="79">
                  <c:v>77.384452631444518</c:v>
                </c:pt>
                <c:pt idx="80">
                  <c:v>80.984372498166337</c:v>
                </c:pt>
              </c:numCache>
            </c:numRef>
          </c:val>
          <c:smooth val="0"/>
        </c:ser>
        <c:dLbls>
          <c:showLegendKey val="0"/>
          <c:showVal val="0"/>
          <c:showCatName val="0"/>
          <c:showSerName val="0"/>
          <c:showPercent val="0"/>
          <c:showBubbleSize val="0"/>
        </c:dLbls>
        <c:marker val="1"/>
        <c:smooth val="0"/>
        <c:axId val="62164992"/>
        <c:axId val="62166528"/>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ser>
        <c:dLbls>
          <c:showLegendKey val="0"/>
          <c:showVal val="0"/>
          <c:showCatName val="0"/>
          <c:showSerName val="0"/>
          <c:showPercent val="0"/>
          <c:showBubbleSize val="0"/>
        </c:dLbls>
        <c:marker val="1"/>
        <c:smooth val="0"/>
        <c:axId val="62174720"/>
        <c:axId val="62168448"/>
      </c:lineChart>
      <c:catAx>
        <c:axId val="6216499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166528"/>
        <c:crosses val="autoZero"/>
        <c:auto val="1"/>
        <c:lblAlgn val="ctr"/>
        <c:lblOffset val="100"/>
        <c:tickLblSkip val="20"/>
        <c:tickMarkSkip val="20"/>
        <c:noMultiLvlLbl val="0"/>
      </c:catAx>
      <c:valAx>
        <c:axId val="62166528"/>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164992"/>
        <c:crosses val="autoZero"/>
        <c:crossBetween val="midCat"/>
      </c:valAx>
      <c:valAx>
        <c:axId val="62168448"/>
        <c:scaling>
          <c:orientation val="minMax"/>
          <c:max val="300"/>
          <c:min val="0"/>
        </c:scaling>
        <c:delete val="0"/>
        <c:axPos val="r"/>
        <c:title>
          <c:tx>
            <c:rich>
              <a:bodyPr rot="0" vert="horz"/>
              <a:lstStyle/>
              <a:p>
                <a:pP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Index</a:t>
                </a:r>
              </a:p>
            </c:rich>
          </c:tx>
          <c:layout>
            <c:manualLayout>
              <c:xMode val="edge"/>
              <c:yMode val="edge"/>
              <c:x val="0.76983298611111106"/>
              <c:y val="0"/>
            </c:manualLayout>
          </c:layout>
          <c:overlay val="0"/>
        </c:title>
        <c:numFmt formatCode="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62174720"/>
        <c:crosses val="max"/>
        <c:crossBetween val="midCat"/>
        <c:majorUnit val="50"/>
      </c:valAx>
      <c:catAx>
        <c:axId val="6217472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216844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Victoria</a:t>
            </a:r>
          </a:p>
        </c:rich>
      </c:tx>
      <c:layout>
        <c:manualLayout>
          <c:xMode val="edge"/>
          <c:yMode val="edge"/>
          <c:x val="0.43612499999999998"/>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Charts'!$O$46:$O$126</c:f>
              <c:numCache>
                <c:formatCode>0</c:formatCode>
                <c:ptCount val="81"/>
                <c:pt idx="0">
                  <c:v>111.32934944597149</c:v>
                </c:pt>
                <c:pt idx="1">
                  <c:v>100.81158574605315</c:v>
                </c:pt>
                <c:pt idx="2">
                  <c:v>109.23383535914604</c:v>
                </c:pt>
                <c:pt idx="3">
                  <c:v>118.90304156885887</c:v>
                </c:pt>
                <c:pt idx="4">
                  <c:v>126.02790241874591</c:v>
                </c:pt>
                <c:pt idx="5">
                  <c:v>118.22856861918685</c:v>
                </c:pt>
                <c:pt idx="6">
                  <c:v>128.06346288813509</c:v>
                </c:pt>
                <c:pt idx="7">
                  <c:v>142.40712189052718</c:v>
                </c:pt>
                <c:pt idx="8">
                  <c:v>131.035501324335</c:v>
                </c:pt>
                <c:pt idx="9">
                  <c:v>117.52776749383516</c:v>
                </c:pt>
                <c:pt idx="10">
                  <c:v>123.47283465688106</c:v>
                </c:pt>
                <c:pt idx="11">
                  <c:v>130.80691566490884</c:v>
                </c:pt>
                <c:pt idx="12">
                  <c:v>125.38314329812698</c:v>
                </c:pt>
                <c:pt idx="13">
                  <c:v>113.37165990550082</c:v>
                </c:pt>
                <c:pt idx="14">
                  <c:v>125.40329385985589</c:v>
                </c:pt>
                <c:pt idx="15">
                  <c:v>135.43037671178217</c:v>
                </c:pt>
                <c:pt idx="16">
                  <c:v>127.6552000775504</c:v>
                </c:pt>
                <c:pt idx="17">
                  <c:v>112.86361481336907</c:v>
                </c:pt>
                <c:pt idx="18">
                  <c:v>113.71363769954984</c:v>
                </c:pt>
                <c:pt idx="19">
                  <c:v>121.2654718041253</c:v>
                </c:pt>
                <c:pt idx="20">
                  <c:v>109.25768298432352</c:v>
                </c:pt>
                <c:pt idx="21">
                  <c:v>99.6229490071578</c:v>
                </c:pt>
                <c:pt idx="22">
                  <c:v>104.69663278036899</c:v>
                </c:pt>
                <c:pt idx="23">
                  <c:v>125.22305709648384</c:v>
                </c:pt>
                <c:pt idx="24">
                  <c:v>123.81869292928032</c:v>
                </c:pt>
                <c:pt idx="25">
                  <c:v>114.80635473940278</c:v>
                </c:pt>
                <c:pt idx="26">
                  <c:v>122.34974453155996</c:v>
                </c:pt>
                <c:pt idx="27">
                  <c:v>133.45258138789924</c:v>
                </c:pt>
                <c:pt idx="28">
                  <c:v>131.72847384001932</c:v>
                </c:pt>
                <c:pt idx="29">
                  <c:v>120.91473460489456</c:v>
                </c:pt>
                <c:pt idx="30">
                  <c:v>124.94877129604131</c:v>
                </c:pt>
                <c:pt idx="31">
                  <c:v>134.97730060136334</c:v>
                </c:pt>
                <c:pt idx="32">
                  <c:v>128.66399127648057</c:v>
                </c:pt>
                <c:pt idx="33">
                  <c:v>117.55770065235276</c:v>
                </c:pt>
                <c:pt idx="34">
                  <c:v>115.26073978392037</c:v>
                </c:pt>
                <c:pt idx="35">
                  <c:v>120.77055899376263</c:v>
                </c:pt>
                <c:pt idx="36">
                  <c:v>112.51065497193873</c:v>
                </c:pt>
                <c:pt idx="37">
                  <c:v>99.316102486594431</c:v>
                </c:pt>
                <c:pt idx="38">
                  <c:v>98.155149097013478</c:v>
                </c:pt>
                <c:pt idx="39">
                  <c:v>94.938590608061986</c:v>
                </c:pt>
                <c:pt idx="40">
                  <c:v>87.973731224481696</c:v>
                </c:pt>
                <c:pt idx="41">
                  <c:v>75.997026258653491</c:v>
                </c:pt>
                <c:pt idx="42">
                  <c:v>72.356144273501542</c:v>
                </c:pt>
                <c:pt idx="43">
                  <c:v>73.29518131836771</c:v>
                </c:pt>
                <c:pt idx="44">
                  <c:v>69.513844778359939</c:v>
                </c:pt>
                <c:pt idx="45">
                  <c:v>63.859619110922004</c:v>
                </c:pt>
                <c:pt idx="46">
                  <c:v>60.444235919891135</c:v>
                </c:pt>
                <c:pt idx="47">
                  <c:v>59.508635024543487</c:v>
                </c:pt>
                <c:pt idx="48">
                  <c:v>58.788011721129138</c:v>
                </c:pt>
                <c:pt idx="49">
                  <c:v>54.43329863189409</c:v>
                </c:pt>
                <c:pt idx="50">
                  <c:v>55.205033393712277</c:v>
                </c:pt>
                <c:pt idx="51">
                  <c:v>60.035857645106326</c:v>
                </c:pt>
                <c:pt idx="52">
                  <c:v>64.81698481375345</c:v>
                </c:pt>
                <c:pt idx="53">
                  <c:v>65.93153475392549</c:v>
                </c:pt>
                <c:pt idx="54">
                  <c:v>73.768898157185262</c:v>
                </c:pt>
                <c:pt idx="55">
                  <c:v>87.162318837047792</c:v>
                </c:pt>
                <c:pt idx="56">
                  <c:v>97.643930556463658</c:v>
                </c:pt>
                <c:pt idx="57">
                  <c:v>99.226771697247784</c:v>
                </c:pt>
                <c:pt idx="58">
                  <c:v>101.23330847928659</c:v>
                </c:pt>
                <c:pt idx="59">
                  <c:v>105.42817993957878</c:v>
                </c:pt>
                <c:pt idx="60">
                  <c:v>96.806609401568025</c:v>
                </c:pt>
                <c:pt idx="61">
                  <c:v>84.383750850720929</c:v>
                </c:pt>
                <c:pt idx="62">
                  <c:v>76.866965352484144</c:v>
                </c:pt>
                <c:pt idx="63">
                  <c:v>76.299519758767545</c:v>
                </c:pt>
                <c:pt idx="64">
                  <c:v>72.401013997631551</c:v>
                </c:pt>
                <c:pt idx="65">
                  <c:v>68.041364283680522</c:v>
                </c:pt>
                <c:pt idx="66">
                  <c:v>65.558482853287941</c:v>
                </c:pt>
                <c:pt idx="67">
                  <c:v>67.917346994476205</c:v>
                </c:pt>
                <c:pt idx="68">
                  <c:v>66.618414688326538</c:v>
                </c:pt>
                <c:pt idx="69">
                  <c:v>62.353516847227461</c:v>
                </c:pt>
                <c:pt idx="70">
                  <c:v>63.031130120302933</c:v>
                </c:pt>
                <c:pt idx="71">
                  <c:v>65.953840038765804</c:v>
                </c:pt>
                <c:pt idx="72">
                  <c:v>67.790270595842259</c:v>
                </c:pt>
                <c:pt idx="73">
                  <c:v>65.269064037079076</c:v>
                </c:pt>
                <c:pt idx="74">
                  <c:v>66.045781193547114</c:v>
                </c:pt>
                <c:pt idx="75">
                  <c:v>71.618716751366946</c:v>
                </c:pt>
                <c:pt idx="76">
                  <c:v>71.897093416818365</c:v>
                </c:pt>
                <c:pt idx="77">
                  <c:v>65.139893855276256</c:v>
                </c:pt>
                <c:pt idx="78">
                  <c:v>64.332030763778036</c:v>
                </c:pt>
                <c:pt idx="79">
                  <c:v>68.025326572299818</c:v>
                </c:pt>
                <c:pt idx="80">
                  <c:v>70.601309717708418</c:v>
                </c:pt>
              </c:numCache>
            </c:numRef>
          </c:val>
          <c:smooth val="0"/>
        </c:ser>
        <c:dLbls>
          <c:showLegendKey val="0"/>
          <c:showVal val="0"/>
          <c:showCatName val="0"/>
          <c:showSerName val="0"/>
          <c:showPercent val="0"/>
          <c:showBubbleSize val="0"/>
        </c:dLbls>
        <c:marker val="1"/>
        <c:smooth val="0"/>
        <c:axId val="65488768"/>
        <c:axId val="65490304"/>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ser>
        <c:dLbls>
          <c:showLegendKey val="0"/>
          <c:showVal val="0"/>
          <c:showCatName val="0"/>
          <c:showSerName val="0"/>
          <c:showPercent val="0"/>
          <c:showBubbleSize val="0"/>
        </c:dLbls>
        <c:marker val="1"/>
        <c:smooth val="0"/>
        <c:axId val="65494400"/>
        <c:axId val="65492480"/>
      </c:lineChart>
      <c:catAx>
        <c:axId val="65488768"/>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90304"/>
        <c:crosses val="autoZero"/>
        <c:auto val="1"/>
        <c:lblAlgn val="ctr"/>
        <c:lblOffset val="100"/>
        <c:tickLblSkip val="20"/>
        <c:tickMarkSkip val="20"/>
        <c:noMultiLvlLbl val="0"/>
      </c:catAx>
      <c:valAx>
        <c:axId val="65490304"/>
        <c:scaling>
          <c:orientation val="minMax"/>
          <c:max val="350"/>
          <c:min val="0"/>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88768"/>
        <c:crosses val="autoZero"/>
        <c:crossBetween val="midCat"/>
      </c:valAx>
      <c:valAx>
        <c:axId val="65492480"/>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586524305555555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5494400"/>
        <c:crosses val="max"/>
        <c:crossBetween val="midCat"/>
        <c:majorUnit val="50"/>
        <c:minorUnit val="10"/>
      </c:valAx>
      <c:catAx>
        <c:axId val="6549440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549248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Queensland</a:t>
            </a:r>
          </a:p>
        </c:rich>
      </c:tx>
      <c:layout>
        <c:manualLayout>
          <c:xMode val="edge"/>
          <c:yMode val="edge"/>
          <c:x val="0.35611544125532801"/>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Charts'!$Q$46:$Q$126</c:f>
              <c:numCache>
                <c:formatCode>0</c:formatCode>
                <c:ptCount val="81"/>
                <c:pt idx="0">
                  <c:v>110.52812463319003</c:v>
                </c:pt>
                <c:pt idx="1">
                  <c:v>110.9829606772478</c:v>
                </c:pt>
                <c:pt idx="2">
                  <c:v>111.13330621334363</c:v>
                </c:pt>
                <c:pt idx="3">
                  <c:v>119.40441084095529</c:v>
                </c:pt>
                <c:pt idx="4">
                  <c:v>126.42063012572406</c:v>
                </c:pt>
                <c:pt idx="5">
                  <c:v>131.30543638315666</c:v>
                </c:pt>
                <c:pt idx="6">
                  <c:v>133.18699341879127</c:v>
                </c:pt>
                <c:pt idx="7">
                  <c:v>143.06068534400956</c:v>
                </c:pt>
                <c:pt idx="8">
                  <c:v>147.84418693695153</c:v>
                </c:pt>
                <c:pt idx="9">
                  <c:v>138.97051462765853</c:v>
                </c:pt>
                <c:pt idx="10">
                  <c:v>133.31955075451961</c:v>
                </c:pt>
                <c:pt idx="11">
                  <c:v>134.31446842827856</c:v>
                </c:pt>
                <c:pt idx="12">
                  <c:v>125.09243001487856</c:v>
                </c:pt>
                <c:pt idx="13">
                  <c:v>112.68992852890743</c:v>
                </c:pt>
                <c:pt idx="14">
                  <c:v>114.77400003606047</c:v>
                </c:pt>
                <c:pt idx="15">
                  <c:v>119.63466722469688</c:v>
                </c:pt>
                <c:pt idx="16">
                  <c:v>114.01735692015131</c:v>
                </c:pt>
                <c:pt idx="17">
                  <c:v>101.42983583991916</c:v>
                </c:pt>
                <c:pt idx="18">
                  <c:v>96.570251643753764</c:v>
                </c:pt>
                <c:pt idx="19">
                  <c:v>92.235392405946996</c:v>
                </c:pt>
                <c:pt idx="20">
                  <c:v>81.930615207513114</c:v>
                </c:pt>
                <c:pt idx="21">
                  <c:v>75.477343409668336</c:v>
                </c:pt>
                <c:pt idx="22">
                  <c:v>74.040694569591409</c:v>
                </c:pt>
                <c:pt idx="23">
                  <c:v>74.732258278419479</c:v>
                </c:pt>
                <c:pt idx="24">
                  <c:v>75.471517394972835</c:v>
                </c:pt>
                <c:pt idx="25">
                  <c:v>77.210230594914378</c:v>
                </c:pt>
                <c:pt idx="26">
                  <c:v>76.53234446673352</c:v>
                </c:pt>
                <c:pt idx="27">
                  <c:v>80.188325181506812</c:v>
                </c:pt>
                <c:pt idx="28">
                  <c:v>81.338862928239664</c:v>
                </c:pt>
                <c:pt idx="29">
                  <c:v>82.638142175116684</c:v>
                </c:pt>
                <c:pt idx="30">
                  <c:v>88.087345514596947</c:v>
                </c:pt>
                <c:pt idx="31">
                  <c:v>91.532498370779081</c:v>
                </c:pt>
                <c:pt idx="32">
                  <c:v>91.622661922727005</c:v>
                </c:pt>
                <c:pt idx="33">
                  <c:v>87.485300106823161</c:v>
                </c:pt>
                <c:pt idx="34">
                  <c:v>90.357922641718687</c:v>
                </c:pt>
                <c:pt idx="35">
                  <c:v>93.271950303942347</c:v>
                </c:pt>
                <c:pt idx="36">
                  <c:v>90.272574884436779</c:v>
                </c:pt>
                <c:pt idx="37">
                  <c:v>84.489640108921023</c:v>
                </c:pt>
                <c:pt idx="38">
                  <c:v>86.624709767027483</c:v>
                </c:pt>
                <c:pt idx="39">
                  <c:v>87.862776384299821</c:v>
                </c:pt>
                <c:pt idx="40">
                  <c:v>85.778711332140517</c:v>
                </c:pt>
                <c:pt idx="41">
                  <c:v>81.057594063195339</c:v>
                </c:pt>
                <c:pt idx="42">
                  <c:v>78.465516241782638</c:v>
                </c:pt>
                <c:pt idx="43">
                  <c:v>78.873810300166596</c:v>
                </c:pt>
                <c:pt idx="44">
                  <c:v>79.858095203993358</c:v>
                </c:pt>
                <c:pt idx="45">
                  <c:v>75.510212936294892</c:v>
                </c:pt>
                <c:pt idx="46">
                  <c:v>73.240281555260296</c:v>
                </c:pt>
                <c:pt idx="47">
                  <c:v>74.524159769485792</c:v>
                </c:pt>
                <c:pt idx="48">
                  <c:v>77.837089672296017</c:v>
                </c:pt>
                <c:pt idx="49">
                  <c:v>74.001454561527297</c:v>
                </c:pt>
                <c:pt idx="50">
                  <c:v>69.292747105105192</c:v>
                </c:pt>
                <c:pt idx="51">
                  <c:v>74.058732462115358</c:v>
                </c:pt>
                <c:pt idx="52">
                  <c:v>78.494970571050217</c:v>
                </c:pt>
                <c:pt idx="53">
                  <c:v>78.637180813106497</c:v>
                </c:pt>
                <c:pt idx="54">
                  <c:v>79.541880446662802</c:v>
                </c:pt>
                <c:pt idx="55">
                  <c:v>90.699129768607207</c:v>
                </c:pt>
                <c:pt idx="56">
                  <c:v>98.118364666425848</c:v>
                </c:pt>
                <c:pt idx="57">
                  <c:v>95.557570223855279</c:v>
                </c:pt>
                <c:pt idx="58">
                  <c:v>90.953671650632572</c:v>
                </c:pt>
                <c:pt idx="59">
                  <c:v>89.564159801711114</c:v>
                </c:pt>
                <c:pt idx="60">
                  <c:v>83.263434248445606</c:v>
                </c:pt>
                <c:pt idx="61">
                  <c:v>69.757266265718329</c:v>
                </c:pt>
                <c:pt idx="62">
                  <c:v>64.53681870853562</c:v>
                </c:pt>
                <c:pt idx="63">
                  <c:v>64.128248556444774</c:v>
                </c:pt>
                <c:pt idx="64">
                  <c:v>64.992243747180069</c:v>
                </c:pt>
                <c:pt idx="65">
                  <c:v>60.859316358334468</c:v>
                </c:pt>
                <c:pt idx="66">
                  <c:v>62.179490044720474</c:v>
                </c:pt>
                <c:pt idx="67">
                  <c:v>70.422125093363988</c:v>
                </c:pt>
                <c:pt idx="68">
                  <c:v>75.339445994873245</c:v>
                </c:pt>
                <c:pt idx="69">
                  <c:v>74.757587360214075</c:v>
                </c:pt>
                <c:pt idx="70">
                  <c:v>75.734977195009662</c:v>
                </c:pt>
                <c:pt idx="71">
                  <c:v>91.341934916139408</c:v>
                </c:pt>
                <c:pt idx="72">
                  <c:v>98.569990111835821</c:v>
                </c:pt>
                <c:pt idx="73">
                  <c:v>104.07099982834806</c:v>
                </c:pt>
                <c:pt idx="74">
                  <c:v>111.41147612026626</c:v>
                </c:pt>
                <c:pt idx="75">
                  <c:v>123.90654015029807</c:v>
                </c:pt>
                <c:pt idx="76">
                  <c:v>132.46519206945516</c:v>
                </c:pt>
                <c:pt idx="77">
                  <c:v>124.23820679834721</c:v>
                </c:pt>
                <c:pt idx="78">
                  <c:v>123.84487791561914</c:v>
                </c:pt>
                <c:pt idx="79">
                  <c:v>128.99736493842119</c:v>
                </c:pt>
                <c:pt idx="80">
                  <c:v>131.63871212773401</c:v>
                </c:pt>
              </c:numCache>
            </c:numRef>
          </c:val>
          <c:smooth val="0"/>
        </c:ser>
        <c:dLbls>
          <c:showLegendKey val="0"/>
          <c:showVal val="0"/>
          <c:showCatName val="0"/>
          <c:showSerName val="0"/>
          <c:showPercent val="0"/>
          <c:showBubbleSize val="0"/>
        </c:dLbls>
        <c:marker val="1"/>
        <c:smooth val="0"/>
        <c:axId val="66421504"/>
        <c:axId val="66423040"/>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ser>
        <c:dLbls>
          <c:showLegendKey val="0"/>
          <c:showVal val="0"/>
          <c:showCatName val="0"/>
          <c:showSerName val="0"/>
          <c:showPercent val="0"/>
          <c:showBubbleSize val="0"/>
        </c:dLbls>
        <c:marker val="1"/>
        <c:smooth val="0"/>
        <c:axId val="66427136"/>
        <c:axId val="66425216"/>
      </c:lineChart>
      <c:catAx>
        <c:axId val="6642150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6423040"/>
        <c:crosses val="autoZero"/>
        <c:auto val="1"/>
        <c:lblAlgn val="ctr"/>
        <c:lblOffset val="100"/>
        <c:tickLblSkip val="20"/>
        <c:tickMarkSkip val="20"/>
        <c:noMultiLvlLbl val="0"/>
      </c:catAx>
      <c:valAx>
        <c:axId val="66423040"/>
        <c:scaling>
          <c:orientation val="minMax"/>
          <c:max val="350"/>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6421504"/>
        <c:crosses val="autoZero"/>
        <c:crossBetween val="midCat"/>
      </c:valAx>
      <c:valAx>
        <c:axId val="66425216"/>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98329861111110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6427136"/>
        <c:crosses val="max"/>
        <c:crossBetween val="midCat"/>
        <c:majorUnit val="50"/>
        <c:minorUnit val="10"/>
      </c:valAx>
      <c:catAx>
        <c:axId val="66427136"/>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64252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Western Australia</a:t>
            </a:r>
          </a:p>
        </c:rich>
      </c:tx>
      <c:layout>
        <c:manualLayout>
          <c:xMode val="edge"/>
          <c:yMode val="edge"/>
          <c:x val="0.30059690285078194"/>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Charts'!$S$46:$S$126</c:f>
              <c:numCache>
                <c:formatCode>0</c:formatCode>
                <c:ptCount val="81"/>
                <c:pt idx="0">
                  <c:v>81.926230225932983</c:v>
                </c:pt>
                <c:pt idx="1">
                  <c:v>74.324152563329022</c:v>
                </c:pt>
                <c:pt idx="2">
                  <c:v>73.462859548318193</c:v>
                </c:pt>
                <c:pt idx="3">
                  <c:v>76.20693567152729</c:v>
                </c:pt>
                <c:pt idx="4">
                  <c:v>82.446121351341219</c:v>
                </c:pt>
                <c:pt idx="5">
                  <c:v>79.840463246334096</c:v>
                </c:pt>
                <c:pt idx="6">
                  <c:v>84.562778644560595</c:v>
                </c:pt>
                <c:pt idx="7">
                  <c:v>91.273181478220195</c:v>
                </c:pt>
                <c:pt idx="8">
                  <c:v>92.711715077450492</c:v>
                </c:pt>
                <c:pt idx="9">
                  <c:v>91.760255782515927</c:v>
                </c:pt>
                <c:pt idx="10">
                  <c:v>93.724737006088304</c:v>
                </c:pt>
                <c:pt idx="11">
                  <c:v>99.0980947205028</c:v>
                </c:pt>
                <c:pt idx="12">
                  <c:v>103.57232575133793</c:v>
                </c:pt>
                <c:pt idx="13">
                  <c:v>106.92503230228189</c:v>
                </c:pt>
                <c:pt idx="14">
                  <c:v>115.54846447698412</c:v>
                </c:pt>
                <c:pt idx="15">
                  <c:v>118.71690577641773</c:v>
                </c:pt>
                <c:pt idx="16">
                  <c:v>118.05605706287746</c:v>
                </c:pt>
                <c:pt idx="17">
                  <c:v>116.71250475424029</c:v>
                </c:pt>
                <c:pt idx="18">
                  <c:v>111.47174787666067</c:v>
                </c:pt>
                <c:pt idx="19">
                  <c:v>113.22906069978372</c:v>
                </c:pt>
                <c:pt idx="20">
                  <c:v>103.99063433592217</c:v>
                </c:pt>
                <c:pt idx="21">
                  <c:v>101.79410363010682</c:v>
                </c:pt>
                <c:pt idx="22">
                  <c:v>109.61083677561561</c:v>
                </c:pt>
                <c:pt idx="23">
                  <c:v>123.18229265041344</c:v>
                </c:pt>
                <c:pt idx="24">
                  <c:v>128.71483336558006</c:v>
                </c:pt>
                <c:pt idx="25">
                  <c:v>122.60300312049482</c:v>
                </c:pt>
                <c:pt idx="26">
                  <c:v>122.76747705515787</c:v>
                </c:pt>
                <c:pt idx="27">
                  <c:v>127.07948241856282</c:v>
                </c:pt>
                <c:pt idx="28">
                  <c:v>115.18066439856669</c:v>
                </c:pt>
                <c:pt idx="29">
                  <c:v>106.1595622267798</c:v>
                </c:pt>
                <c:pt idx="30">
                  <c:v>105.43314657759062</c:v>
                </c:pt>
                <c:pt idx="31">
                  <c:v>111.51565343959993</c:v>
                </c:pt>
                <c:pt idx="32">
                  <c:v>105.30653522909988</c:v>
                </c:pt>
                <c:pt idx="33">
                  <c:v>94.79746339667642</c:v>
                </c:pt>
                <c:pt idx="34">
                  <c:v>99.608856738826006</c:v>
                </c:pt>
                <c:pt idx="35">
                  <c:v>99.92999703291386</c:v>
                </c:pt>
                <c:pt idx="36">
                  <c:v>93.954509375214087</c:v>
                </c:pt>
                <c:pt idx="37">
                  <c:v>84.805602707175524</c:v>
                </c:pt>
                <c:pt idx="38">
                  <c:v>88.185442098664126</c:v>
                </c:pt>
                <c:pt idx="39">
                  <c:v>88.785796523489537</c:v>
                </c:pt>
                <c:pt idx="40">
                  <c:v>80.82864138676905</c:v>
                </c:pt>
                <c:pt idx="41">
                  <c:v>73.064752450238586</c:v>
                </c:pt>
                <c:pt idx="42">
                  <c:v>73.367126488463228</c:v>
                </c:pt>
                <c:pt idx="43">
                  <c:v>73.790938813856826</c:v>
                </c:pt>
                <c:pt idx="44">
                  <c:v>70.036436896876737</c:v>
                </c:pt>
                <c:pt idx="45">
                  <c:v>62.431766585416391</c:v>
                </c:pt>
                <c:pt idx="46">
                  <c:v>59.607332321893395</c:v>
                </c:pt>
                <c:pt idx="47">
                  <c:v>57.285210533806477</c:v>
                </c:pt>
                <c:pt idx="48">
                  <c:v>53.081181555141399</c:v>
                </c:pt>
                <c:pt idx="49">
                  <c:v>47.92350721539426</c:v>
                </c:pt>
                <c:pt idx="50">
                  <c:v>48.484379967302807</c:v>
                </c:pt>
                <c:pt idx="51">
                  <c:v>54.116269840634644</c:v>
                </c:pt>
                <c:pt idx="52">
                  <c:v>57.517246587806838</c:v>
                </c:pt>
                <c:pt idx="53">
                  <c:v>61.054734185489721</c:v>
                </c:pt>
                <c:pt idx="54">
                  <c:v>63.151697541463037</c:v>
                </c:pt>
                <c:pt idx="55">
                  <c:v>70.13930450349369</c:v>
                </c:pt>
                <c:pt idx="56">
                  <c:v>67.77965049499916</c:v>
                </c:pt>
                <c:pt idx="57">
                  <c:v>63.486010476476309</c:v>
                </c:pt>
                <c:pt idx="58">
                  <c:v>61.142450650115507</c:v>
                </c:pt>
                <c:pt idx="59">
                  <c:v>59.930724585590454</c:v>
                </c:pt>
                <c:pt idx="60">
                  <c:v>56.276867023155738</c:v>
                </c:pt>
                <c:pt idx="61">
                  <c:v>50.10235604120745</c:v>
                </c:pt>
                <c:pt idx="62">
                  <c:v>47.089541764509967</c:v>
                </c:pt>
                <c:pt idx="63">
                  <c:v>45.810992304725218</c:v>
                </c:pt>
                <c:pt idx="64">
                  <c:v>42.271216723657986</c:v>
                </c:pt>
                <c:pt idx="65">
                  <c:v>39.969761592144586</c:v>
                </c:pt>
                <c:pt idx="66">
                  <c:v>41.578307712982493</c:v>
                </c:pt>
                <c:pt idx="67">
                  <c:v>48.723554377934107</c:v>
                </c:pt>
                <c:pt idx="68">
                  <c:v>59.21378303092856</c:v>
                </c:pt>
                <c:pt idx="69">
                  <c:v>66.019358760908972</c:v>
                </c:pt>
                <c:pt idx="70">
                  <c:v>86.909680857006094</c:v>
                </c:pt>
                <c:pt idx="71">
                  <c:v>119.74636351018637</c:v>
                </c:pt>
                <c:pt idx="72">
                  <c:v>150.85873512549347</c:v>
                </c:pt>
                <c:pt idx="73">
                  <c:v>160.74045862543142</c:v>
                </c:pt>
                <c:pt idx="74">
                  <c:v>176.88780507495935</c:v>
                </c:pt>
                <c:pt idx="75">
                  <c:v>230.60506604844306</c:v>
                </c:pt>
                <c:pt idx="76">
                  <c:v>256.76267062468816</c:v>
                </c:pt>
                <c:pt idx="77">
                  <c:v>247.56024767586351</c:v>
                </c:pt>
                <c:pt idx="78">
                  <c:v>282.33092791592844</c:v>
                </c:pt>
                <c:pt idx="79">
                  <c:v>301.73272675271051</c:v>
                </c:pt>
                <c:pt idx="80">
                  <c:v>304.29037505670658</c:v>
                </c:pt>
              </c:numCache>
            </c:numRef>
          </c:val>
          <c:smooth val="0"/>
        </c:ser>
        <c:dLbls>
          <c:showLegendKey val="0"/>
          <c:showVal val="0"/>
          <c:showCatName val="0"/>
          <c:showSerName val="0"/>
          <c:showPercent val="0"/>
          <c:showBubbleSize val="0"/>
        </c:dLbls>
        <c:marker val="1"/>
        <c:smooth val="0"/>
        <c:axId val="67336832"/>
        <c:axId val="67338624"/>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ser>
        <c:dLbls>
          <c:showLegendKey val="0"/>
          <c:showVal val="0"/>
          <c:showCatName val="0"/>
          <c:showSerName val="0"/>
          <c:showPercent val="0"/>
          <c:showBubbleSize val="0"/>
        </c:dLbls>
        <c:marker val="1"/>
        <c:smooth val="0"/>
        <c:axId val="67342720"/>
        <c:axId val="67340544"/>
      </c:lineChart>
      <c:catAx>
        <c:axId val="6733683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7338624"/>
        <c:crosses val="autoZero"/>
        <c:auto val="1"/>
        <c:lblAlgn val="ctr"/>
        <c:lblOffset val="100"/>
        <c:tickLblSkip val="20"/>
        <c:tickMarkSkip val="20"/>
        <c:noMultiLvlLbl val="0"/>
      </c:catAx>
      <c:valAx>
        <c:axId val="67338624"/>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7336832"/>
        <c:crosses val="autoZero"/>
        <c:crossBetween val="midCat"/>
      </c:valAx>
      <c:valAx>
        <c:axId val="67340544"/>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306215277777778"/>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7342720"/>
        <c:crosses val="max"/>
        <c:crossBetween val="midCat"/>
        <c:majorUnit val="50"/>
        <c:minorUnit val="10"/>
      </c:valAx>
      <c:catAx>
        <c:axId val="6734272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734054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0.06861</cdr:x>
      <cdr:y>0.11233</cdr:y>
    </cdr:from>
    <cdr:to>
      <cdr:x>0.24129</cdr:x>
      <cdr:y>0.17022</cdr:y>
    </cdr:to>
    <cdr:sp macro="" textlink="">
      <cdr:nvSpPr>
        <cdr:cNvPr id="2" name="TextBox 1"/>
        <cdr:cNvSpPr txBox="1"/>
      </cdr:nvSpPr>
      <cdr:spPr>
        <a:xfrm xmlns:a="http://schemas.openxmlformats.org/drawingml/2006/main">
          <a:off x="229589" y="305229"/>
          <a:ext cx="577865" cy="15729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900" b="1">
              <a:solidFill>
                <a:srgbClr val="31688E"/>
              </a:solidFill>
            </a:rPr>
            <a:t>Skill</a:t>
          </a:r>
        </a:p>
      </cdr:txBody>
    </cdr:sp>
  </cdr:relSizeAnchor>
  <cdr:relSizeAnchor xmlns:cdr="http://schemas.openxmlformats.org/drawingml/2006/chartDrawing">
    <cdr:from>
      <cdr:x>0.28098</cdr:x>
      <cdr:y>0.47929</cdr:y>
    </cdr:from>
    <cdr:to>
      <cdr:x>0.49104</cdr:x>
      <cdr:y>0.53848</cdr:y>
    </cdr:to>
    <cdr:sp macro="" textlink="">
      <cdr:nvSpPr>
        <cdr:cNvPr id="3" name="TextBox 1"/>
        <cdr:cNvSpPr txBox="1"/>
      </cdr:nvSpPr>
      <cdr:spPr>
        <a:xfrm xmlns:a="http://schemas.openxmlformats.org/drawingml/2006/main">
          <a:off x="940300" y="1480041"/>
          <a:ext cx="702955" cy="1827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35B779"/>
              </a:solidFill>
            </a:rPr>
            <a:t>Family</a:t>
          </a:r>
          <a:endParaRPr lang="en-AU" sz="800" b="1">
            <a:solidFill>
              <a:srgbClr val="35B779"/>
            </a:solidFill>
          </a:endParaRPr>
        </a:p>
      </cdr:txBody>
    </cdr:sp>
  </cdr:relSizeAnchor>
  <cdr:relSizeAnchor xmlns:cdr="http://schemas.openxmlformats.org/drawingml/2006/chartDrawing">
    <cdr:from>
      <cdr:x>0.42579</cdr:x>
      <cdr:y>0.91706</cdr:y>
    </cdr:from>
    <cdr:to>
      <cdr:x>0.7333</cdr:x>
      <cdr:y>0.96404</cdr:y>
    </cdr:to>
    <cdr:sp macro="" textlink="">
      <cdr:nvSpPr>
        <cdr:cNvPr id="4" name="TextBox 1"/>
        <cdr:cNvSpPr txBox="1"/>
      </cdr:nvSpPr>
      <cdr:spPr>
        <a:xfrm xmlns:a="http://schemas.openxmlformats.org/drawingml/2006/main">
          <a:off x="1424877" y="2831896"/>
          <a:ext cx="1029066" cy="14507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440154"/>
              </a:solidFill>
            </a:rPr>
            <a:t>Humanitarian</a:t>
          </a:r>
          <a:endParaRPr lang="en-AU" sz="800" b="1">
            <a:solidFill>
              <a:srgbClr val="440154"/>
            </a:solidFill>
          </a:endParaRPr>
        </a:p>
      </cdr:txBody>
    </cdr:sp>
  </cdr:relSizeAnchor>
  <cdr:relSizeAnchor xmlns:cdr="http://schemas.openxmlformats.org/drawingml/2006/chartDrawing">
    <cdr:from>
      <cdr:x>0.6728</cdr:x>
      <cdr:y>0.45255</cdr:y>
    </cdr:from>
    <cdr:to>
      <cdr:x>0.79082</cdr:x>
      <cdr:y>0.50558</cdr:y>
    </cdr:to>
    <cdr:sp macro="" textlink="">
      <cdr:nvSpPr>
        <cdr:cNvPr id="6" name="TextBox 1"/>
        <cdr:cNvSpPr txBox="1"/>
      </cdr:nvSpPr>
      <cdr:spPr>
        <a:xfrm xmlns:a="http://schemas.openxmlformats.org/drawingml/2006/main">
          <a:off x="2251495" y="1397480"/>
          <a:ext cx="394960" cy="16375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F1D56F"/>
              </a:solidFill>
            </a:rPr>
            <a:t>457</a:t>
          </a:r>
          <a:endParaRPr lang="en-AU" sz="800" b="1">
            <a:solidFill>
              <a:srgbClr val="F1D56F"/>
            </a:solidFill>
          </a:endParaRPr>
        </a:p>
      </cdr:txBody>
    </cdr:sp>
  </cdr:relSizeAnchor>
  <cdr:relSizeAnchor xmlns:cdr="http://schemas.openxmlformats.org/drawingml/2006/chartDrawing">
    <cdr:from>
      <cdr:x>0.78622</cdr:x>
      <cdr:y>0.1313</cdr:y>
    </cdr:from>
    <cdr:to>
      <cdr:x>0.9484</cdr:x>
      <cdr:y>0.18158</cdr:y>
    </cdr:to>
    <cdr:sp macro="" textlink="">
      <cdr:nvSpPr>
        <cdr:cNvPr id="7" name="TextBox 1"/>
        <cdr:cNvSpPr txBox="1"/>
      </cdr:nvSpPr>
      <cdr:spPr>
        <a:xfrm xmlns:a="http://schemas.openxmlformats.org/drawingml/2006/main">
          <a:off x="2631057" y="405442"/>
          <a:ext cx="542720" cy="15527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CB5D6A"/>
              </a:solidFill>
            </a:rPr>
            <a:t>Total</a:t>
          </a:r>
          <a:endParaRPr lang="en-AU" sz="800" b="1">
            <a:solidFill>
              <a:srgbClr val="CB5D6A"/>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10571" ma:contentTypeDescription="" ma:contentTypeScope="" ma:versionID="9e562a988fc0e10f4e85b30ba2ebd8d4">
  <xsd:schema xmlns:xsd="http://www.w3.org/2001/XMLSchema" xmlns:xs="http://www.w3.org/2001/XMLSchema" xmlns:p="http://schemas.microsoft.com/office/2006/metadata/properties" xmlns:ns1="http://schemas.microsoft.com/sharepoint/v3" xmlns:ns2="eb47d8b7-fefc-4923-b53c-9685ba6b7210" targetNamespace="http://schemas.microsoft.com/office/2006/metadata/properties" ma:root="true" ma:fieldsID="4b19b25c1b3fe20020fd823529388636" ns1:_="" ns2:_="">
    <xsd:import namespace="http://schemas.microsoft.com/sharepoint/v3"/>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TaxCatchAll xmlns="eb47d8b7-fefc-4923-b53c-9685ba6b7210">
      <Value>75</Value>
    </TaxCatchAll>
    <_dlc_DocId xmlns="eb47d8b7-fefc-4923-b53c-9685ba6b7210">2018CSSG-528562461-492</_dlc_DocId>
    <_dlc_DocIdUrl xmlns="eb47d8b7-fefc-4923-b53c-9685ba6b7210">
      <Url>http://tweb/sites/cssg/ped/pu/pt/_layouts/15/DocIdRedir.aspx?ID=2018CSSG-528562461-492</Url>
      <Description>2018CSSG-528562461-492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8B832-A58C-4FDB-ABC5-D971545D6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72971-0F04-4805-A23C-56AA0EA0A660}">
  <ds:schemaRefs>
    <ds:schemaRef ds:uri="http://schemas.microsoft.com/sharepoint/events"/>
  </ds:schemaRefs>
</ds:datastoreItem>
</file>

<file path=customXml/itemProps3.xml><?xml version="1.0" encoding="utf-8"?>
<ds:datastoreItem xmlns:ds="http://schemas.openxmlformats.org/officeDocument/2006/customXml" ds:itemID="{AA636D28-8AD8-4FCC-BB91-8AF003F92C17}">
  <ds:schemaRefs>
    <ds:schemaRef ds:uri="office.server.policy"/>
  </ds:schemaRefs>
</ds:datastoreItem>
</file>

<file path=customXml/itemProps4.xml><?xml version="1.0" encoding="utf-8"?>
<ds:datastoreItem xmlns:ds="http://schemas.openxmlformats.org/officeDocument/2006/customXml" ds:itemID="{6EE149F9-1162-4C6D-9F49-F506D4421E5C}">
  <ds:schemaRefs>
    <ds:schemaRef ds:uri="http://schemas.microsoft.com/sharepoint/v3"/>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eb47d8b7-fefc-4923-b53c-9685ba6b7210"/>
    <ds:schemaRef ds:uri="http://schemas.microsoft.com/office/2006/metadata/properties"/>
  </ds:schemaRefs>
</ds:datastoreItem>
</file>

<file path=customXml/itemProps5.xml><?xml version="1.0" encoding="utf-8"?>
<ds:datastoreItem xmlns:ds="http://schemas.openxmlformats.org/officeDocument/2006/customXml" ds:itemID="{FCBF27A6-478D-4C62-A9A1-786FB12A22E6}">
  <ds:schemaRefs>
    <ds:schemaRef ds:uri="http://schemas.microsoft.com/sharepoint/v3/contenttype/forms"/>
  </ds:schemaRefs>
</ds:datastoreItem>
</file>

<file path=customXml/itemProps6.xml><?xml version="1.0" encoding="utf-8"?>
<ds:datastoreItem xmlns:ds="http://schemas.openxmlformats.org/officeDocument/2006/customXml" ds:itemID="{4A5A9700-6FCE-4B66-9E7A-2A95CE1C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TotalTime>
  <Pages>62</Pages>
  <Words>20121</Words>
  <Characters>114693</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Shaping a Nation</vt:lpstr>
    </vt:vector>
  </TitlesOfParts>
  <Company>Australian Government - The Treasury</Company>
  <LinksUpToDate>false</LinksUpToDate>
  <CharactersWithSpaces>134545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Shaping a Nation</dc:title>
  <dc:subject>Joint Paper</dc:subject>
  <dc:creator>The Treasury and the Department of Home Affairs</dc:creator>
  <cp:lastModifiedBy>Thomas, Deborah</cp:lastModifiedBy>
  <cp:revision>4</cp:revision>
  <cp:lastPrinted>2018-04-16T05:39:00Z</cp:lastPrinted>
  <dcterms:created xsi:type="dcterms:W3CDTF">2018-04-16T23:34:00Z</dcterms:created>
  <dcterms:modified xsi:type="dcterms:W3CDTF">2018-04-17T03:01:00Z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0x010100605AAC981168BE40A9BD548B81A50DF600D32F813FF339BB439A8099CD5BC8C9D4</vt:lpwstr>
  </property>
  <property fmtid="{D5CDD505-2E9C-101B-9397-08002B2CF9AE}" pid="3" name="_dlc_DocIdItemGuid">
    <vt:lpwstr>6ed7696a-db4c-4b4b-b567-177df0d1ccdc</vt:lpwstr>
  </property>
  <property fmtid="{D5CDD505-2E9C-101B-9397-08002B2CF9AE}" pid="4" name="RecordPoint_WorkflowType">
    <vt:lpwstr>ActiveSubmitStub</vt:lpwstr>
  </property>
  <property fmtid="{D5CDD505-2E9C-101B-9397-08002B2CF9AE}" pid="5" name="_AdHocReviewCycleID">
    <vt:i4>-640374424</vt:i4>
  </property>
  <property fmtid="{D5CDD505-2E9C-101B-9397-08002B2CF9AE}" pid="6" name="_NewReviewCycle">
    <vt:lpwstr/>
  </property>
  <property fmtid="{D5CDD505-2E9C-101B-9397-08002B2CF9AE}" pid="7" name="_EmailSubject">
    <vt:lpwstr>Shaping a nation word version [SEC=UNCLASSIFIED]</vt:lpwstr>
  </property>
  <property fmtid="{D5CDD505-2E9C-101B-9397-08002B2CF9AE}" pid="8" name="_AuthorEmail">
    <vt:lpwstr>Matthew.Plevey@TREASURY.GOV.AU</vt:lpwstr>
  </property>
  <property fmtid="{D5CDD505-2E9C-101B-9397-08002B2CF9AE}" pid="9" name="_AuthorEmailDisplayName">
    <vt:lpwstr>Plevey, Matthew</vt:lpwstr>
  </property>
  <property fmtid="{D5CDD505-2E9C-101B-9397-08002B2CF9AE}" pid="10" name="_PreviousAdHocReviewCycleID">
    <vt:i4>1233693776</vt:i4>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ActiveItemSiteId">
    <vt:lpwstr>{de902461-0703-410e-906b-a2e3a4f5dd57}</vt:lpwstr>
  </property>
  <property fmtid="{D5CDD505-2E9C-101B-9397-08002B2CF9AE}" pid="15" name="RecordPoint_ActiveItemListId">
    <vt:lpwstr>{1a5197ea-2690-47fd-a085-19629528b6d0}</vt:lpwstr>
  </property>
  <property fmtid="{D5CDD505-2E9C-101B-9397-08002B2CF9AE}" pid="16" name="RecordPoint_ActiveItemUniqueId">
    <vt:lpwstr>{6ed7696a-db4c-4b4b-b567-177df0d1ccdc}</vt:lpwstr>
  </property>
  <property fmtid="{D5CDD505-2E9C-101B-9397-08002B2CF9AE}" pid="17" name="RecordPoint_ActiveItemWebId">
    <vt:lpwstr>{e237d495-0881-4849-ae62-ddc8a8132df5}</vt:lpwstr>
  </property>
  <property fmtid="{D5CDD505-2E9C-101B-9397-08002B2CF9AE}" pid="18" name="RecordPoint_RecordNumberSubmitted">
    <vt:lpwstr/>
  </property>
  <property fmtid="{D5CDD505-2E9C-101B-9397-08002B2CF9AE}" pid="19" name="TSYRecordClass">
    <vt:lpwstr>75;#AE-20337-Destroy 7 years after action completed|668ae28e-5138-4c7c-82db-1c8c6afc81a6</vt:lpwstr>
  </property>
  <property fmtid="{D5CDD505-2E9C-101B-9397-08002B2CF9AE}" pid="20" name="RecordPoint_SubmissionCompleted">
    <vt:lpwstr/>
  </property>
  <property fmtid="{D5CDD505-2E9C-101B-9397-08002B2CF9AE}" pid="21" name="_ReviewingToolsShownOnce">
    <vt:lpwstr/>
  </property>
</Properties>
</file>