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theme/themeOverride1.xml" ContentType="application/vnd.openxmlformats-officedocument.themeOverride+xml"/>
  <Override PartName="/word/drawings/drawing2.xml" ContentType="application/vnd.openxmlformats-officedocument.drawingml.chartshapes+xml"/>
  <Override PartName="/word/charts/chart3.xml" ContentType="application/vnd.openxmlformats-officedocument.drawingml.chart+xml"/>
  <Override PartName="/word/theme/themeOverride2.xml" ContentType="application/vnd.openxmlformats-officedocument.themeOverride+xml"/>
  <Override PartName="/word/drawings/drawing3.xml" ContentType="application/vnd.openxmlformats-officedocument.drawingml.chartshapes+xml"/>
  <Override PartName="/word/charts/chart4.xml" ContentType="application/vnd.openxmlformats-officedocument.drawingml.chart+xml"/>
  <Override PartName="/word/theme/themeOverride3.xml" ContentType="application/vnd.openxmlformats-officedocument.themeOverride+xml"/>
  <Override PartName="/word/drawings/drawing4.xml" ContentType="application/vnd.openxmlformats-officedocument.drawingml.chartshapes+xml"/>
  <Override PartName="/word/charts/chart5.xml" ContentType="application/vnd.openxmlformats-officedocument.drawingml.chart+xml"/>
  <Override PartName="/word/theme/themeOverride4.xml" ContentType="application/vnd.openxmlformats-officedocument.themeOverride+xml"/>
  <Override PartName="/word/drawings/drawing5.xml" ContentType="application/vnd.openxmlformats-officedocument.drawingml.chartshapes+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7469AC" w14:textId="77777777" w:rsidR="00F70A9F" w:rsidRDefault="00F70A9F" w:rsidP="00F70A9F">
      <w:pPr>
        <w:pStyle w:val="CoverInfoNote"/>
      </w:pPr>
      <w:r w:rsidRPr="00F70A9F">
        <w:t>INFORMATION</w:t>
      </w:r>
      <w:r>
        <w:t xml:space="preserve"> NOTE</w:t>
      </w:r>
      <w:r w:rsidR="00FF42E0">
        <w:rPr>
          <w:rStyle w:val="FootnoteReference"/>
        </w:rPr>
        <w:footnoteReference w:id="1"/>
      </w:r>
    </w:p>
    <w:p w14:paraId="7E06BD61" w14:textId="77777777" w:rsidR="00BD6AFF" w:rsidRPr="0043751A" w:rsidRDefault="0043751A" w:rsidP="00257DD5">
      <w:pPr>
        <w:pStyle w:val="Covertitle"/>
      </w:pPr>
      <w:r w:rsidRPr="0043751A">
        <w:t>FEMALE LABOUR FORCE PARTICIPATION AND RETIREMENT OUTCOMES IN MARIA</w:t>
      </w:r>
    </w:p>
    <w:p w14:paraId="639C2088" w14:textId="77777777" w:rsidR="00B03089" w:rsidRDefault="00B03089" w:rsidP="00B03089">
      <w:pPr>
        <w:pStyle w:val="Introtext"/>
      </w:pPr>
      <w:r>
        <w:t>Ensuring adequate retirement incomes for all Australians is an important issue facing the nation</w:t>
      </w:r>
      <w:r w:rsidR="00FD03B9">
        <w:t xml:space="preserve">, as emphasised in the 2015 </w:t>
      </w:r>
      <w:r w:rsidR="00FD03B9">
        <w:rPr>
          <w:i/>
        </w:rPr>
        <w:t>Intergenerational Report</w:t>
      </w:r>
      <w:r>
        <w:t>.</w:t>
      </w:r>
      <w:r w:rsidR="00D856D3">
        <w:rPr>
          <w:rStyle w:val="FootnoteReference"/>
        </w:rPr>
        <w:footnoteReference w:id="2"/>
      </w:r>
      <w:r>
        <w:t xml:space="preserve"> Because superannuation contributions are based on earnings from employment, female labour force participation is potentially an important factor. While the rate of female labour force participation has risen substantially in recent decades, it is still substantially below the male level. In this note, we model the impact of different female labour force parti</w:t>
      </w:r>
      <w:bookmarkStart w:id="0" w:name="_GoBack"/>
      <w:bookmarkEnd w:id="0"/>
      <w:r>
        <w:t>cipation scenarios on retirement incomes using Treasury’s newly developed long-term dynamic microsimulation model of Australia’s retirement income system, MARIA (Model of Australian Retirement Incomes and Assets).</w:t>
      </w:r>
    </w:p>
    <w:p w14:paraId="7798E9A1" w14:textId="3D6DCF6D" w:rsidR="00B03089" w:rsidRDefault="00B03089" w:rsidP="00B03089">
      <w:pPr>
        <w:pStyle w:val="Introtext"/>
      </w:pPr>
      <w:r>
        <w:t>The first scenario is a substantial, but relatively plausible, 10 per cent increase in female labour force participation, phased in over 15 years. The second, less realistic, assumes instant equalisation of female participation rates to male levels</w:t>
      </w:r>
      <w:r w:rsidR="006A0549">
        <w:t xml:space="preserve">, </w:t>
      </w:r>
      <w:r w:rsidR="00101972">
        <w:t>resulting</w:t>
      </w:r>
      <w:r w:rsidR="00781DBF" w:rsidRPr="00781DBF">
        <w:t xml:space="preserve"> in a 17 per cent increase in female labour force participation from 2020</w:t>
      </w:r>
      <w:r>
        <w:t>. The third assumes a convergence of both male and female participation rates to the average for both sexes, with a decrease in male participation rates offsetting the increase for females.</w:t>
      </w:r>
    </w:p>
    <w:p w14:paraId="17BCEB2E" w14:textId="687FBD81" w:rsidR="006A0549" w:rsidRDefault="00B03089" w:rsidP="00B03089">
      <w:pPr>
        <w:pStyle w:val="Introtext"/>
      </w:pPr>
      <w:r>
        <w:t>Higher labour force participation increases female retirement incomes, and reduces pension reliance and expenditure (except where it is offset by lower male participation). However, these results take a very long time to materialise.</w:t>
      </w:r>
      <w:r w:rsidR="006A0549">
        <w:t xml:space="preserve"> Pension reliance and expenditure in 2060 are affected by the labour force shocks introduced in the first year in 2020. </w:t>
      </w:r>
      <w:r w:rsidR="0001165B" w:rsidRPr="0001165B">
        <w:t>The nature of the system means that it takes a long time for the impacts to stabilise following any change.</w:t>
      </w:r>
    </w:p>
    <w:p w14:paraId="1A869F80" w14:textId="77777777" w:rsidR="00FD03B9" w:rsidRDefault="00B03089" w:rsidP="00B03089">
      <w:pPr>
        <w:pStyle w:val="Introtext"/>
      </w:pPr>
      <w:r>
        <w:t xml:space="preserve">The </w:t>
      </w:r>
      <w:r w:rsidR="00B070EB">
        <w:t>impact of the scenarios</w:t>
      </w:r>
      <w:r w:rsidR="00333A52">
        <w:t xml:space="preserve"> on the Age Pension</w:t>
      </w:r>
      <w:r>
        <w:t xml:space="preserve"> is </w:t>
      </w:r>
      <w:r w:rsidRPr="00F03908">
        <w:t>small</w:t>
      </w:r>
      <w:r w:rsidR="00E8660C">
        <w:t xml:space="preserve"> relative to the scale of the labour force change</w:t>
      </w:r>
      <w:r>
        <w:t>. Only the second scenario (equalisation at male participation rates) reduces pension reliance and expenditure by more than 10 per cent. The effects on women’s retirement incomes are somewhat larger</w:t>
      </w:r>
      <w:r w:rsidR="00CA4E87">
        <w:t xml:space="preserve"> across the scenarios</w:t>
      </w:r>
      <w:r>
        <w:t>, although not dramatic, apart from the equalisation scenario. The 10 per cent increase in participation scenario</w:t>
      </w:r>
      <w:r w:rsidR="006A514A">
        <w:t xml:space="preserve">, relative to the baseline, </w:t>
      </w:r>
      <w:r>
        <w:t>raises women’s average retirement incomes by</w:t>
      </w:r>
      <w:r w:rsidR="00EF6E5D">
        <w:t xml:space="preserve"> </w:t>
      </w:r>
      <w:r>
        <w:t>about 5 per cent</w:t>
      </w:r>
      <w:r w:rsidR="00FD03B9">
        <w:t xml:space="preserve">.  This reflects the fact that </w:t>
      </w:r>
      <w:r>
        <w:t>participation is only one factor impacting retirement incomes. We make no assumption about increasing female earnings or reducing the gender pay gap.</w:t>
      </w:r>
    </w:p>
    <w:p w14:paraId="39A1A281" w14:textId="77777777" w:rsidR="00F70A9F" w:rsidRDefault="00F70A9F" w:rsidP="00F70A9F">
      <w:pPr>
        <w:sectPr w:rsidR="00F70A9F" w:rsidSect="007E7EB1">
          <w:headerReference w:type="even" r:id="rId8"/>
          <w:headerReference w:type="default" r:id="rId9"/>
          <w:footerReference w:type="even" r:id="rId10"/>
          <w:footerReference w:type="default" r:id="rId11"/>
          <w:headerReference w:type="first" r:id="rId12"/>
          <w:footerReference w:type="first" r:id="rId13"/>
          <w:pgSz w:w="11906" w:h="16838"/>
          <w:pgMar w:top="4962" w:right="851" w:bottom="1134" w:left="851" w:header="680" w:footer="709" w:gutter="0"/>
          <w:cols w:space="708"/>
          <w:docGrid w:linePitch="360"/>
        </w:sect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3" w:type="dxa"/>
          <w:bottom w:w="113" w:type="dxa"/>
        </w:tblCellMar>
        <w:tblLook w:val="04A0" w:firstRow="1" w:lastRow="0" w:firstColumn="1" w:lastColumn="0" w:noHBand="0" w:noVBand="1"/>
      </w:tblPr>
      <w:tblGrid>
        <w:gridCol w:w="1930"/>
        <w:gridCol w:w="8166"/>
      </w:tblGrid>
      <w:tr w:rsidR="00A73DEF" w14:paraId="04706DCC" w14:textId="77777777" w:rsidTr="003502C1">
        <w:tc>
          <w:tcPr>
            <w:tcW w:w="1930" w:type="dxa"/>
          </w:tcPr>
          <w:p w14:paraId="08E400C3" w14:textId="77777777" w:rsidR="00A73DEF" w:rsidRDefault="00A73DEF" w:rsidP="001F0F83">
            <w:pPr>
              <w:pStyle w:val="Subtitle"/>
            </w:pPr>
          </w:p>
        </w:tc>
        <w:tc>
          <w:tcPr>
            <w:tcW w:w="8166" w:type="dxa"/>
          </w:tcPr>
          <w:p w14:paraId="2DFE00C6" w14:textId="77777777" w:rsidR="00A73DEF" w:rsidRPr="0043751A" w:rsidRDefault="00A73DEF" w:rsidP="00A4606A">
            <w:pPr>
              <w:pStyle w:val="Heading1"/>
            </w:pPr>
            <w:r>
              <w:t>About MARIA</w:t>
            </w:r>
          </w:p>
        </w:tc>
      </w:tr>
      <w:tr w:rsidR="00A73DEF" w14:paraId="0CD6D653" w14:textId="77777777" w:rsidTr="003502C1">
        <w:tc>
          <w:tcPr>
            <w:tcW w:w="1930" w:type="dxa"/>
          </w:tcPr>
          <w:p w14:paraId="6830D19F" w14:textId="77777777" w:rsidR="00A73DEF" w:rsidRDefault="00A73DEF" w:rsidP="001F0F83">
            <w:pPr>
              <w:pStyle w:val="Subtitle"/>
            </w:pPr>
            <w:r>
              <w:t>MARIA is Treasury’s new long-term dynamic microsimulation model of Australia’s retirement system.</w:t>
            </w:r>
          </w:p>
        </w:tc>
        <w:tc>
          <w:tcPr>
            <w:tcW w:w="8166" w:type="dxa"/>
          </w:tcPr>
          <w:p w14:paraId="33E6A88A" w14:textId="77777777" w:rsidR="00B03089" w:rsidRDefault="00B03089" w:rsidP="00B03089">
            <w:r>
              <w:t xml:space="preserve">The Model of Australian Retirement Incomes and Assets (MARIA) is a long-term dynamic microsimulation model of Australia’s retirement income system. It simulates the characteristics of each individual for every year of the model run based on their characteristics in the previous year. This method produces a </w:t>
            </w:r>
            <w:proofErr w:type="spellStart"/>
            <w:r>
              <w:t>lifepath</w:t>
            </w:r>
            <w:proofErr w:type="spellEnd"/>
            <w:r>
              <w:t xml:space="preserve"> for each individual and thereby seeks to capture the diversity of Australian lifetimes and how they are expected to change in the future. The dynamic aspect is crucial for modelling Australia’s retirement income system as the characteristics of future retirees are likely to differ from current retirees as the superannuation system matures. </w:t>
            </w:r>
          </w:p>
          <w:p w14:paraId="32DC7F90" w14:textId="77777777" w:rsidR="00B03089" w:rsidRDefault="00B03089" w:rsidP="00B03089">
            <w:r>
              <w:t xml:space="preserve">There are a whole range of circumstances that can affect the retirement incomes of individuals. These include: their family composition; how much time they spend in the workforce and how much they get paid; how much they save for their retirement; the impact of disability or illness and whether they have a partner whose wealth they can draw upon. Simulating detailed distributions of retirement income and assets in the long-term requires predicting all of these factors for each of the individuals in MARIA. </w:t>
            </w:r>
          </w:p>
          <w:p w14:paraId="50169173" w14:textId="77777777" w:rsidR="00A73DEF" w:rsidRPr="0043751A" w:rsidRDefault="00B03089" w:rsidP="00B03089">
            <w:r>
              <w:t xml:space="preserve">MARIA begins with base data which captures the Australian population aged 25 and over at a set point in time. The model is run on a representative sample of this complete data set. MARIA then uses Treasury analysis and projections – the ‘input parameters’ – to model the </w:t>
            </w:r>
            <w:proofErr w:type="spellStart"/>
            <w:r>
              <w:t>lifepaths</w:t>
            </w:r>
            <w:proofErr w:type="spellEnd"/>
            <w:r>
              <w:t xml:space="preserve"> (including employment status, superannuation contributions and balance) of these individual records for one year. The output from the model becomes the input for the following year, and so on, year by year, as </w:t>
            </w:r>
            <w:proofErr w:type="gramStart"/>
            <w:r>
              <w:t>individuals</w:t>
            </w:r>
            <w:proofErr w:type="gramEnd"/>
            <w:r>
              <w:t xml:space="preserve"> age from working life to retirement and death. Each year, new records are introduced to represent new 25 year olds in the population.</w:t>
            </w:r>
            <w:r w:rsidR="00002ACE">
              <w:rPr>
                <w:rStyle w:val="FootnoteReference"/>
              </w:rPr>
              <w:footnoteReference w:id="3"/>
            </w:r>
          </w:p>
        </w:tc>
      </w:tr>
      <w:tr w:rsidR="00A73DEF" w14:paraId="120ADE04" w14:textId="77777777" w:rsidTr="003502C1">
        <w:tc>
          <w:tcPr>
            <w:tcW w:w="1930" w:type="dxa"/>
          </w:tcPr>
          <w:p w14:paraId="28E8F70F" w14:textId="77777777" w:rsidR="00A73DEF" w:rsidRDefault="00A73DEF" w:rsidP="001F0F83">
            <w:pPr>
              <w:pStyle w:val="Subtitle"/>
            </w:pPr>
          </w:p>
        </w:tc>
        <w:tc>
          <w:tcPr>
            <w:tcW w:w="8166" w:type="dxa"/>
          </w:tcPr>
          <w:p w14:paraId="0C5ACA2D" w14:textId="77777777" w:rsidR="00A73DEF" w:rsidRDefault="00A73DEF" w:rsidP="001F0F83">
            <w:pPr>
              <w:pStyle w:val="Heading1"/>
            </w:pPr>
            <w:r>
              <w:t>Female labour force</w:t>
            </w:r>
            <w:r w:rsidRPr="0043751A">
              <w:t xml:space="preserve"> </w:t>
            </w:r>
            <w:r w:rsidR="00F44D49">
              <w:t xml:space="preserve">participation </w:t>
            </w:r>
            <w:r w:rsidRPr="0043751A">
              <w:t>scenarios</w:t>
            </w:r>
          </w:p>
        </w:tc>
      </w:tr>
      <w:tr w:rsidR="00A73DEF" w14:paraId="42521454" w14:textId="77777777" w:rsidTr="003502C1">
        <w:tc>
          <w:tcPr>
            <w:tcW w:w="1930" w:type="dxa"/>
          </w:tcPr>
          <w:p w14:paraId="45F405BC" w14:textId="77777777" w:rsidR="00A73DEF" w:rsidRDefault="00A73DEF" w:rsidP="006907A2">
            <w:pPr>
              <w:pStyle w:val="Subtitle"/>
            </w:pPr>
            <w:r>
              <w:t xml:space="preserve">We estimate </w:t>
            </w:r>
            <w:r w:rsidR="006907A2">
              <w:t xml:space="preserve">three                                                                                                                                                                                                                                     </w:t>
            </w:r>
            <w:r>
              <w:t>alternative scenarios for female labour force participation in MARIA.</w:t>
            </w:r>
          </w:p>
        </w:tc>
        <w:tc>
          <w:tcPr>
            <w:tcW w:w="8166" w:type="dxa"/>
          </w:tcPr>
          <w:p w14:paraId="3D8CE5AC" w14:textId="77777777" w:rsidR="00B03089" w:rsidRDefault="00B03089" w:rsidP="00B03089">
            <w:r>
              <w:t xml:space="preserve">In this note, we use MARIA to simulate retirement outcomes under varying scenarios for female labour force participation. The simulations are based on a 1 in 100 sample of the MARIA </w:t>
            </w:r>
            <w:proofErr w:type="spellStart"/>
            <w:r>
              <w:t>basefile</w:t>
            </w:r>
            <w:proofErr w:type="spellEnd"/>
            <w:r>
              <w:t xml:space="preserve">, or approximately 160,000 individuals in 2015. </w:t>
            </w:r>
          </w:p>
          <w:p w14:paraId="6153D24C" w14:textId="77777777" w:rsidR="00B03089" w:rsidRDefault="00B03089" w:rsidP="00B03089">
            <w:r>
              <w:t xml:space="preserve">The baseline scenario uses Treasury projections (updated from the 2015 </w:t>
            </w:r>
            <w:r w:rsidRPr="005710D2">
              <w:rPr>
                <w:i/>
              </w:rPr>
              <w:t>Intergenerational Report</w:t>
            </w:r>
            <w:r>
              <w:t xml:space="preserve">) out to 2060. These set the number of individuals who are employed full-time (FT), part-time (PT), and unemployed, by sex and single year of age from 25 to 100+. </w:t>
            </w:r>
          </w:p>
          <w:p w14:paraId="67B78D24" w14:textId="77777777" w:rsidR="00B03089" w:rsidRDefault="00B03089" w:rsidP="00B03089">
            <w:r>
              <w:t>We then create three alternative scenarios, as follows:</w:t>
            </w:r>
          </w:p>
          <w:p w14:paraId="07AE8EA0" w14:textId="77777777" w:rsidR="00B03089" w:rsidRDefault="00B03089" w:rsidP="00214EC0">
            <w:pPr>
              <w:pStyle w:val="OutlineNumbered1"/>
            </w:pPr>
            <w:r w:rsidRPr="00214EC0">
              <w:rPr>
                <w:i/>
              </w:rPr>
              <w:t>10% increase</w:t>
            </w:r>
            <w:r>
              <w:t>. A 10 per cent increase in female labour force participation relative to the baseline, phased in between 2020 and 2035.</w:t>
            </w:r>
            <w:r w:rsidR="00214EC0">
              <w:rPr>
                <w:rStyle w:val="FootnoteReference"/>
              </w:rPr>
              <w:footnoteReference w:id="4"/>
            </w:r>
            <w:r w:rsidR="006A514A">
              <w:t xml:space="preserve"> In 2035, this is equivalent to an increase in female labour force participation of </w:t>
            </w:r>
            <w:r w:rsidR="00CA4E87">
              <w:t>5.</w:t>
            </w:r>
            <w:r w:rsidR="00BF3230">
              <w:t>5</w:t>
            </w:r>
            <w:r w:rsidR="006A514A">
              <w:t xml:space="preserve"> percentage points. </w:t>
            </w:r>
            <w:r>
              <w:t xml:space="preserve">This is achieved through a uniform annual percentage increase in the number of women employed FT, PT, and unemployed, by single year of age. </w:t>
            </w:r>
            <w:r w:rsidRPr="00E22366">
              <w:t>The female unemployment rate is unchanged,</w:t>
            </w:r>
            <w:r>
              <w:t xml:space="preserve"> as are all male labour force outcomes. </w:t>
            </w:r>
          </w:p>
          <w:p w14:paraId="4EA23CDB" w14:textId="77777777" w:rsidR="00B03089" w:rsidRDefault="00B03089" w:rsidP="00214EC0">
            <w:pPr>
              <w:pStyle w:val="OutlineNumbered1"/>
            </w:pPr>
            <w:r w:rsidRPr="00214EC0">
              <w:rPr>
                <w:i/>
              </w:rPr>
              <w:t>Equalisation</w:t>
            </w:r>
            <w:r>
              <w:t>. Female FT, PT, and unemployment to population ratios, by single year of age, are made equal to the baseline male rates starting in 2020. The overall female and male participation rates are not exactly equalised, due to the different age distributions of females and males.</w:t>
            </w:r>
          </w:p>
          <w:p w14:paraId="41058842" w14:textId="44605F02" w:rsidR="00B03089" w:rsidRDefault="00B03089" w:rsidP="00214EC0">
            <w:pPr>
              <w:pStyle w:val="OutlineNumbered1"/>
            </w:pPr>
            <w:r w:rsidRPr="00214EC0">
              <w:rPr>
                <w:i/>
              </w:rPr>
              <w:t>Offset</w:t>
            </w:r>
            <w:r>
              <w:t>. Female and male employment- and unemployment-population ratios by single year of age are again equalised in 2020, but at the baseline rates for both sexes combined rather than for males. Hence the increase in female labour force participation is offset by a decline in male participation</w:t>
            </w:r>
            <w:r w:rsidR="000419A2">
              <w:t>.</w:t>
            </w:r>
          </w:p>
          <w:p w14:paraId="0C4918A2" w14:textId="77777777" w:rsidR="00B03089" w:rsidRDefault="00B03089" w:rsidP="00B03089">
            <w:r>
              <w:t>In all scenarios, the population by sex and age (also based on Treasury projections) remains unchanged, with the number not in the labour force offsetting all changes in participation. Since MARIA is not a macroeconomic model, the labour supply shocks in our scenarios do not affect the predicted wages of workers with given characteristics.</w:t>
            </w:r>
            <w:r w:rsidR="00214EC0">
              <w:rPr>
                <w:rStyle w:val="FootnoteReference"/>
              </w:rPr>
              <w:footnoteReference w:id="5"/>
            </w:r>
            <w:r>
              <w:t xml:space="preserve"> </w:t>
            </w:r>
          </w:p>
          <w:p w14:paraId="6B42AB5B" w14:textId="77777777" w:rsidR="00A73DEF" w:rsidRDefault="00B03089" w:rsidP="00B03089">
            <w:r>
              <w:t>Chart 1 shows female labour force participation rates (for ages 25 and above) under the baseline and alternative scenarios. In the baseline, the participation rate tends to decline slowly over time due to population ageing, and this is reflected in the alternative scenarios after the initial shocks are imposed. The close match between the ‘10% increase’ and ‘offset’ scenarios after 2035 hides the fact that the ‘offset’ scenario has a higher rate of female FT employment. This is even more marked in the ‘equalisation’ scenario, where female FT employment is nearly double the baseline, while PT employment is less than half.</w:t>
            </w:r>
          </w:p>
          <w:p w14:paraId="77B4BE36" w14:textId="77777777" w:rsidR="00FF23E3" w:rsidRDefault="00FF23E3" w:rsidP="00FF23E3">
            <w:pPr>
              <w:pStyle w:val="Chartheading"/>
            </w:pPr>
            <w:r>
              <w:t>Chart</w:t>
            </w:r>
            <w:r w:rsidRPr="0043751A">
              <w:t xml:space="preserve"> 1: Female participation rates </w:t>
            </w:r>
          </w:p>
          <w:p w14:paraId="6BF21D11" w14:textId="77777777" w:rsidR="00FF23E3" w:rsidRDefault="00FF23E3" w:rsidP="00FF23E3">
            <w:pPr>
              <w:pStyle w:val="Chartheading"/>
            </w:pPr>
            <w:r>
              <w:rPr>
                <w:noProof/>
                <w:lang w:eastAsia="en-AU"/>
              </w:rPr>
              <w:drawing>
                <wp:inline distT="0" distB="0" distL="0" distR="0" wp14:anchorId="1B76ACA7" wp14:editId="32CA4D99">
                  <wp:extent cx="5040000" cy="2520000"/>
                  <wp:effectExtent l="0" t="0" r="8255" b="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tc>
      </w:tr>
      <w:tr w:rsidR="00A73DEF" w14:paraId="2D88758C" w14:textId="77777777" w:rsidTr="003502C1">
        <w:tc>
          <w:tcPr>
            <w:tcW w:w="1930" w:type="dxa"/>
          </w:tcPr>
          <w:p w14:paraId="61E2BDCB" w14:textId="77777777" w:rsidR="00A73DEF" w:rsidRDefault="00A73DEF" w:rsidP="001F0F83">
            <w:pPr>
              <w:pStyle w:val="Subtitle"/>
            </w:pPr>
          </w:p>
        </w:tc>
        <w:tc>
          <w:tcPr>
            <w:tcW w:w="8166" w:type="dxa"/>
          </w:tcPr>
          <w:p w14:paraId="5298086F" w14:textId="77777777" w:rsidR="00A73DEF" w:rsidRPr="0057530B" w:rsidRDefault="00A73DEF" w:rsidP="0057530B">
            <w:pPr>
              <w:pStyle w:val="Heading1"/>
            </w:pPr>
            <w:r w:rsidRPr="0043751A">
              <w:t>Aggregate outcomes</w:t>
            </w:r>
          </w:p>
        </w:tc>
      </w:tr>
      <w:tr w:rsidR="00A73DEF" w14:paraId="345DE413" w14:textId="77777777" w:rsidTr="003502C1">
        <w:tc>
          <w:tcPr>
            <w:tcW w:w="1930" w:type="dxa"/>
          </w:tcPr>
          <w:p w14:paraId="671252ED" w14:textId="77777777" w:rsidR="00A73DEF" w:rsidRDefault="00A73DEF" w:rsidP="003677A7">
            <w:pPr>
              <w:pStyle w:val="Subtitle"/>
            </w:pPr>
            <w:r>
              <w:t xml:space="preserve">Higher female labour force participation reduces pension </w:t>
            </w:r>
            <w:r>
              <w:lastRenderedPageBreak/>
              <w:t>reliance and expenditure, but it takes a long time and the effects are generally modest.</w:t>
            </w:r>
          </w:p>
        </w:tc>
        <w:tc>
          <w:tcPr>
            <w:tcW w:w="8166" w:type="dxa"/>
          </w:tcPr>
          <w:p w14:paraId="45042A7C" w14:textId="4029B45B" w:rsidR="00A73DEF" w:rsidRPr="0043751A" w:rsidRDefault="00B03089" w:rsidP="0043751A">
            <w:r w:rsidRPr="0043751A">
              <w:lastRenderedPageBreak/>
              <w:t xml:space="preserve">As expected, higher female labour force participation reduces the number of female maximum rate </w:t>
            </w:r>
            <w:r w:rsidR="00333A52">
              <w:t>A</w:t>
            </w:r>
            <w:r w:rsidRPr="0043751A">
              <w:t xml:space="preserve">ge </w:t>
            </w:r>
            <w:r w:rsidR="00333A52">
              <w:t>P</w:t>
            </w:r>
            <w:r w:rsidRPr="0043751A">
              <w:t xml:space="preserve">ension recipients relative to the baseline, illustrated in </w:t>
            </w:r>
            <w:r>
              <w:t>Chart</w:t>
            </w:r>
            <w:r w:rsidRPr="0043751A">
              <w:t xml:space="preserve"> 2. This is mainly because higher participation translates over time into higher super balances, which results in </w:t>
            </w:r>
            <w:r>
              <w:t>fewer</w:t>
            </w:r>
            <w:r w:rsidRPr="0043751A">
              <w:t xml:space="preserve"> people receiving the Age Pension due to either the income or assets tests. The longer someone spends in employment as a result of these changes to participation rates, the larger the increase </w:t>
            </w:r>
            <w:r w:rsidRPr="0043751A">
              <w:lastRenderedPageBreak/>
              <w:t xml:space="preserve">in their superannuation balance. Therefore, the aggregate impact on the number of pension recipients continues to </w:t>
            </w:r>
            <w:r w:rsidR="000419A2">
              <w:t>gain in significance</w:t>
            </w:r>
            <w:r w:rsidR="000419A2" w:rsidRPr="0043751A">
              <w:t xml:space="preserve"> </w:t>
            </w:r>
            <w:r w:rsidRPr="0043751A">
              <w:t xml:space="preserve">up to 2060, even though the labour force shocks reach their maximum extent in 2020 or 2035. Higher employment among those over pension age may also reduce pension uptake more immediately through the income test on wages and salaries. </w:t>
            </w:r>
            <w:r w:rsidR="00A73DEF" w:rsidRPr="0043751A">
              <w:t xml:space="preserve"> </w:t>
            </w:r>
          </w:p>
          <w:p w14:paraId="4BDEAF76" w14:textId="77777777" w:rsidR="00FF23E3" w:rsidRDefault="00FF23E3" w:rsidP="00FF23E3">
            <w:pPr>
              <w:pStyle w:val="Chartheading"/>
              <w:keepNext/>
            </w:pPr>
            <w:r>
              <w:t>Chart</w:t>
            </w:r>
            <w:r w:rsidRPr="0043751A">
              <w:t xml:space="preserve"> 2: </w:t>
            </w:r>
            <w:r w:rsidR="00B03089">
              <w:t>Number of f</w:t>
            </w:r>
            <w:r w:rsidR="00B03089" w:rsidRPr="0043751A">
              <w:t xml:space="preserve">emale maximum rate </w:t>
            </w:r>
            <w:r w:rsidR="00B03089">
              <w:t>pensioners</w:t>
            </w:r>
          </w:p>
          <w:p w14:paraId="38FE2898" w14:textId="77777777" w:rsidR="00FF23E3" w:rsidRDefault="00FF23E3" w:rsidP="00FF23E3">
            <w:pPr>
              <w:pStyle w:val="Chartheading"/>
            </w:pPr>
            <w:r>
              <w:rPr>
                <w:noProof/>
                <w:lang w:eastAsia="en-AU"/>
              </w:rPr>
              <w:drawing>
                <wp:inline distT="0" distB="0" distL="0" distR="0" wp14:anchorId="160FB2A3" wp14:editId="7344D8B3">
                  <wp:extent cx="5040000" cy="2520000"/>
                  <wp:effectExtent l="0" t="0" r="8255"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09682A2F" w14:textId="77777777" w:rsidR="00B03089" w:rsidRPr="0043751A" w:rsidRDefault="00B03089" w:rsidP="00B03089">
            <w:r w:rsidRPr="0043751A">
              <w:t>The ‘10%</w:t>
            </w:r>
            <w:r>
              <w:t xml:space="preserve"> increase’ </w:t>
            </w:r>
            <w:r w:rsidRPr="0043751A">
              <w:t>scenario</w:t>
            </w:r>
            <w:r>
              <w:t xml:space="preserve"> results in </w:t>
            </w:r>
            <w:r w:rsidRPr="0043751A">
              <w:t>a roughly 5 per cent fall in the number of full pension recipients by 2060. The ‘offset’ scenario has a larger and earlier impact than the ‘10% increase’, both because the shock is more immediate, and because of the higher rate of female FT employment. ‘Equalisation’ is the biggest shock and has the biggest impact, cutting the number of female full rate recipients by nearly a quarter by 2060.</w:t>
            </w:r>
          </w:p>
          <w:p w14:paraId="7C27142E" w14:textId="77777777" w:rsidR="00A73DEF" w:rsidRDefault="00B03089" w:rsidP="00B03089">
            <w:r w:rsidRPr="0043751A">
              <w:t xml:space="preserve">The situation is more complicated for the part rate pension in </w:t>
            </w:r>
            <w:r>
              <w:t>Chart</w:t>
            </w:r>
            <w:r w:rsidRPr="0043751A">
              <w:t xml:space="preserve"> 3. The ‘10% increase’ scenario show</w:t>
            </w:r>
            <w:r>
              <w:t>s</w:t>
            </w:r>
            <w:r w:rsidRPr="0043751A">
              <w:t xml:space="preserve"> little change in the number of part rate recipients. This is because movements between the part and maximum rate pension can be offset by movements between the part pension and no pension. The ‘equalisation’ and ‘offset’ scenarios, however, increase female incomes and assets by enough to reduce the number of part rate as well as maximum rate pensioners. The percentage reduction, however, is much smaller than </w:t>
            </w:r>
            <w:r>
              <w:t>for maximum rate pensioners</w:t>
            </w:r>
            <w:r w:rsidRPr="0043751A">
              <w:t>.</w:t>
            </w:r>
          </w:p>
          <w:p w14:paraId="023E1104" w14:textId="77777777" w:rsidR="00FF23E3" w:rsidRDefault="00FF23E3" w:rsidP="00FF23E3">
            <w:pPr>
              <w:pStyle w:val="Chartheading"/>
            </w:pPr>
            <w:r>
              <w:t>Chart</w:t>
            </w:r>
            <w:r w:rsidRPr="0043751A">
              <w:t xml:space="preserve"> 3: </w:t>
            </w:r>
            <w:r w:rsidR="00B03089">
              <w:t>Number of f</w:t>
            </w:r>
            <w:r w:rsidR="00B03089" w:rsidRPr="0043751A">
              <w:t>emale part rate pension</w:t>
            </w:r>
            <w:r w:rsidR="00B03089">
              <w:t>ers</w:t>
            </w:r>
          </w:p>
          <w:p w14:paraId="221F73F0" w14:textId="77777777" w:rsidR="00FF23E3" w:rsidRDefault="00FF23E3" w:rsidP="00FF23E3">
            <w:pPr>
              <w:pStyle w:val="Chartheading"/>
            </w:pPr>
            <w:r>
              <w:rPr>
                <w:noProof/>
                <w:lang w:eastAsia="en-AU"/>
              </w:rPr>
              <w:drawing>
                <wp:inline distT="0" distB="0" distL="0" distR="0" wp14:anchorId="333A41CA" wp14:editId="5CFAB879">
                  <wp:extent cx="5040000" cy="2520000"/>
                  <wp:effectExtent l="0" t="0" r="8255" b="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2BAF7B7C" w14:textId="77777777" w:rsidR="00B03089" w:rsidRDefault="00B03089" w:rsidP="00B03089">
            <w:r>
              <w:t>Chart</w:t>
            </w:r>
            <w:r w:rsidRPr="0043751A">
              <w:t xml:space="preserve"> 4 shows </w:t>
            </w:r>
            <w:r w:rsidR="00F85370">
              <w:t>A</w:t>
            </w:r>
            <w:r w:rsidRPr="0043751A">
              <w:t xml:space="preserve">ge </w:t>
            </w:r>
            <w:r w:rsidR="00F85370">
              <w:t>P</w:t>
            </w:r>
            <w:r w:rsidRPr="0043751A">
              <w:t>ension expenditure</w:t>
            </w:r>
            <w:r>
              <w:t xml:space="preserve"> for the Australian population. In the ‘10% increase’ and ‘equalisation’ scenarios, overall expenditure responds in a similar way </w:t>
            </w:r>
            <w:r w:rsidRPr="0043751A">
              <w:t xml:space="preserve">to </w:t>
            </w:r>
            <w:r>
              <w:t>the number of maximum rate pensioners in Chart</w:t>
            </w:r>
            <w:r w:rsidRPr="0043751A">
              <w:t xml:space="preserve"> 2. The </w:t>
            </w:r>
            <w:r>
              <w:t>percentage changes</w:t>
            </w:r>
            <w:r w:rsidRPr="0043751A">
              <w:t xml:space="preserve">, however, are </w:t>
            </w:r>
            <w:r>
              <w:t>smaller</w:t>
            </w:r>
            <w:r w:rsidRPr="0043751A">
              <w:t xml:space="preserve">, because the measure of expenditure includes </w:t>
            </w:r>
            <w:r>
              <w:t>males as well as females, and expenditure on pensions for males is little changed.</w:t>
            </w:r>
            <w:r>
              <w:rPr>
                <w:rStyle w:val="FootnoteReference"/>
              </w:rPr>
              <w:footnoteReference w:id="6"/>
            </w:r>
            <w:r>
              <w:t xml:space="preserve"> </w:t>
            </w:r>
          </w:p>
          <w:p w14:paraId="0620FE7F" w14:textId="77777777" w:rsidR="00A73DEF" w:rsidRDefault="00B03089" w:rsidP="00B03089">
            <w:r>
              <w:t>In the</w:t>
            </w:r>
            <w:r w:rsidRPr="0043751A">
              <w:t xml:space="preserve"> ‘offset’ scenario,</w:t>
            </w:r>
            <w:r>
              <w:t xml:space="preserve"> </w:t>
            </w:r>
            <w:r w:rsidRPr="0043751A">
              <w:t>lower male labour force participation cancels out the benefits of higher female participation</w:t>
            </w:r>
            <w:r>
              <w:t xml:space="preserve"> in terms of pension expenditure.</w:t>
            </w:r>
            <w:r w:rsidRPr="0043751A">
              <w:t xml:space="preserve"> Lower male income</w:t>
            </w:r>
            <w:r>
              <w:t>s</w:t>
            </w:r>
            <w:r w:rsidRPr="0043751A">
              <w:t xml:space="preserve"> and asset accumulation increase</w:t>
            </w:r>
            <w:r>
              <w:t>s</w:t>
            </w:r>
            <w:r w:rsidRPr="0043751A">
              <w:t xml:space="preserve"> the number of male pension recipients by 7 per cent by 2060.</w:t>
            </w:r>
          </w:p>
          <w:p w14:paraId="3ACFF553" w14:textId="77777777" w:rsidR="00FF23E3" w:rsidRDefault="00FF23E3" w:rsidP="00FF23E3">
            <w:pPr>
              <w:pStyle w:val="Chartheading"/>
            </w:pPr>
            <w:r>
              <w:t>Chart</w:t>
            </w:r>
            <w:r w:rsidRPr="0043751A">
              <w:t xml:space="preserve"> 4: Age </w:t>
            </w:r>
            <w:r w:rsidR="00333A52">
              <w:t>P</w:t>
            </w:r>
            <w:r w:rsidRPr="0043751A">
              <w:t xml:space="preserve">ension expenditure, both sexes </w:t>
            </w:r>
          </w:p>
          <w:p w14:paraId="57034AEA" w14:textId="77777777" w:rsidR="00FF23E3" w:rsidRPr="00E413B6" w:rsidRDefault="00FF23E3" w:rsidP="00FF23E3">
            <w:pPr>
              <w:pStyle w:val="Chartheading"/>
            </w:pPr>
            <w:r>
              <w:rPr>
                <w:noProof/>
                <w:lang w:eastAsia="en-AU"/>
              </w:rPr>
              <w:drawing>
                <wp:inline distT="0" distB="0" distL="0" distR="0" wp14:anchorId="4C98DF71" wp14:editId="1FC0CBBE">
                  <wp:extent cx="5040000" cy="2520000"/>
                  <wp:effectExtent l="0" t="0" r="8255" b="0"/>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tc>
      </w:tr>
      <w:tr w:rsidR="00A73DEF" w14:paraId="254FE2B3" w14:textId="77777777" w:rsidTr="003502C1">
        <w:tc>
          <w:tcPr>
            <w:tcW w:w="1930" w:type="dxa"/>
          </w:tcPr>
          <w:p w14:paraId="11038A6B" w14:textId="77777777" w:rsidR="00A73DEF" w:rsidRDefault="00A73DEF" w:rsidP="001F0F83">
            <w:pPr>
              <w:pStyle w:val="Subtitle"/>
            </w:pPr>
          </w:p>
        </w:tc>
        <w:tc>
          <w:tcPr>
            <w:tcW w:w="8166" w:type="dxa"/>
          </w:tcPr>
          <w:p w14:paraId="4FE1D25C" w14:textId="77777777" w:rsidR="00A73DEF" w:rsidRDefault="00A73DEF" w:rsidP="001F0F83">
            <w:pPr>
              <w:pStyle w:val="Heading1"/>
            </w:pPr>
            <w:r w:rsidRPr="0043751A">
              <w:t>Cohort outcomes</w:t>
            </w:r>
          </w:p>
        </w:tc>
      </w:tr>
      <w:tr w:rsidR="00A73DEF" w14:paraId="189412C0" w14:textId="77777777" w:rsidTr="003502C1">
        <w:tc>
          <w:tcPr>
            <w:tcW w:w="1930" w:type="dxa"/>
          </w:tcPr>
          <w:p w14:paraId="04B8A740" w14:textId="77777777" w:rsidR="00A73DEF" w:rsidRDefault="00A73DEF" w:rsidP="00501C8A">
            <w:pPr>
              <w:pStyle w:val="Subtitle"/>
            </w:pPr>
            <w:r>
              <w:t>Results by year of retirement are more volatile due to small samples, but female participation does affect retirement incomes.</w:t>
            </w:r>
          </w:p>
        </w:tc>
        <w:tc>
          <w:tcPr>
            <w:tcW w:w="8166" w:type="dxa"/>
          </w:tcPr>
          <w:p w14:paraId="3AF4FAE5" w14:textId="77777777" w:rsidR="00B03089" w:rsidRPr="0043751A" w:rsidRDefault="00B03089" w:rsidP="00B03089">
            <w:pPr>
              <w:keepNext/>
              <w:keepLines/>
            </w:pPr>
            <w:r w:rsidRPr="0043751A">
              <w:t>MARIA also facilitates analysis of outcomes by year of retirement. While the samples are smaller (usually 1,000-2,000 women retire per year in our 1 in 100 simulation) and the results therefore more volatile, some interesting patterns do emerge.</w:t>
            </w:r>
          </w:p>
          <w:p w14:paraId="634A0951" w14:textId="77777777" w:rsidR="00A73DEF" w:rsidRDefault="00B03089" w:rsidP="00B03089">
            <w:r>
              <w:t>Chart</w:t>
            </w:r>
            <w:r w:rsidRPr="0043751A">
              <w:t xml:space="preserve"> 5 shows mean income for females in the first year of their retirement</w:t>
            </w:r>
            <w:r>
              <w:t>, shown as five-year moving averages beginning in 2025 to smooth the volatility</w:t>
            </w:r>
            <w:r w:rsidRPr="0043751A">
              <w:t xml:space="preserve">. </w:t>
            </w:r>
            <w:r>
              <w:t>B</w:t>
            </w:r>
            <w:r w:rsidRPr="0043751A">
              <w:t xml:space="preserve">y the later years of our sample we see increases in income of around 30 per cent under </w:t>
            </w:r>
            <w:r>
              <w:t xml:space="preserve">the </w:t>
            </w:r>
            <w:r w:rsidRPr="0043751A">
              <w:t>‘equalisation’</w:t>
            </w:r>
            <w:r>
              <w:t xml:space="preserve"> scenario</w:t>
            </w:r>
            <w:r w:rsidRPr="0043751A">
              <w:t xml:space="preserve">, 15 per cent under ‘offset’, and </w:t>
            </w:r>
            <w:r>
              <w:t>5 per cent</w:t>
            </w:r>
            <w:r w:rsidRPr="0043751A">
              <w:t xml:space="preserve"> under ‘10%</w:t>
            </w:r>
            <w:r>
              <w:t xml:space="preserve"> increase</w:t>
            </w:r>
            <w:r w:rsidRPr="0043751A">
              <w:t>’. Interestingly, the cohort results do seem to stabilise in the last decade or so of the simulations, unlike the aggregate results</w:t>
            </w:r>
            <w:r>
              <w:t xml:space="preserve"> in previous charts</w:t>
            </w:r>
            <w:r w:rsidRPr="0043751A">
              <w:t>. Since the aggregate results are an average of the previously retired cohorts who are still alive, this might imply the aggregate results would stabilise in the decades beyond 2060.</w:t>
            </w:r>
          </w:p>
          <w:p w14:paraId="2A54585F" w14:textId="77777777" w:rsidR="00E31E50" w:rsidRDefault="00E31E50" w:rsidP="00E31E50">
            <w:pPr>
              <w:pStyle w:val="Chartheading"/>
              <w:keepNext/>
            </w:pPr>
            <w:r>
              <w:lastRenderedPageBreak/>
              <w:t>Chart</w:t>
            </w:r>
            <w:r w:rsidRPr="0043751A">
              <w:t xml:space="preserve"> 5: Female mean income</w:t>
            </w:r>
            <w:r>
              <w:t xml:space="preserve"> at </w:t>
            </w:r>
            <w:r w:rsidRPr="0043751A">
              <w:t>retirement</w:t>
            </w:r>
            <w:r>
              <w:t xml:space="preserve"> (5-year moving average)</w:t>
            </w:r>
          </w:p>
          <w:p w14:paraId="00CEF63A" w14:textId="6BE2B934" w:rsidR="00E31E50" w:rsidRDefault="003502C1" w:rsidP="00E31E50">
            <w:pPr>
              <w:pStyle w:val="Chartheading"/>
              <w:keepNext/>
            </w:pPr>
            <w:r>
              <w:rPr>
                <w:noProof/>
                <w:lang w:eastAsia="en-AU"/>
              </w:rPr>
              <w:drawing>
                <wp:inline distT="0" distB="0" distL="0" distR="0" wp14:anchorId="73E7DFF2" wp14:editId="404D50EA">
                  <wp:extent cx="5040000" cy="2520000"/>
                  <wp:effectExtent l="0" t="0" r="8255"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1EC8CE03" w14:textId="77777777" w:rsidR="00FF23E3" w:rsidRDefault="00FF23E3"/>
        </w:tc>
      </w:tr>
    </w:tbl>
    <w:p w14:paraId="039FFD93" w14:textId="77777777" w:rsidR="00F70A9F" w:rsidRDefault="00F70A9F" w:rsidP="00F70A9F"/>
    <w:sectPr w:rsidR="00F70A9F" w:rsidSect="00F70A9F">
      <w:headerReference w:type="even" r:id="rId19"/>
      <w:headerReference w:type="default" r:id="rId20"/>
      <w:footerReference w:type="default" r:id="rId21"/>
      <w:headerReference w:type="first" r:id="rId22"/>
      <w:pgSz w:w="11906" w:h="16838"/>
      <w:pgMar w:top="1134" w:right="851" w:bottom="1134" w:left="85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A00F54" w14:textId="77777777" w:rsidR="0043751A" w:rsidRDefault="0043751A" w:rsidP="00F70A9F">
      <w:pPr>
        <w:spacing w:after="0"/>
      </w:pPr>
      <w:r>
        <w:separator/>
      </w:r>
    </w:p>
  </w:endnote>
  <w:endnote w:type="continuationSeparator" w:id="0">
    <w:p w14:paraId="765FB629" w14:textId="77777777" w:rsidR="0043751A" w:rsidRDefault="0043751A" w:rsidP="00F70A9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ckwell">
    <w:panose1 w:val="02060603020205020403"/>
    <w:charset w:val="00"/>
    <w:family w:val="roman"/>
    <w:pitch w:val="variable"/>
    <w:sig w:usb0="00000007" w:usb1="00000000" w:usb2="00000000" w:usb3="00000000" w:csb0="00000003"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138C68" w14:textId="77777777" w:rsidR="00750F56" w:rsidRDefault="00750F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633E8F" w14:textId="77777777" w:rsidR="00750F56" w:rsidRDefault="00750F5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B7AFD7" w14:textId="77777777" w:rsidR="00750F56" w:rsidRDefault="00750F5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004A80" w:themeColor="background2"/>
      </w:rPr>
      <w:id w:val="634907805"/>
      <w:docPartObj>
        <w:docPartGallery w:val="Page Numbers (Bottom of Page)"/>
        <w:docPartUnique/>
      </w:docPartObj>
    </w:sdtPr>
    <w:sdtEndPr>
      <w:rPr>
        <w:noProof/>
      </w:rPr>
    </w:sdtEndPr>
    <w:sdtContent>
      <w:p w14:paraId="0C82A34D" w14:textId="2156CFED" w:rsidR="00F70A9F" w:rsidRPr="0005790B" w:rsidRDefault="00F70A9F">
        <w:pPr>
          <w:pStyle w:val="Footer"/>
          <w:jc w:val="right"/>
          <w:rPr>
            <w:color w:val="004A80" w:themeColor="background2"/>
          </w:rPr>
        </w:pPr>
        <w:r w:rsidRPr="0005790B">
          <w:rPr>
            <w:color w:val="004A80" w:themeColor="background2"/>
          </w:rPr>
          <w:fldChar w:fldCharType="begin"/>
        </w:r>
        <w:r w:rsidRPr="0005790B">
          <w:rPr>
            <w:color w:val="004A80" w:themeColor="background2"/>
          </w:rPr>
          <w:instrText xml:space="preserve"> PAGE   \* MERGEFORMAT </w:instrText>
        </w:r>
        <w:r w:rsidRPr="0005790B">
          <w:rPr>
            <w:color w:val="004A80" w:themeColor="background2"/>
          </w:rPr>
          <w:fldChar w:fldCharType="separate"/>
        </w:r>
        <w:r w:rsidR="00AA1D15">
          <w:rPr>
            <w:noProof/>
            <w:color w:val="004A80" w:themeColor="background2"/>
          </w:rPr>
          <w:t>4</w:t>
        </w:r>
        <w:r w:rsidRPr="0005790B">
          <w:rPr>
            <w:noProof/>
            <w:color w:val="004A80" w:themeColor="background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32C693" w14:textId="77777777" w:rsidR="0043751A" w:rsidRDefault="0043751A" w:rsidP="00F70A9F">
      <w:pPr>
        <w:spacing w:after="0"/>
      </w:pPr>
      <w:r>
        <w:separator/>
      </w:r>
    </w:p>
  </w:footnote>
  <w:footnote w:type="continuationSeparator" w:id="0">
    <w:p w14:paraId="5780C031" w14:textId="77777777" w:rsidR="0043751A" w:rsidRDefault="0043751A" w:rsidP="00F70A9F">
      <w:pPr>
        <w:spacing w:after="0"/>
      </w:pPr>
      <w:r>
        <w:continuationSeparator/>
      </w:r>
    </w:p>
  </w:footnote>
  <w:footnote w:id="1">
    <w:p w14:paraId="083BEE22" w14:textId="5D55B8C8" w:rsidR="00FF42E0" w:rsidRDefault="00FF42E0" w:rsidP="00FF42E0">
      <w:pPr>
        <w:pStyle w:val="Footnote"/>
      </w:pPr>
      <w:r>
        <w:rPr>
          <w:rStyle w:val="FootnoteReference"/>
        </w:rPr>
        <w:footnoteRef/>
      </w:r>
      <w:r>
        <w:t xml:space="preserve"> </w:t>
      </w:r>
      <w:r w:rsidR="00FB1842">
        <w:tab/>
      </w:r>
      <w:r w:rsidR="00214EC0" w:rsidRPr="00FF42E0">
        <w:t>The views expressed in this note are those of The Treasury and do not necessarily reflect those of the Australian Government.</w:t>
      </w:r>
      <w:r w:rsidR="00214EC0">
        <w:t xml:space="preserve"> This note was prepared by Declan Trott, Wei Ying Soh, Martin Stevenson</w:t>
      </w:r>
      <w:r w:rsidR="00804B4E">
        <w:t xml:space="preserve"> and Rita Scholl</w:t>
      </w:r>
      <w:r w:rsidR="00214EC0">
        <w:t xml:space="preserve"> in Revenue Group.</w:t>
      </w:r>
    </w:p>
  </w:footnote>
  <w:footnote w:id="2">
    <w:p w14:paraId="7E2B3AC8" w14:textId="77777777" w:rsidR="00D856D3" w:rsidRDefault="00D856D3" w:rsidP="00D856D3">
      <w:pPr>
        <w:pStyle w:val="Footnote"/>
      </w:pPr>
      <w:r>
        <w:rPr>
          <w:rStyle w:val="FootnoteReference"/>
        </w:rPr>
        <w:footnoteRef/>
      </w:r>
      <w:r>
        <w:tab/>
      </w:r>
      <w:r w:rsidRPr="00D856D3">
        <w:t xml:space="preserve">Commonwealth of Australia (2015), </w:t>
      </w:r>
      <w:r w:rsidRPr="00D856D3">
        <w:rPr>
          <w:i/>
        </w:rPr>
        <w:t>2015 Intergenerational Report: Australia in 2055</w:t>
      </w:r>
      <w:r w:rsidR="005710D2">
        <w:t xml:space="preserve">, </w:t>
      </w:r>
      <w:r w:rsidR="005710D2" w:rsidRPr="005710D2">
        <w:t>Commonwealth of Australia, Canberra</w:t>
      </w:r>
      <w:r w:rsidRPr="00D856D3">
        <w:t>.</w:t>
      </w:r>
    </w:p>
  </w:footnote>
  <w:footnote w:id="3">
    <w:p w14:paraId="5B7AFFD8" w14:textId="77777777" w:rsidR="00002ACE" w:rsidRDefault="00002ACE" w:rsidP="00D856D3">
      <w:pPr>
        <w:pStyle w:val="Footnote"/>
      </w:pPr>
      <w:r>
        <w:rPr>
          <w:rStyle w:val="FootnoteReference"/>
        </w:rPr>
        <w:footnoteRef/>
      </w:r>
      <w:r>
        <w:t xml:space="preserve"> </w:t>
      </w:r>
      <w:r w:rsidR="005710D2">
        <w:t xml:space="preserve"> </w:t>
      </w:r>
      <w:r w:rsidR="005710D2">
        <w:tab/>
      </w:r>
      <w:r>
        <w:t xml:space="preserve">For more information on data sources and other aspects of MARIA, see </w:t>
      </w:r>
      <w:hyperlink r:id="rId1" w:history="1">
        <w:r w:rsidRPr="000C3190">
          <w:rPr>
            <w:rStyle w:val="Hyperlink"/>
          </w:rPr>
          <w:t>http://research.treasury.gov.au/treasury-working-paper/2017-02/</w:t>
        </w:r>
      </w:hyperlink>
      <w:r>
        <w:t>. All dates are financial years ending in the year stated, e.g. 2015 represents 2014-15.</w:t>
      </w:r>
    </w:p>
  </w:footnote>
  <w:footnote w:id="4">
    <w:p w14:paraId="18B5DE9B" w14:textId="77777777" w:rsidR="00214EC0" w:rsidRDefault="00214EC0" w:rsidP="005710D2">
      <w:pPr>
        <w:pStyle w:val="Footnote"/>
      </w:pPr>
      <w:r>
        <w:rPr>
          <w:rStyle w:val="FootnoteReference"/>
        </w:rPr>
        <w:footnoteRef/>
      </w:r>
      <w:r>
        <w:t xml:space="preserve"> </w:t>
      </w:r>
      <w:r w:rsidR="005710D2">
        <w:tab/>
      </w:r>
      <w:r w:rsidRPr="000C3190">
        <w:t>This would represent a substantial acceleration in recent trends. Over the decade 2008 to 2018, the female labour force participation rate increased by around 4 per cent for the commonly cited age groups (15+, 15-64, and 20-74)</w:t>
      </w:r>
      <w:r>
        <w:t>. This</w:t>
      </w:r>
      <w:r w:rsidRPr="000C3190">
        <w:t xml:space="preserve"> </w:t>
      </w:r>
      <w:r>
        <w:t xml:space="preserve">increase </w:t>
      </w:r>
      <w:r w:rsidRPr="000C3190">
        <w:t>was</w:t>
      </w:r>
      <w:r>
        <w:t>, however,</w:t>
      </w:r>
      <w:r w:rsidRPr="000C3190">
        <w:t xml:space="preserve"> moderated by population ageing, which is already accounted for in our baseline.</w:t>
      </w:r>
    </w:p>
  </w:footnote>
  <w:footnote w:id="5">
    <w:p w14:paraId="1429B1AF" w14:textId="77777777" w:rsidR="00214EC0" w:rsidRDefault="00214EC0" w:rsidP="005710D2">
      <w:pPr>
        <w:pStyle w:val="Footnote"/>
      </w:pPr>
      <w:r>
        <w:rPr>
          <w:rStyle w:val="FootnoteReference"/>
        </w:rPr>
        <w:footnoteRef/>
      </w:r>
      <w:r>
        <w:t xml:space="preserve"> </w:t>
      </w:r>
      <w:r w:rsidR="005710D2">
        <w:tab/>
      </w:r>
      <w:r w:rsidRPr="00F3287F">
        <w:t>Since a level shock to labour supply is usually assumed not to affect the level of average wages in the long run, this should not be too great a problem for our results, although they do not include any transitional short-run wage effects.</w:t>
      </w:r>
    </w:p>
  </w:footnote>
  <w:footnote w:id="6">
    <w:p w14:paraId="1E924418" w14:textId="77777777" w:rsidR="00B03089" w:rsidRDefault="00B03089" w:rsidP="005710D2">
      <w:pPr>
        <w:pStyle w:val="Footnote"/>
      </w:pPr>
      <w:r>
        <w:rPr>
          <w:rStyle w:val="FootnoteReference"/>
        </w:rPr>
        <w:footnoteRef/>
      </w:r>
      <w:r>
        <w:t xml:space="preserve"> </w:t>
      </w:r>
      <w:r w:rsidR="005710D2">
        <w:tab/>
      </w:r>
      <w:r>
        <w:t>T</w:t>
      </w:r>
      <w:r w:rsidRPr="00995BF4">
        <w:t>here is a small effect from means testing at the couple level</w:t>
      </w:r>
      <w:r>
        <w:t xml:space="preserve"> – higher female incomes and assets reduce their male partners’ pensions.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953FFD" w14:textId="77777777" w:rsidR="00750F56" w:rsidRDefault="00750F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CD634A" w14:textId="139E6C1B" w:rsidR="00F70A9F" w:rsidRDefault="00215558">
    <w:pPr>
      <w:pStyle w:val="Header"/>
    </w:pPr>
    <w:r>
      <w:rPr>
        <w:noProof/>
        <w:lang w:eastAsia="en-AU"/>
      </w:rPr>
      <w:drawing>
        <wp:anchor distT="0" distB="0" distL="114300" distR="114300" simplePos="0" relativeHeight="251657216" behindDoc="1" locked="0" layoutInCell="1" allowOverlap="1" wp14:anchorId="3C413AB7" wp14:editId="6BCBE5A6">
          <wp:simplePos x="543464" y="448574"/>
          <wp:positionH relativeFrom="page">
            <wp:align>center</wp:align>
          </wp:positionH>
          <wp:positionV relativeFrom="page">
            <wp:posOffset>180340</wp:posOffset>
          </wp:positionV>
          <wp:extent cx="7199280" cy="999720"/>
          <wp:effectExtent l="0" t="0" r="1905"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mplate header_15mm margi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199280" cy="99972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0EA4BF" w14:textId="77777777" w:rsidR="00750F56" w:rsidRDefault="00750F5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8D7E2B" w14:textId="77777777" w:rsidR="00D81A09" w:rsidRDefault="00D81A0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B343F8" w14:textId="28265FF8" w:rsidR="00F70A9F" w:rsidRPr="0005790B" w:rsidRDefault="005826CC">
    <w:pPr>
      <w:pStyle w:val="Header"/>
      <w:rPr>
        <w:color w:val="004A80" w:themeColor="background2"/>
      </w:rPr>
    </w:pPr>
    <w:r w:rsidRPr="0005790B">
      <w:rPr>
        <w:color w:val="004A80" w:themeColor="background2"/>
      </w:rPr>
      <w:t xml:space="preserve">INFORMATION NOTE </w:t>
    </w:r>
    <w:r w:rsidRPr="0005790B">
      <w:rPr>
        <w:color w:val="004A80" w:themeColor="background2"/>
      </w:rPr>
      <w:fldChar w:fldCharType="begin"/>
    </w:r>
    <w:r w:rsidRPr="0005790B">
      <w:rPr>
        <w:color w:val="004A80" w:themeColor="background2"/>
      </w:rPr>
      <w:instrText xml:space="preserve"> STYLEREF  "Cover title"  \* MERGEFORMAT </w:instrText>
    </w:r>
    <w:r w:rsidRPr="0005790B">
      <w:rPr>
        <w:color w:val="004A80" w:themeColor="background2"/>
      </w:rPr>
      <w:fldChar w:fldCharType="separate"/>
    </w:r>
    <w:r w:rsidR="00AA1D15" w:rsidRPr="00AA1D15">
      <w:rPr>
        <w:b/>
        <w:bCs/>
        <w:noProof/>
        <w:color w:val="004A80" w:themeColor="background2"/>
        <w:lang w:val="en-US"/>
      </w:rPr>
      <w:t>FEMALE LABOUR FORCE PARTICIPATION AND RETIREMENT OUTCOMES IN MARIA</w:t>
    </w:r>
    <w:r w:rsidRPr="0005790B">
      <w:rPr>
        <w:color w:val="004A80" w:themeColor="background2"/>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245ADB" w14:textId="77777777" w:rsidR="00D81A09" w:rsidRDefault="00D81A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C44858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63CC80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83C19B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7CAC86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E446E77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50B15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078AB4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220987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798F58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EB4085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4D1E43E8"/>
    <w:multiLevelType w:val="multilevel"/>
    <w:tmpl w:val="343406EC"/>
    <w:name w:val="StandardBulletedList"/>
    <w:lvl w:ilvl="0">
      <w:start w:val="1"/>
      <w:numFmt w:val="bullet"/>
      <w:pStyle w:val="Bullet"/>
      <w:lvlText w:val="•"/>
      <w:lvlJc w:val="left"/>
      <w:pPr>
        <w:tabs>
          <w:tab w:val="num" w:pos="472"/>
        </w:tabs>
        <w:ind w:left="472" w:hanging="472"/>
      </w:pPr>
      <w:rPr>
        <w:rFonts w:ascii="Times New Roman" w:hAnsi="Times New Roman" w:cs="Times New Roman"/>
      </w:rPr>
    </w:lvl>
    <w:lvl w:ilvl="1">
      <w:start w:val="1"/>
      <w:numFmt w:val="bullet"/>
      <w:pStyle w:val="Dash"/>
      <w:lvlText w:val="–"/>
      <w:lvlJc w:val="left"/>
      <w:pPr>
        <w:tabs>
          <w:tab w:val="num" w:pos="944"/>
        </w:tabs>
        <w:ind w:left="944" w:hanging="472"/>
      </w:pPr>
      <w:rPr>
        <w:rFonts w:ascii="Times New Roman" w:hAnsi="Times New Roman" w:cs="Times New Roman"/>
      </w:rPr>
    </w:lvl>
    <w:lvl w:ilvl="2">
      <w:start w:val="1"/>
      <w:numFmt w:val="bullet"/>
      <w:pStyle w:val="DoubleDot"/>
      <w:lvlText w:val=":"/>
      <w:lvlJc w:val="left"/>
      <w:pPr>
        <w:tabs>
          <w:tab w:val="num" w:pos="1416"/>
        </w:tabs>
        <w:ind w:left="1416" w:hanging="472"/>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556E2248"/>
    <w:multiLevelType w:val="multilevel"/>
    <w:tmpl w:val="A614D1CC"/>
    <w:name w:val="StandardNumberedList"/>
    <w:lvl w:ilvl="0">
      <w:start w:val="1"/>
      <w:numFmt w:val="decimal"/>
      <w:pStyle w:val="OutlineNumbered1"/>
      <w:lvlText w:val="%1."/>
      <w:lvlJc w:val="left"/>
      <w:pPr>
        <w:tabs>
          <w:tab w:val="num" w:pos="472"/>
        </w:tabs>
        <w:ind w:left="472" w:hanging="472"/>
      </w:pPr>
    </w:lvl>
    <w:lvl w:ilvl="1">
      <w:start w:val="1"/>
      <w:numFmt w:val="decimal"/>
      <w:pStyle w:val="OutlineNumbered2"/>
      <w:lvlText w:val="%1.%2."/>
      <w:lvlJc w:val="left"/>
      <w:pPr>
        <w:tabs>
          <w:tab w:val="num" w:pos="944"/>
        </w:tabs>
        <w:ind w:left="944" w:hanging="472"/>
      </w:pPr>
    </w:lvl>
    <w:lvl w:ilvl="2">
      <w:start w:val="1"/>
      <w:numFmt w:val="decimal"/>
      <w:pStyle w:val="OutlineNumbered3"/>
      <w:lvlText w:val="%1.%2.%3."/>
      <w:lvlJc w:val="left"/>
      <w:pPr>
        <w:tabs>
          <w:tab w:val="num" w:pos="1416"/>
        </w:tabs>
        <w:ind w:left="1416" w:hanging="472"/>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0"/>
  </w:num>
  <w:num w:numId="2">
    <w:abstractNumId w:val="11"/>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751A"/>
    <w:rsid w:val="00002ACE"/>
    <w:rsid w:val="0001165B"/>
    <w:rsid w:val="0001725E"/>
    <w:rsid w:val="000419A2"/>
    <w:rsid w:val="000421F9"/>
    <w:rsid w:val="0005790B"/>
    <w:rsid w:val="00084DB5"/>
    <w:rsid w:val="000C3190"/>
    <w:rsid w:val="00101972"/>
    <w:rsid w:val="00105A61"/>
    <w:rsid w:val="001329A8"/>
    <w:rsid w:val="001E433A"/>
    <w:rsid w:val="001F0F83"/>
    <w:rsid w:val="00213CEC"/>
    <w:rsid w:val="00214EC0"/>
    <w:rsid w:val="00215558"/>
    <w:rsid w:val="00257DD5"/>
    <w:rsid w:val="00312F3E"/>
    <w:rsid w:val="00323706"/>
    <w:rsid w:val="00333A52"/>
    <w:rsid w:val="00347FC0"/>
    <w:rsid w:val="003502C1"/>
    <w:rsid w:val="003677A7"/>
    <w:rsid w:val="00386F15"/>
    <w:rsid w:val="003F4DDD"/>
    <w:rsid w:val="0043751A"/>
    <w:rsid w:val="00465FC1"/>
    <w:rsid w:val="004D0D17"/>
    <w:rsid w:val="00501C8A"/>
    <w:rsid w:val="00533E55"/>
    <w:rsid w:val="00552D1B"/>
    <w:rsid w:val="005702C0"/>
    <w:rsid w:val="005710D2"/>
    <w:rsid w:val="0057516A"/>
    <w:rsid w:val="0057530B"/>
    <w:rsid w:val="005826CC"/>
    <w:rsid w:val="00594CE2"/>
    <w:rsid w:val="005A0EDD"/>
    <w:rsid w:val="00651052"/>
    <w:rsid w:val="0067285F"/>
    <w:rsid w:val="006907A2"/>
    <w:rsid w:val="0069181E"/>
    <w:rsid w:val="006A0549"/>
    <w:rsid w:val="006A514A"/>
    <w:rsid w:val="006C1B2C"/>
    <w:rsid w:val="006C6FC3"/>
    <w:rsid w:val="00730444"/>
    <w:rsid w:val="007371D2"/>
    <w:rsid w:val="007452A8"/>
    <w:rsid w:val="00750F56"/>
    <w:rsid w:val="00762BF0"/>
    <w:rsid w:val="00763E10"/>
    <w:rsid w:val="00781DBF"/>
    <w:rsid w:val="00784CA1"/>
    <w:rsid w:val="007860EC"/>
    <w:rsid w:val="007E7EB1"/>
    <w:rsid w:val="007F0958"/>
    <w:rsid w:val="00804B4E"/>
    <w:rsid w:val="00810AF3"/>
    <w:rsid w:val="0081244A"/>
    <w:rsid w:val="00873C5E"/>
    <w:rsid w:val="00883531"/>
    <w:rsid w:val="00887D2E"/>
    <w:rsid w:val="008E73F9"/>
    <w:rsid w:val="0096430D"/>
    <w:rsid w:val="009B50DD"/>
    <w:rsid w:val="009D38FC"/>
    <w:rsid w:val="00A030FB"/>
    <w:rsid w:val="00A063DE"/>
    <w:rsid w:val="00A14E45"/>
    <w:rsid w:val="00A4606A"/>
    <w:rsid w:val="00A73DEF"/>
    <w:rsid w:val="00AA1D15"/>
    <w:rsid w:val="00B03089"/>
    <w:rsid w:val="00B070EB"/>
    <w:rsid w:val="00B16CED"/>
    <w:rsid w:val="00B4735C"/>
    <w:rsid w:val="00BD6AFF"/>
    <w:rsid w:val="00BF3230"/>
    <w:rsid w:val="00C02562"/>
    <w:rsid w:val="00C10294"/>
    <w:rsid w:val="00C534B8"/>
    <w:rsid w:val="00C82A26"/>
    <w:rsid w:val="00CA4E87"/>
    <w:rsid w:val="00CD15F2"/>
    <w:rsid w:val="00CE070C"/>
    <w:rsid w:val="00CE7717"/>
    <w:rsid w:val="00D2150F"/>
    <w:rsid w:val="00D40BFA"/>
    <w:rsid w:val="00D70718"/>
    <w:rsid w:val="00D81A09"/>
    <w:rsid w:val="00D856D3"/>
    <w:rsid w:val="00DE5320"/>
    <w:rsid w:val="00E22366"/>
    <w:rsid w:val="00E31E50"/>
    <w:rsid w:val="00E34363"/>
    <w:rsid w:val="00E413B6"/>
    <w:rsid w:val="00E766D6"/>
    <w:rsid w:val="00E8660C"/>
    <w:rsid w:val="00E930AC"/>
    <w:rsid w:val="00EE0761"/>
    <w:rsid w:val="00EE7FF1"/>
    <w:rsid w:val="00EF6E5D"/>
    <w:rsid w:val="00F03908"/>
    <w:rsid w:val="00F3287F"/>
    <w:rsid w:val="00F44D49"/>
    <w:rsid w:val="00F70A9F"/>
    <w:rsid w:val="00F85370"/>
    <w:rsid w:val="00FB1842"/>
    <w:rsid w:val="00FD03B9"/>
    <w:rsid w:val="00FF23E3"/>
    <w:rsid w:val="00FF42E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171F7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HAnsi" w:hAnsi="Calibri" w:cs="Times New Roman"/>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0A9F"/>
    <w:pPr>
      <w:spacing w:after="120"/>
    </w:pPr>
  </w:style>
  <w:style w:type="paragraph" w:styleId="Heading1">
    <w:name w:val="heading 1"/>
    <w:basedOn w:val="Normal"/>
    <w:next w:val="Normal"/>
    <w:link w:val="Heading1Char"/>
    <w:uiPriority w:val="9"/>
    <w:qFormat/>
    <w:rsid w:val="0005790B"/>
    <w:pPr>
      <w:keepNext/>
      <w:keepLines/>
      <w:spacing w:before="120" w:after="0"/>
      <w:outlineLvl w:val="0"/>
    </w:pPr>
    <w:rPr>
      <w:rFonts w:ascii="Rockwell" w:eastAsiaTheme="majorEastAsia" w:hAnsi="Rockwell" w:cstheme="majorBidi"/>
      <w:bCs/>
      <w:color w:val="0074BD" w:themeColor="accent1"/>
      <w:sz w:val="28"/>
      <w:szCs w:val="28"/>
    </w:rPr>
  </w:style>
  <w:style w:type="paragraph" w:styleId="Heading2">
    <w:name w:val="heading 2"/>
    <w:basedOn w:val="Normal"/>
    <w:next w:val="Normal"/>
    <w:link w:val="Heading2Char"/>
    <w:uiPriority w:val="9"/>
    <w:unhideWhenUsed/>
    <w:qFormat/>
    <w:rsid w:val="00F70A9F"/>
    <w:pPr>
      <w:keepNext/>
      <w:keepLines/>
      <w:spacing w:before="200" w:after="0"/>
      <w:outlineLvl w:val="1"/>
    </w:pPr>
    <w:rPr>
      <w:rFonts w:asciiTheme="majorHAnsi" w:eastAsiaTheme="majorEastAsia" w:hAnsiTheme="majorHAnsi" w:cstheme="majorBidi"/>
      <w:b/>
      <w:bCs/>
      <w:color w:val="0074BD" w:themeColor="accent1"/>
      <w:sz w:val="26"/>
      <w:szCs w:val="26"/>
    </w:rPr>
  </w:style>
  <w:style w:type="paragraph" w:styleId="Heading3">
    <w:name w:val="heading 3"/>
    <w:basedOn w:val="Normal"/>
    <w:next w:val="Normal"/>
    <w:link w:val="Heading3Char"/>
    <w:uiPriority w:val="9"/>
    <w:unhideWhenUsed/>
    <w:qFormat/>
    <w:rsid w:val="0005790B"/>
    <w:pPr>
      <w:keepNext/>
      <w:keepLines/>
      <w:spacing w:before="200" w:after="0"/>
      <w:outlineLvl w:val="2"/>
    </w:pPr>
    <w:rPr>
      <w:rFonts w:asciiTheme="majorHAnsi" w:eastAsiaTheme="majorEastAsia" w:hAnsiTheme="majorHAnsi" w:cstheme="majorBidi"/>
      <w:b/>
      <w:bCs/>
      <w:color w:val="0074BD" w:themeColor="accent1"/>
    </w:rPr>
  </w:style>
  <w:style w:type="paragraph" w:styleId="Heading4">
    <w:name w:val="heading 4"/>
    <w:basedOn w:val="Normal"/>
    <w:next w:val="Normal"/>
    <w:link w:val="Heading4Char"/>
    <w:uiPriority w:val="9"/>
    <w:semiHidden/>
    <w:unhideWhenUsed/>
    <w:qFormat/>
    <w:rsid w:val="00AA1D15"/>
    <w:pPr>
      <w:keepNext/>
      <w:keepLines/>
      <w:spacing w:before="40" w:after="0"/>
      <w:outlineLvl w:val="3"/>
    </w:pPr>
    <w:rPr>
      <w:rFonts w:asciiTheme="majorHAnsi" w:eastAsiaTheme="majorEastAsia" w:hAnsiTheme="majorHAnsi" w:cstheme="majorBidi"/>
      <w:i/>
      <w:iCs/>
      <w:color w:val="00568D" w:themeColor="accent1" w:themeShade="BF"/>
    </w:rPr>
  </w:style>
  <w:style w:type="paragraph" w:styleId="Heading5">
    <w:name w:val="heading 5"/>
    <w:basedOn w:val="Normal"/>
    <w:next w:val="Normal"/>
    <w:link w:val="Heading5Char"/>
    <w:uiPriority w:val="9"/>
    <w:semiHidden/>
    <w:unhideWhenUsed/>
    <w:qFormat/>
    <w:rsid w:val="00AA1D15"/>
    <w:pPr>
      <w:keepNext/>
      <w:keepLines/>
      <w:spacing w:before="40" w:after="0"/>
      <w:outlineLvl w:val="4"/>
    </w:pPr>
    <w:rPr>
      <w:rFonts w:asciiTheme="majorHAnsi" w:eastAsiaTheme="majorEastAsia" w:hAnsiTheme="majorHAnsi" w:cstheme="majorBidi"/>
      <w:color w:val="00568D" w:themeColor="accent1" w:themeShade="BF"/>
    </w:rPr>
  </w:style>
  <w:style w:type="paragraph" w:styleId="Heading6">
    <w:name w:val="heading 6"/>
    <w:basedOn w:val="Normal"/>
    <w:next w:val="Normal"/>
    <w:link w:val="Heading6Char"/>
    <w:uiPriority w:val="9"/>
    <w:semiHidden/>
    <w:unhideWhenUsed/>
    <w:qFormat/>
    <w:rsid w:val="00AA1D15"/>
    <w:pPr>
      <w:keepNext/>
      <w:keepLines/>
      <w:spacing w:before="40" w:after="0"/>
      <w:outlineLvl w:val="5"/>
    </w:pPr>
    <w:rPr>
      <w:rFonts w:asciiTheme="majorHAnsi" w:eastAsiaTheme="majorEastAsia" w:hAnsiTheme="majorHAnsi" w:cstheme="majorBidi"/>
      <w:color w:val="00395E" w:themeColor="accent1" w:themeShade="7F"/>
    </w:rPr>
  </w:style>
  <w:style w:type="paragraph" w:styleId="Heading7">
    <w:name w:val="heading 7"/>
    <w:basedOn w:val="Normal"/>
    <w:next w:val="Normal"/>
    <w:link w:val="Heading7Char"/>
    <w:uiPriority w:val="9"/>
    <w:semiHidden/>
    <w:unhideWhenUsed/>
    <w:qFormat/>
    <w:rsid w:val="00AA1D15"/>
    <w:pPr>
      <w:keepNext/>
      <w:keepLines/>
      <w:spacing w:before="40" w:after="0"/>
      <w:outlineLvl w:val="6"/>
    </w:pPr>
    <w:rPr>
      <w:rFonts w:asciiTheme="majorHAnsi" w:eastAsiaTheme="majorEastAsia" w:hAnsiTheme="majorHAnsi" w:cstheme="majorBidi"/>
      <w:i/>
      <w:iCs/>
      <w:color w:val="00395E" w:themeColor="accent1" w:themeShade="7F"/>
    </w:rPr>
  </w:style>
  <w:style w:type="paragraph" w:styleId="Heading8">
    <w:name w:val="heading 8"/>
    <w:basedOn w:val="Normal"/>
    <w:next w:val="Normal"/>
    <w:link w:val="Heading8Char"/>
    <w:uiPriority w:val="9"/>
    <w:semiHidden/>
    <w:unhideWhenUsed/>
    <w:qFormat/>
    <w:rsid w:val="00AA1D15"/>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A1D15"/>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70A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le">
    <w:name w:val="Sub title"/>
    <w:basedOn w:val="Normal"/>
    <w:qFormat/>
    <w:rsid w:val="0005790B"/>
    <w:pPr>
      <w:jc w:val="right"/>
    </w:pPr>
    <w:rPr>
      <w:color w:val="F06252" w:themeColor="accent6"/>
      <w:sz w:val="22"/>
    </w:rPr>
  </w:style>
  <w:style w:type="character" w:customStyle="1" w:styleId="Heading2Char">
    <w:name w:val="Heading 2 Char"/>
    <w:basedOn w:val="DefaultParagraphFont"/>
    <w:link w:val="Heading2"/>
    <w:uiPriority w:val="9"/>
    <w:rsid w:val="00F70A9F"/>
    <w:rPr>
      <w:rFonts w:asciiTheme="majorHAnsi" w:eastAsiaTheme="majorEastAsia" w:hAnsiTheme="majorHAnsi" w:cstheme="majorBidi"/>
      <w:b/>
      <w:bCs/>
      <w:color w:val="0074BD" w:themeColor="accent1"/>
      <w:sz w:val="26"/>
      <w:szCs w:val="26"/>
    </w:rPr>
  </w:style>
  <w:style w:type="character" w:customStyle="1" w:styleId="Heading1Char">
    <w:name w:val="Heading 1 Char"/>
    <w:basedOn w:val="DefaultParagraphFont"/>
    <w:link w:val="Heading1"/>
    <w:uiPriority w:val="9"/>
    <w:rsid w:val="0005790B"/>
    <w:rPr>
      <w:rFonts w:ascii="Rockwell" w:eastAsiaTheme="majorEastAsia" w:hAnsi="Rockwell" w:cstheme="majorBidi"/>
      <w:bCs/>
      <w:color w:val="0074BD" w:themeColor="accent1"/>
      <w:sz w:val="28"/>
      <w:szCs w:val="28"/>
    </w:rPr>
  </w:style>
  <w:style w:type="paragraph" w:customStyle="1" w:styleId="CoverInfoNote">
    <w:name w:val="Cover Info Note"/>
    <w:basedOn w:val="Normal"/>
    <w:qFormat/>
    <w:rsid w:val="0005790B"/>
    <w:pPr>
      <w:spacing w:after="0"/>
    </w:pPr>
    <w:rPr>
      <w:rFonts w:ascii="Rockwell" w:hAnsi="Rockwell"/>
      <w:b/>
      <w:color w:val="F06252" w:themeColor="accent6"/>
    </w:rPr>
  </w:style>
  <w:style w:type="paragraph" w:customStyle="1" w:styleId="Introtext">
    <w:name w:val="Intro text"/>
    <w:basedOn w:val="Normal"/>
    <w:qFormat/>
    <w:rsid w:val="00F70A9F"/>
    <w:pPr>
      <w:spacing w:line="320" w:lineRule="exact"/>
    </w:pPr>
    <w:rPr>
      <w:rFonts w:ascii="Calibri Light" w:hAnsi="Calibri Light"/>
      <w:color w:val="16325C" w:themeColor="text2"/>
      <w:sz w:val="22"/>
    </w:rPr>
  </w:style>
  <w:style w:type="paragraph" w:styleId="Header">
    <w:name w:val="header"/>
    <w:basedOn w:val="Normal"/>
    <w:link w:val="HeaderChar"/>
    <w:uiPriority w:val="99"/>
    <w:unhideWhenUsed/>
    <w:rsid w:val="0005790B"/>
    <w:pPr>
      <w:tabs>
        <w:tab w:val="center" w:pos="4513"/>
        <w:tab w:val="right" w:pos="9026"/>
      </w:tabs>
      <w:spacing w:after="0"/>
    </w:pPr>
    <w:rPr>
      <w:rFonts w:ascii="Rockwell" w:hAnsi="Rockwell"/>
      <w:color w:val="16325C" w:themeColor="text2"/>
    </w:rPr>
  </w:style>
  <w:style w:type="character" w:customStyle="1" w:styleId="HeaderChar">
    <w:name w:val="Header Char"/>
    <w:basedOn w:val="DefaultParagraphFont"/>
    <w:link w:val="Header"/>
    <w:uiPriority w:val="99"/>
    <w:rsid w:val="0005790B"/>
    <w:rPr>
      <w:rFonts w:ascii="Rockwell" w:hAnsi="Rockwell"/>
      <w:color w:val="16325C" w:themeColor="text2"/>
    </w:rPr>
  </w:style>
  <w:style w:type="paragraph" w:styleId="Footer">
    <w:name w:val="footer"/>
    <w:basedOn w:val="Normal"/>
    <w:link w:val="FooterChar"/>
    <w:uiPriority w:val="99"/>
    <w:unhideWhenUsed/>
    <w:rsid w:val="00F70A9F"/>
    <w:pPr>
      <w:tabs>
        <w:tab w:val="center" w:pos="4513"/>
        <w:tab w:val="right" w:pos="9026"/>
      </w:tabs>
      <w:spacing w:after="0"/>
    </w:pPr>
  </w:style>
  <w:style w:type="character" w:customStyle="1" w:styleId="FooterChar">
    <w:name w:val="Footer Char"/>
    <w:basedOn w:val="DefaultParagraphFont"/>
    <w:link w:val="Footer"/>
    <w:uiPriority w:val="99"/>
    <w:rsid w:val="00F70A9F"/>
  </w:style>
  <w:style w:type="paragraph" w:styleId="BalloonText">
    <w:name w:val="Balloon Text"/>
    <w:basedOn w:val="Normal"/>
    <w:link w:val="BalloonTextChar"/>
    <w:uiPriority w:val="99"/>
    <w:semiHidden/>
    <w:unhideWhenUsed/>
    <w:rsid w:val="00F70A9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0A9F"/>
    <w:rPr>
      <w:rFonts w:ascii="Tahoma" w:hAnsi="Tahoma" w:cs="Tahoma"/>
      <w:sz w:val="16"/>
      <w:szCs w:val="16"/>
    </w:rPr>
  </w:style>
  <w:style w:type="paragraph" w:customStyle="1" w:styleId="Chartnumber">
    <w:name w:val="Chart number"/>
    <w:basedOn w:val="Normal"/>
    <w:qFormat/>
    <w:rsid w:val="00C02562"/>
    <w:pPr>
      <w:spacing w:after="0"/>
    </w:pPr>
    <w:rPr>
      <w:rFonts w:ascii="Rockwell" w:hAnsi="Rockwell"/>
      <w:b/>
      <w:caps/>
      <w:color w:val="16325C" w:themeColor="text2"/>
      <w:sz w:val="18"/>
    </w:rPr>
  </w:style>
  <w:style w:type="paragraph" w:customStyle="1" w:styleId="Chartheading">
    <w:name w:val="Chart heading"/>
    <w:basedOn w:val="Normal"/>
    <w:qFormat/>
    <w:rsid w:val="00C02562"/>
    <w:rPr>
      <w:rFonts w:ascii="Rockwell" w:hAnsi="Rockwell"/>
      <w:color w:val="16325C" w:themeColor="text2"/>
      <w:sz w:val="24"/>
    </w:rPr>
  </w:style>
  <w:style w:type="paragraph" w:customStyle="1" w:styleId="Chartgraphic">
    <w:name w:val="Chart graphic"/>
    <w:basedOn w:val="Normal"/>
    <w:qFormat/>
    <w:rsid w:val="00F70A9F"/>
    <w:pPr>
      <w:spacing w:after="0"/>
    </w:pPr>
  </w:style>
  <w:style w:type="paragraph" w:customStyle="1" w:styleId="Covertitle">
    <w:name w:val="Cover title"/>
    <w:qFormat/>
    <w:rsid w:val="0005790B"/>
    <w:pPr>
      <w:spacing w:before="120" w:after="360"/>
    </w:pPr>
    <w:rPr>
      <w:rFonts w:ascii="Rockwell" w:eastAsiaTheme="majorEastAsia" w:hAnsi="Rockwell" w:cstheme="majorBidi"/>
      <w:bCs/>
      <w:color w:val="004A80" w:themeColor="background2"/>
      <w:sz w:val="40"/>
      <w:szCs w:val="28"/>
    </w:rPr>
  </w:style>
  <w:style w:type="paragraph" w:customStyle="1" w:styleId="Chartnote">
    <w:name w:val="Chart note"/>
    <w:basedOn w:val="Normal"/>
    <w:qFormat/>
    <w:rsid w:val="009B50DD"/>
    <w:rPr>
      <w:sz w:val="18"/>
    </w:rPr>
  </w:style>
  <w:style w:type="paragraph" w:customStyle="1" w:styleId="Bullet">
    <w:name w:val="Bullet"/>
    <w:basedOn w:val="Normal"/>
    <w:link w:val="BulletChar"/>
    <w:rsid w:val="00651052"/>
    <w:pPr>
      <w:numPr>
        <w:numId w:val="1"/>
      </w:numPr>
    </w:pPr>
  </w:style>
  <w:style w:type="character" w:customStyle="1" w:styleId="BulletChar">
    <w:name w:val="Bullet Char"/>
    <w:basedOn w:val="DefaultParagraphFont"/>
    <w:link w:val="Bullet"/>
    <w:rsid w:val="00651052"/>
  </w:style>
  <w:style w:type="paragraph" w:customStyle="1" w:styleId="Dash">
    <w:name w:val="Dash"/>
    <w:basedOn w:val="Normal"/>
    <w:link w:val="DashChar"/>
    <w:rsid w:val="00651052"/>
    <w:pPr>
      <w:numPr>
        <w:ilvl w:val="1"/>
        <w:numId w:val="1"/>
      </w:numPr>
    </w:pPr>
  </w:style>
  <w:style w:type="character" w:customStyle="1" w:styleId="DashChar">
    <w:name w:val="Dash Char"/>
    <w:basedOn w:val="DefaultParagraphFont"/>
    <w:link w:val="Dash"/>
    <w:rsid w:val="00651052"/>
  </w:style>
  <w:style w:type="paragraph" w:customStyle="1" w:styleId="DoubleDot">
    <w:name w:val="Double Dot"/>
    <w:basedOn w:val="Normal"/>
    <w:link w:val="DoubleDotChar"/>
    <w:rsid w:val="00651052"/>
    <w:pPr>
      <w:numPr>
        <w:ilvl w:val="2"/>
        <w:numId w:val="1"/>
      </w:numPr>
    </w:pPr>
  </w:style>
  <w:style w:type="character" w:customStyle="1" w:styleId="DoubleDotChar">
    <w:name w:val="Double Dot Char"/>
    <w:basedOn w:val="DefaultParagraphFont"/>
    <w:link w:val="DoubleDot"/>
    <w:rsid w:val="00651052"/>
  </w:style>
  <w:style w:type="paragraph" w:styleId="FootnoteText">
    <w:name w:val="footnote text"/>
    <w:basedOn w:val="Normal"/>
    <w:link w:val="FootnoteTextChar"/>
    <w:uiPriority w:val="99"/>
    <w:semiHidden/>
    <w:unhideWhenUsed/>
    <w:rsid w:val="0096430D"/>
    <w:pPr>
      <w:spacing w:after="0"/>
    </w:pPr>
  </w:style>
  <w:style w:type="character" w:customStyle="1" w:styleId="FootnoteTextChar">
    <w:name w:val="Footnote Text Char"/>
    <w:basedOn w:val="DefaultParagraphFont"/>
    <w:link w:val="FootnoteText"/>
    <w:uiPriority w:val="99"/>
    <w:semiHidden/>
    <w:rsid w:val="0096430D"/>
  </w:style>
  <w:style w:type="character" w:styleId="FootnoteReference">
    <w:name w:val="footnote reference"/>
    <w:basedOn w:val="DefaultParagraphFont"/>
    <w:uiPriority w:val="99"/>
    <w:semiHidden/>
    <w:unhideWhenUsed/>
    <w:rsid w:val="0096430D"/>
    <w:rPr>
      <w:vertAlign w:val="superscript"/>
    </w:rPr>
  </w:style>
  <w:style w:type="paragraph" w:customStyle="1" w:styleId="Footnote">
    <w:name w:val="Footnote"/>
    <w:basedOn w:val="FootnoteText"/>
    <w:qFormat/>
    <w:rsid w:val="00FB1842"/>
    <w:pPr>
      <w:ind w:left="227" w:hanging="227"/>
    </w:pPr>
    <w:rPr>
      <w:sz w:val="18"/>
    </w:rPr>
  </w:style>
  <w:style w:type="character" w:customStyle="1" w:styleId="Heading3Char">
    <w:name w:val="Heading 3 Char"/>
    <w:basedOn w:val="DefaultParagraphFont"/>
    <w:link w:val="Heading3"/>
    <w:uiPriority w:val="9"/>
    <w:rsid w:val="0005790B"/>
    <w:rPr>
      <w:rFonts w:asciiTheme="majorHAnsi" w:eastAsiaTheme="majorEastAsia" w:hAnsiTheme="majorHAnsi" w:cstheme="majorBidi"/>
      <w:b/>
      <w:bCs/>
      <w:color w:val="0074BD" w:themeColor="accent1"/>
    </w:rPr>
  </w:style>
  <w:style w:type="paragraph" w:styleId="ListParagraph">
    <w:name w:val="List Paragraph"/>
    <w:basedOn w:val="Normal"/>
    <w:link w:val="ListParagraphChar"/>
    <w:uiPriority w:val="34"/>
    <w:qFormat/>
    <w:rsid w:val="0043751A"/>
    <w:pPr>
      <w:ind w:left="720"/>
      <w:contextualSpacing/>
    </w:pPr>
  </w:style>
  <w:style w:type="paragraph" w:customStyle="1" w:styleId="OutlineNumbered1">
    <w:name w:val="Outline Numbered 1"/>
    <w:basedOn w:val="Normal"/>
    <w:link w:val="OutlineNumbered1Char"/>
    <w:rsid w:val="0043751A"/>
    <w:pPr>
      <w:numPr>
        <w:numId w:val="2"/>
      </w:numPr>
    </w:pPr>
  </w:style>
  <w:style w:type="character" w:customStyle="1" w:styleId="ListParagraphChar">
    <w:name w:val="List Paragraph Char"/>
    <w:basedOn w:val="DefaultParagraphFont"/>
    <w:link w:val="ListParagraph"/>
    <w:uiPriority w:val="34"/>
    <w:rsid w:val="0043751A"/>
  </w:style>
  <w:style w:type="character" w:customStyle="1" w:styleId="OutlineNumbered1Char">
    <w:name w:val="Outline Numbered 1 Char"/>
    <w:basedOn w:val="ListParagraphChar"/>
    <w:link w:val="OutlineNumbered1"/>
    <w:rsid w:val="0043751A"/>
  </w:style>
  <w:style w:type="paragraph" w:customStyle="1" w:styleId="OutlineNumbered2">
    <w:name w:val="Outline Numbered 2"/>
    <w:basedOn w:val="Normal"/>
    <w:link w:val="OutlineNumbered2Char"/>
    <w:rsid w:val="0043751A"/>
    <w:pPr>
      <w:numPr>
        <w:ilvl w:val="1"/>
        <w:numId w:val="2"/>
      </w:numPr>
    </w:pPr>
  </w:style>
  <w:style w:type="character" w:customStyle="1" w:styleId="OutlineNumbered2Char">
    <w:name w:val="Outline Numbered 2 Char"/>
    <w:basedOn w:val="ListParagraphChar"/>
    <w:link w:val="OutlineNumbered2"/>
    <w:rsid w:val="0043751A"/>
  </w:style>
  <w:style w:type="paragraph" w:customStyle="1" w:styleId="OutlineNumbered3">
    <w:name w:val="Outline Numbered 3"/>
    <w:basedOn w:val="Normal"/>
    <w:link w:val="OutlineNumbered3Char"/>
    <w:rsid w:val="0043751A"/>
    <w:pPr>
      <w:numPr>
        <w:ilvl w:val="2"/>
        <w:numId w:val="2"/>
      </w:numPr>
    </w:pPr>
  </w:style>
  <w:style w:type="character" w:customStyle="1" w:styleId="OutlineNumbered3Char">
    <w:name w:val="Outline Numbered 3 Char"/>
    <w:basedOn w:val="ListParagraphChar"/>
    <w:link w:val="OutlineNumbered3"/>
    <w:rsid w:val="0043751A"/>
  </w:style>
  <w:style w:type="character" w:styleId="Hyperlink">
    <w:name w:val="Hyperlink"/>
    <w:basedOn w:val="DefaultParagraphFont"/>
    <w:uiPriority w:val="99"/>
    <w:unhideWhenUsed/>
    <w:rsid w:val="000C3190"/>
    <w:rPr>
      <w:color w:val="0000FF" w:themeColor="hyperlink"/>
      <w:u w:val="single"/>
    </w:rPr>
  </w:style>
  <w:style w:type="character" w:styleId="Emphasis">
    <w:name w:val="Emphasis"/>
    <w:basedOn w:val="DefaultParagraphFont"/>
    <w:uiPriority w:val="20"/>
    <w:qFormat/>
    <w:rsid w:val="00F3287F"/>
    <w:rPr>
      <w:i/>
      <w:iCs/>
    </w:rPr>
  </w:style>
  <w:style w:type="paragraph" w:styleId="NormalWeb">
    <w:name w:val="Normal (Web)"/>
    <w:basedOn w:val="Normal"/>
    <w:uiPriority w:val="99"/>
    <w:semiHidden/>
    <w:unhideWhenUsed/>
    <w:rsid w:val="00552D1B"/>
    <w:pPr>
      <w:spacing w:before="100" w:beforeAutospacing="1" w:after="100" w:afterAutospacing="1"/>
    </w:pPr>
    <w:rPr>
      <w:rFonts w:ascii="Times New Roman" w:eastAsiaTheme="minorEastAsia" w:hAnsi="Times New Roman"/>
      <w:sz w:val="24"/>
      <w:szCs w:val="24"/>
      <w:lang w:eastAsia="en-AU"/>
    </w:rPr>
  </w:style>
  <w:style w:type="character" w:styleId="CommentReference">
    <w:name w:val="annotation reference"/>
    <w:basedOn w:val="DefaultParagraphFont"/>
    <w:uiPriority w:val="99"/>
    <w:semiHidden/>
    <w:unhideWhenUsed/>
    <w:rsid w:val="000419A2"/>
    <w:rPr>
      <w:sz w:val="16"/>
      <w:szCs w:val="16"/>
    </w:rPr>
  </w:style>
  <w:style w:type="paragraph" w:styleId="CommentText">
    <w:name w:val="annotation text"/>
    <w:basedOn w:val="Normal"/>
    <w:link w:val="CommentTextChar"/>
    <w:uiPriority w:val="99"/>
    <w:semiHidden/>
    <w:unhideWhenUsed/>
    <w:rsid w:val="000419A2"/>
  </w:style>
  <w:style w:type="character" w:customStyle="1" w:styleId="CommentTextChar">
    <w:name w:val="Comment Text Char"/>
    <w:basedOn w:val="DefaultParagraphFont"/>
    <w:link w:val="CommentText"/>
    <w:uiPriority w:val="99"/>
    <w:semiHidden/>
    <w:rsid w:val="000419A2"/>
  </w:style>
  <w:style w:type="paragraph" w:styleId="CommentSubject">
    <w:name w:val="annotation subject"/>
    <w:basedOn w:val="CommentText"/>
    <w:next w:val="CommentText"/>
    <w:link w:val="CommentSubjectChar"/>
    <w:uiPriority w:val="99"/>
    <w:semiHidden/>
    <w:unhideWhenUsed/>
    <w:rsid w:val="000419A2"/>
    <w:rPr>
      <w:b/>
      <w:bCs/>
    </w:rPr>
  </w:style>
  <w:style w:type="character" w:customStyle="1" w:styleId="CommentSubjectChar">
    <w:name w:val="Comment Subject Char"/>
    <w:basedOn w:val="CommentTextChar"/>
    <w:link w:val="CommentSubject"/>
    <w:uiPriority w:val="99"/>
    <w:semiHidden/>
    <w:rsid w:val="000419A2"/>
    <w:rPr>
      <w:b/>
      <w:bCs/>
    </w:rPr>
  </w:style>
  <w:style w:type="paragraph" w:styleId="Bibliography">
    <w:name w:val="Bibliography"/>
    <w:basedOn w:val="Normal"/>
    <w:next w:val="Normal"/>
    <w:uiPriority w:val="37"/>
    <w:semiHidden/>
    <w:unhideWhenUsed/>
    <w:rsid w:val="00AA1D15"/>
  </w:style>
  <w:style w:type="paragraph" w:styleId="BlockText">
    <w:name w:val="Block Text"/>
    <w:basedOn w:val="Normal"/>
    <w:uiPriority w:val="99"/>
    <w:semiHidden/>
    <w:unhideWhenUsed/>
    <w:rsid w:val="00AA1D15"/>
    <w:pPr>
      <w:pBdr>
        <w:top w:val="single" w:sz="2" w:space="10" w:color="0074BD" w:themeColor="accent1"/>
        <w:left w:val="single" w:sz="2" w:space="10" w:color="0074BD" w:themeColor="accent1"/>
        <w:bottom w:val="single" w:sz="2" w:space="10" w:color="0074BD" w:themeColor="accent1"/>
        <w:right w:val="single" w:sz="2" w:space="10" w:color="0074BD" w:themeColor="accent1"/>
      </w:pBdr>
      <w:ind w:left="1152" w:right="1152"/>
    </w:pPr>
    <w:rPr>
      <w:rFonts w:asciiTheme="minorHAnsi" w:eastAsiaTheme="minorEastAsia" w:hAnsiTheme="minorHAnsi" w:cstheme="minorBidi"/>
      <w:i/>
      <w:iCs/>
      <w:color w:val="0074BD" w:themeColor="accent1"/>
    </w:rPr>
  </w:style>
  <w:style w:type="paragraph" w:styleId="BodyText">
    <w:name w:val="Body Text"/>
    <w:basedOn w:val="Normal"/>
    <w:link w:val="BodyTextChar"/>
    <w:uiPriority w:val="99"/>
    <w:semiHidden/>
    <w:unhideWhenUsed/>
    <w:rsid w:val="00AA1D15"/>
  </w:style>
  <w:style w:type="character" w:customStyle="1" w:styleId="BodyTextChar">
    <w:name w:val="Body Text Char"/>
    <w:basedOn w:val="DefaultParagraphFont"/>
    <w:link w:val="BodyText"/>
    <w:uiPriority w:val="99"/>
    <w:semiHidden/>
    <w:rsid w:val="00AA1D15"/>
  </w:style>
  <w:style w:type="paragraph" w:styleId="BodyText2">
    <w:name w:val="Body Text 2"/>
    <w:basedOn w:val="Normal"/>
    <w:link w:val="BodyText2Char"/>
    <w:uiPriority w:val="99"/>
    <w:semiHidden/>
    <w:unhideWhenUsed/>
    <w:rsid w:val="00AA1D15"/>
    <w:pPr>
      <w:spacing w:line="480" w:lineRule="auto"/>
    </w:pPr>
  </w:style>
  <w:style w:type="character" w:customStyle="1" w:styleId="BodyText2Char">
    <w:name w:val="Body Text 2 Char"/>
    <w:basedOn w:val="DefaultParagraphFont"/>
    <w:link w:val="BodyText2"/>
    <w:uiPriority w:val="99"/>
    <w:semiHidden/>
    <w:rsid w:val="00AA1D15"/>
  </w:style>
  <w:style w:type="paragraph" w:styleId="BodyText3">
    <w:name w:val="Body Text 3"/>
    <w:basedOn w:val="Normal"/>
    <w:link w:val="BodyText3Char"/>
    <w:uiPriority w:val="99"/>
    <w:semiHidden/>
    <w:unhideWhenUsed/>
    <w:rsid w:val="00AA1D15"/>
    <w:rPr>
      <w:sz w:val="16"/>
      <w:szCs w:val="16"/>
    </w:rPr>
  </w:style>
  <w:style w:type="character" w:customStyle="1" w:styleId="BodyText3Char">
    <w:name w:val="Body Text 3 Char"/>
    <w:basedOn w:val="DefaultParagraphFont"/>
    <w:link w:val="BodyText3"/>
    <w:uiPriority w:val="99"/>
    <w:semiHidden/>
    <w:rsid w:val="00AA1D15"/>
    <w:rPr>
      <w:sz w:val="16"/>
      <w:szCs w:val="16"/>
    </w:rPr>
  </w:style>
  <w:style w:type="paragraph" w:styleId="BodyTextFirstIndent">
    <w:name w:val="Body Text First Indent"/>
    <w:basedOn w:val="BodyText"/>
    <w:link w:val="BodyTextFirstIndentChar"/>
    <w:uiPriority w:val="99"/>
    <w:semiHidden/>
    <w:unhideWhenUsed/>
    <w:rsid w:val="00AA1D15"/>
    <w:pPr>
      <w:ind w:firstLine="360"/>
    </w:pPr>
  </w:style>
  <w:style w:type="character" w:customStyle="1" w:styleId="BodyTextFirstIndentChar">
    <w:name w:val="Body Text First Indent Char"/>
    <w:basedOn w:val="BodyTextChar"/>
    <w:link w:val="BodyTextFirstIndent"/>
    <w:uiPriority w:val="99"/>
    <w:semiHidden/>
    <w:rsid w:val="00AA1D15"/>
  </w:style>
  <w:style w:type="paragraph" w:styleId="BodyTextIndent">
    <w:name w:val="Body Text Indent"/>
    <w:basedOn w:val="Normal"/>
    <w:link w:val="BodyTextIndentChar"/>
    <w:uiPriority w:val="99"/>
    <w:semiHidden/>
    <w:unhideWhenUsed/>
    <w:rsid w:val="00AA1D15"/>
    <w:pPr>
      <w:ind w:left="283"/>
    </w:pPr>
  </w:style>
  <w:style w:type="character" w:customStyle="1" w:styleId="BodyTextIndentChar">
    <w:name w:val="Body Text Indent Char"/>
    <w:basedOn w:val="DefaultParagraphFont"/>
    <w:link w:val="BodyTextIndent"/>
    <w:uiPriority w:val="99"/>
    <w:semiHidden/>
    <w:rsid w:val="00AA1D15"/>
  </w:style>
  <w:style w:type="paragraph" w:styleId="BodyTextFirstIndent2">
    <w:name w:val="Body Text First Indent 2"/>
    <w:basedOn w:val="BodyTextIndent"/>
    <w:link w:val="BodyTextFirstIndent2Char"/>
    <w:uiPriority w:val="99"/>
    <w:semiHidden/>
    <w:unhideWhenUsed/>
    <w:rsid w:val="00AA1D15"/>
    <w:pPr>
      <w:ind w:left="360" w:firstLine="360"/>
    </w:pPr>
  </w:style>
  <w:style w:type="character" w:customStyle="1" w:styleId="BodyTextFirstIndent2Char">
    <w:name w:val="Body Text First Indent 2 Char"/>
    <w:basedOn w:val="BodyTextIndentChar"/>
    <w:link w:val="BodyTextFirstIndent2"/>
    <w:uiPriority w:val="99"/>
    <w:semiHidden/>
    <w:rsid w:val="00AA1D15"/>
  </w:style>
  <w:style w:type="paragraph" w:styleId="BodyTextIndent2">
    <w:name w:val="Body Text Indent 2"/>
    <w:basedOn w:val="Normal"/>
    <w:link w:val="BodyTextIndent2Char"/>
    <w:uiPriority w:val="99"/>
    <w:semiHidden/>
    <w:unhideWhenUsed/>
    <w:rsid w:val="00AA1D15"/>
    <w:pPr>
      <w:spacing w:line="480" w:lineRule="auto"/>
      <w:ind w:left="283"/>
    </w:pPr>
  </w:style>
  <w:style w:type="character" w:customStyle="1" w:styleId="BodyTextIndent2Char">
    <w:name w:val="Body Text Indent 2 Char"/>
    <w:basedOn w:val="DefaultParagraphFont"/>
    <w:link w:val="BodyTextIndent2"/>
    <w:uiPriority w:val="99"/>
    <w:semiHidden/>
    <w:rsid w:val="00AA1D15"/>
  </w:style>
  <w:style w:type="paragraph" w:styleId="BodyTextIndent3">
    <w:name w:val="Body Text Indent 3"/>
    <w:basedOn w:val="Normal"/>
    <w:link w:val="BodyTextIndent3Char"/>
    <w:uiPriority w:val="99"/>
    <w:semiHidden/>
    <w:unhideWhenUsed/>
    <w:rsid w:val="00AA1D15"/>
    <w:pPr>
      <w:ind w:left="283"/>
    </w:pPr>
    <w:rPr>
      <w:sz w:val="16"/>
      <w:szCs w:val="16"/>
    </w:rPr>
  </w:style>
  <w:style w:type="character" w:customStyle="1" w:styleId="BodyTextIndent3Char">
    <w:name w:val="Body Text Indent 3 Char"/>
    <w:basedOn w:val="DefaultParagraphFont"/>
    <w:link w:val="BodyTextIndent3"/>
    <w:uiPriority w:val="99"/>
    <w:semiHidden/>
    <w:rsid w:val="00AA1D15"/>
    <w:rPr>
      <w:sz w:val="16"/>
      <w:szCs w:val="16"/>
    </w:rPr>
  </w:style>
  <w:style w:type="paragraph" w:styleId="Caption">
    <w:name w:val="caption"/>
    <w:basedOn w:val="Normal"/>
    <w:next w:val="Normal"/>
    <w:uiPriority w:val="35"/>
    <w:semiHidden/>
    <w:unhideWhenUsed/>
    <w:qFormat/>
    <w:rsid w:val="00AA1D15"/>
    <w:pPr>
      <w:spacing w:after="200"/>
    </w:pPr>
    <w:rPr>
      <w:i/>
      <w:iCs/>
      <w:color w:val="16325C" w:themeColor="text2"/>
      <w:sz w:val="18"/>
      <w:szCs w:val="18"/>
    </w:rPr>
  </w:style>
  <w:style w:type="paragraph" w:styleId="Closing">
    <w:name w:val="Closing"/>
    <w:basedOn w:val="Normal"/>
    <w:link w:val="ClosingChar"/>
    <w:uiPriority w:val="99"/>
    <w:semiHidden/>
    <w:unhideWhenUsed/>
    <w:rsid w:val="00AA1D15"/>
    <w:pPr>
      <w:spacing w:after="0"/>
      <w:ind w:left="4252"/>
    </w:pPr>
  </w:style>
  <w:style w:type="character" w:customStyle="1" w:styleId="ClosingChar">
    <w:name w:val="Closing Char"/>
    <w:basedOn w:val="DefaultParagraphFont"/>
    <w:link w:val="Closing"/>
    <w:uiPriority w:val="99"/>
    <w:semiHidden/>
    <w:rsid w:val="00AA1D15"/>
  </w:style>
  <w:style w:type="paragraph" w:styleId="Date">
    <w:name w:val="Date"/>
    <w:basedOn w:val="Normal"/>
    <w:next w:val="Normal"/>
    <w:link w:val="DateChar"/>
    <w:uiPriority w:val="99"/>
    <w:semiHidden/>
    <w:unhideWhenUsed/>
    <w:rsid w:val="00AA1D15"/>
  </w:style>
  <w:style w:type="character" w:customStyle="1" w:styleId="DateChar">
    <w:name w:val="Date Char"/>
    <w:basedOn w:val="DefaultParagraphFont"/>
    <w:link w:val="Date"/>
    <w:uiPriority w:val="99"/>
    <w:semiHidden/>
    <w:rsid w:val="00AA1D15"/>
  </w:style>
  <w:style w:type="paragraph" w:styleId="DocumentMap">
    <w:name w:val="Document Map"/>
    <w:basedOn w:val="Normal"/>
    <w:link w:val="DocumentMapChar"/>
    <w:uiPriority w:val="99"/>
    <w:semiHidden/>
    <w:unhideWhenUsed/>
    <w:rsid w:val="00AA1D15"/>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AA1D15"/>
    <w:rPr>
      <w:rFonts w:ascii="Segoe UI" w:hAnsi="Segoe UI" w:cs="Segoe UI"/>
      <w:sz w:val="16"/>
      <w:szCs w:val="16"/>
    </w:rPr>
  </w:style>
  <w:style w:type="paragraph" w:styleId="E-mailSignature">
    <w:name w:val="E-mail Signature"/>
    <w:basedOn w:val="Normal"/>
    <w:link w:val="E-mailSignatureChar"/>
    <w:uiPriority w:val="99"/>
    <w:semiHidden/>
    <w:unhideWhenUsed/>
    <w:rsid w:val="00AA1D15"/>
    <w:pPr>
      <w:spacing w:after="0"/>
    </w:pPr>
  </w:style>
  <w:style w:type="character" w:customStyle="1" w:styleId="E-mailSignatureChar">
    <w:name w:val="E-mail Signature Char"/>
    <w:basedOn w:val="DefaultParagraphFont"/>
    <w:link w:val="E-mailSignature"/>
    <w:uiPriority w:val="99"/>
    <w:semiHidden/>
    <w:rsid w:val="00AA1D15"/>
  </w:style>
  <w:style w:type="paragraph" w:styleId="EndnoteText">
    <w:name w:val="endnote text"/>
    <w:basedOn w:val="Normal"/>
    <w:link w:val="EndnoteTextChar"/>
    <w:uiPriority w:val="99"/>
    <w:semiHidden/>
    <w:unhideWhenUsed/>
    <w:rsid w:val="00AA1D15"/>
    <w:pPr>
      <w:spacing w:after="0"/>
    </w:pPr>
  </w:style>
  <w:style w:type="character" w:customStyle="1" w:styleId="EndnoteTextChar">
    <w:name w:val="Endnote Text Char"/>
    <w:basedOn w:val="DefaultParagraphFont"/>
    <w:link w:val="EndnoteText"/>
    <w:uiPriority w:val="99"/>
    <w:semiHidden/>
    <w:rsid w:val="00AA1D15"/>
  </w:style>
  <w:style w:type="paragraph" w:styleId="EnvelopeAddress">
    <w:name w:val="envelope address"/>
    <w:basedOn w:val="Normal"/>
    <w:uiPriority w:val="99"/>
    <w:semiHidden/>
    <w:unhideWhenUsed/>
    <w:rsid w:val="00AA1D15"/>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AA1D15"/>
    <w:pPr>
      <w:spacing w:after="0"/>
    </w:pPr>
    <w:rPr>
      <w:rFonts w:asciiTheme="majorHAnsi" w:eastAsiaTheme="majorEastAsia" w:hAnsiTheme="majorHAnsi" w:cstheme="majorBidi"/>
    </w:rPr>
  </w:style>
  <w:style w:type="character" w:customStyle="1" w:styleId="Heading4Char">
    <w:name w:val="Heading 4 Char"/>
    <w:basedOn w:val="DefaultParagraphFont"/>
    <w:link w:val="Heading4"/>
    <w:uiPriority w:val="9"/>
    <w:semiHidden/>
    <w:rsid w:val="00AA1D15"/>
    <w:rPr>
      <w:rFonts w:asciiTheme="majorHAnsi" w:eastAsiaTheme="majorEastAsia" w:hAnsiTheme="majorHAnsi" w:cstheme="majorBidi"/>
      <w:i/>
      <w:iCs/>
      <w:color w:val="00568D" w:themeColor="accent1" w:themeShade="BF"/>
    </w:rPr>
  </w:style>
  <w:style w:type="character" w:customStyle="1" w:styleId="Heading5Char">
    <w:name w:val="Heading 5 Char"/>
    <w:basedOn w:val="DefaultParagraphFont"/>
    <w:link w:val="Heading5"/>
    <w:uiPriority w:val="9"/>
    <w:semiHidden/>
    <w:rsid w:val="00AA1D15"/>
    <w:rPr>
      <w:rFonts w:asciiTheme="majorHAnsi" w:eastAsiaTheme="majorEastAsia" w:hAnsiTheme="majorHAnsi" w:cstheme="majorBidi"/>
      <w:color w:val="00568D" w:themeColor="accent1" w:themeShade="BF"/>
    </w:rPr>
  </w:style>
  <w:style w:type="character" w:customStyle="1" w:styleId="Heading6Char">
    <w:name w:val="Heading 6 Char"/>
    <w:basedOn w:val="DefaultParagraphFont"/>
    <w:link w:val="Heading6"/>
    <w:uiPriority w:val="9"/>
    <w:semiHidden/>
    <w:rsid w:val="00AA1D15"/>
    <w:rPr>
      <w:rFonts w:asciiTheme="majorHAnsi" w:eastAsiaTheme="majorEastAsia" w:hAnsiTheme="majorHAnsi" w:cstheme="majorBidi"/>
      <w:color w:val="00395E" w:themeColor="accent1" w:themeShade="7F"/>
    </w:rPr>
  </w:style>
  <w:style w:type="character" w:customStyle="1" w:styleId="Heading7Char">
    <w:name w:val="Heading 7 Char"/>
    <w:basedOn w:val="DefaultParagraphFont"/>
    <w:link w:val="Heading7"/>
    <w:uiPriority w:val="9"/>
    <w:semiHidden/>
    <w:rsid w:val="00AA1D15"/>
    <w:rPr>
      <w:rFonts w:asciiTheme="majorHAnsi" w:eastAsiaTheme="majorEastAsia" w:hAnsiTheme="majorHAnsi" w:cstheme="majorBidi"/>
      <w:i/>
      <w:iCs/>
      <w:color w:val="00395E" w:themeColor="accent1" w:themeShade="7F"/>
    </w:rPr>
  </w:style>
  <w:style w:type="character" w:customStyle="1" w:styleId="Heading8Char">
    <w:name w:val="Heading 8 Char"/>
    <w:basedOn w:val="DefaultParagraphFont"/>
    <w:link w:val="Heading8"/>
    <w:uiPriority w:val="9"/>
    <w:semiHidden/>
    <w:rsid w:val="00AA1D15"/>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AA1D15"/>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AA1D15"/>
    <w:pPr>
      <w:spacing w:after="0"/>
    </w:pPr>
    <w:rPr>
      <w:i/>
      <w:iCs/>
    </w:rPr>
  </w:style>
  <w:style w:type="character" w:customStyle="1" w:styleId="HTMLAddressChar">
    <w:name w:val="HTML Address Char"/>
    <w:basedOn w:val="DefaultParagraphFont"/>
    <w:link w:val="HTMLAddress"/>
    <w:uiPriority w:val="99"/>
    <w:semiHidden/>
    <w:rsid w:val="00AA1D15"/>
    <w:rPr>
      <w:i/>
      <w:iCs/>
    </w:rPr>
  </w:style>
  <w:style w:type="paragraph" w:styleId="HTMLPreformatted">
    <w:name w:val="HTML Preformatted"/>
    <w:basedOn w:val="Normal"/>
    <w:link w:val="HTMLPreformattedChar"/>
    <w:uiPriority w:val="99"/>
    <w:semiHidden/>
    <w:unhideWhenUsed/>
    <w:rsid w:val="00AA1D15"/>
    <w:pPr>
      <w:spacing w:after="0"/>
    </w:pPr>
    <w:rPr>
      <w:rFonts w:ascii="Consolas" w:hAnsi="Consolas"/>
    </w:rPr>
  </w:style>
  <w:style w:type="character" w:customStyle="1" w:styleId="HTMLPreformattedChar">
    <w:name w:val="HTML Preformatted Char"/>
    <w:basedOn w:val="DefaultParagraphFont"/>
    <w:link w:val="HTMLPreformatted"/>
    <w:uiPriority w:val="99"/>
    <w:semiHidden/>
    <w:rsid w:val="00AA1D15"/>
    <w:rPr>
      <w:rFonts w:ascii="Consolas" w:hAnsi="Consolas"/>
    </w:rPr>
  </w:style>
  <w:style w:type="paragraph" w:styleId="Index1">
    <w:name w:val="index 1"/>
    <w:basedOn w:val="Normal"/>
    <w:next w:val="Normal"/>
    <w:autoRedefine/>
    <w:uiPriority w:val="99"/>
    <w:semiHidden/>
    <w:unhideWhenUsed/>
    <w:rsid w:val="00AA1D15"/>
    <w:pPr>
      <w:spacing w:after="0"/>
      <w:ind w:left="200" w:hanging="200"/>
    </w:pPr>
  </w:style>
  <w:style w:type="paragraph" w:styleId="Index2">
    <w:name w:val="index 2"/>
    <w:basedOn w:val="Normal"/>
    <w:next w:val="Normal"/>
    <w:autoRedefine/>
    <w:uiPriority w:val="99"/>
    <w:semiHidden/>
    <w:unhideWhenUsed/>
    <w:rsid w:val="00AA1D15"/>
    <w:pPr>
      <w:spacing w:after="0"/>
      <w:ind w:left="400" w:hanging="200"/>
    </w:pPr>
  </w:style>
  <w:style w:type="paragraph" w:styleId="Index3">
    <w:name w:val="index 3"/>
    <w:basedOn w:val="Normal"/>
    <w:next w:val="Normal"/>
    <w:autoRedefine/>
    <w:uiPriority w:val="99"/>
    <w:semiHidden/>
    <w:unhideWhenUsed/>
    <w:rsid w:val="00AA1D15"/>
    <w:pPr>
      <w:spacing w:after="0"/>
      <w:ind w:left="600" w:hanging="200"/>
    </w:pPr>
  </w:style>
  <w:style w:type="paragraph" w:styleId="Index4">
    <w:name w:val="index 4"/>
    <w:basedOn w:val="Normal"/>
    <w:next w:val="Normal"/>
    <w:autoRedefine/>
    <w:uiPriority w:val="99"/>
    <w:semiHidden/>
    <w:unhideWhenUsed/>
    <w:rsid w:val="00AA1D15"/>
    <w:pPr>
      <w:spacing w:after="0"/>
      <w:ind w:left="800" w:hanging="200"/>
    </w:pPr>
  </w:style>
  <w:style w:type="paragraph" w:styleId="Index5">
    <w:name w:val="index 5"/>
    <w:basedOn w:val="Normal"/>
    <w:next w:val="Normal"/>
    <w:autoRedefine/>
    <w:uiPriority w:val="99"/>
    <w:semiHidden/>
    <w:unhideWhenUsed/>
    <w:rsid w:val="00AA1D15"/>
    <w:pPr>
      <w:spacing w:after="0"/>
      <w:ind w:left="1000" w:hanging="200"/>
    </w:pPr>
  </w:style>
  <w:style w:type="paragraph" w:styleId="Index6">
    <w:name w:val="index 6"/>
    <w:basedOn w:val="Normal"/>
    <w:next w:val="Normal"/>
    <w:autoRedefine/>
    <w:uiPriority w:val="99"/>
    <w:semiHidden/>
    <w:unhideWhenUsed/>
    <w:rsid w:val="00AA1D15"/>
    <w:pPr>
      <w:spacing w:after="0"/>
      <w:ind w:left="1200" w:hanging="200"/>
    </w:pPr>
  </w:style>
  <w:style w:type="paragraph" w:styleId="Index7">
    <w:name w:val="index 7"/>
    <w:basedOn w:val="Normal"/>
    <w:next w:val="Normal"/>
    <w:autoRedefine/>
    <w:uiPriority w:val="99"/>
    <w:semiHidden/>
    <w:unhideWhenUsed/>
    <w:rsid w:val="00AA1D15"/>
    <w:pPr>
      <w:spacing w:after="0"/>
      <w:ind w:left="1400" w:hanging="200"/>
    </w:pPr>
  </w:style>
  <w:style w:type="paragraph" w:styleId="Index8">
    <w:name w:val="index 8"/>
    <w:basedOn w:val="Normal"/>
    <w:next w:val="Normal"/>
    <w:autoRedefine/>
    <w:uiPriority w:val="99"/>
    <w:semiHidden/>
    <w:unhideWhenUsed/>
    <w:rsid w:val="00AA1D15"/>
    <w:pPr>
      <w:spacing w:after="0"/>
      <w:ind w:left="1600" w:hanging="200"/>
    </w:pPr>
  </w:style>
  <w:style w:type="paragraph" w:styleId="Index9">
    <w:name w:val="index 9"/>
    <w:basedOn w:val="Normal"/>
    <w:next w:val="Normal"/>
    <w:autoRedefine/>
    <w:uiPriority w:val="99"/>
    <w:semiHidden/>
    <w:unhideWhenUsed/>
    <w:rsid w:val="00AA1D15"/>
    <w:pPr>
      <w:spacing w:after="0"/>
      <w:ind w:left="1800" w:hanging="200"/>
    </w:pPr>
  </w:style>
  <w:style w:type="paragraph" w:styleId="IndexHeading">
    <w:name w:val="index heading"/>
    <w:basedOn w:val="Normal"/>
    <w:next w:val="Index1"/>
    <w:uiPriority w:val="99"/>
    <w:semiHidden/>
    <w:unhideWhenUsed/>
    <w:rsid w:val="00AA1D15"/>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AA1D15"/>
    <w:pPr>
      <w:pBdr>
        <w:top w:val="single" w:sz="4" w:space="10" w:color="0074BD" w:themeColor="accent1"/>
        <w:bottom w:val="single" w:sz="4" w:space="10" w:color="0074BD" w:themeColor="accent1"/>
      </w:pBdr>
      <w:spacing w:before="360" w:after="360"/>
      <w:ind w:left="864" w:right="864"/>
      <w:jc w:val="center"/>
    </w:pPr>
    <w:rPr>
      <w:i/>
      <w:iCs/>
      <w:color w:val="0074BD" w:themeColor="accent1"/>
    </w:rPr>
  </w:style>
  <w:style w:type="character" w:customStyle="1" w:styleId="IntenseQuoteChar">
    <w:name w:val="Intense Quote Char"/>
    <w:basedOn w:val="DefaultParagraphFont"/>
    <w:link w:val="IntenseQuote"/>
    <w:uiPriority w:val="30"/>
    <w:rsid w:val="00AA1D15"/>
    <w:rPr>
      <w:i/>
      <w:iCs/>
      <w:color w:val="0074BD" w:themeColor="accent1"/>
    </w:rPr>
  </w:style>
  <w:style w:type="paragraph" w:styleId="List">
    <w:name w:val="List"/>
    <w:basedOn w:val="Normal"/>
    <w:uiPriority w:val="99"/>
    <w:semiHidden/>
    <w:unhideWhenUsed/>
    <w:rsid w:val="00AA1D15"/>
    <w:pPr>
      <w:ind w:left="283" w:hanging="283"/>
      <w:contextualSpacing/>
    </w:pPr>
  </w:style>
  <w:style w:type="paragraph" w:styleId="List2">
    <w:name w:val="List 2"/>
    <w:basedOn w:val="Normal"/>
    <w:uiPriority w:val="99"/>
    <w:semiHidden/>
    <w:unhideWhenUsed/>
    <w:rsid w:val="00AA1D15"/>
    <w:pPr>
      <w:ind w:left="566" w:hanging="283"/>
      <w:contextualSpacing/>
    </w:pPr>
  </w:style>
  <w:style w:type="paragraph" w:styleId="List3">
    <w:name w:val="List 3"/>
    <w:basedOn w:val="Normal"/>
    <w:uiPriority w:val="99"/>
    <w:semiHidden/>
    <w:unhideWhenUsed/>
    <w:rsid w:val="00AA1D15"/>
    <w:pPr>
      <w:ind w:left="849" w:hanging="283"/>
      <w:contextualSpacing/>
    </w:pPr>
  </w:style>
  <w:style w:type="paragraph" w:styleId="List4">
    <w:name w:val="List 4"/>
    <w:basedOn w:val="Normal"/>
    <w:uiPriority w:val="99"/>
    <w:semiHidden/>
    <w:unhideWhenUsed/>
    <w:rsid w:val="00AA1D15"/>
    <w:pPr>
      <w:ind w:left="1132" w:hanging="283"/>
      <w:contextualSpacing/>
    </w:pPr>
  </w:style>
  <w:style w:type="paragraph" w:styleId="List5">
    <w:name w:val="List 5"/>
    <w:basedOn w:val="Normal"/>
    <w:uiPriority w:val="99"/>
    <w:semiHidden/>
    <w:unhideWhenUsed/>
    <w:rsid w:val="00AA1D15"/>
    <w:pPr>
      <w:ind w:left="1415" w:hanging="283"/>
      <w:contextualSpacing/>
    </w:pPr>
  </w:style>
  <w:style w:type="paragraph" w:styleId="ListBullet">
    <w:name w:val="List Bullet"/>
    <w:basedOn w:val="Normal"/>
    <w:uiPriority w:val="99"/>
    <w:semiHidden/>
    <w:unhideWhenUsed/>
    <w:rsid w:val="00AA1D15"/>
    <w:pPr>
      <w:numPr>
        <w:numId w:val="3"/>
      </w:numPr>
      <w:contextualSpacing/>
    </w:pPr>
  </w:style>
  <w:style w:type="paragraph" w:styleId="ListBullet2">
    <w:name w:val="List Bullet 2"/>
    <w:basedOn w:val="Normal"/>
    <w:uiPriority w:val="99"/>
    <w:semiHidden/>
    <w:unhideWhenUsed/>
    <w:rsid w:val="00AA1D15"/>
    <w:pPr>
      <w:numPr>
        <w:numId w:val="4"/>
      </w:numPr>
      <w:contextualSpacing/>
    </w:pPr>
  </w:style>
  <w:style w:type="paragraph" w:styleId="ListBullet3">
    <w:name w:val="List Bullet 3"/>
    <w:basedOn w:val="Normal"/>
    <w:uiPriority w:val="99"/>
    <w:semiHidden/>
    <w:unhideWhenUsed/>
    <w:rsid w:val="00AA1D15"/>
    <w:pPr>
      <w:numPr>
        <w:numId w:val="5"/>
      </w:numPr>
      <w:contextualSpacing/>
    </w:pPr>
  </w:style>
  <w:style w:type="paragraph" w:styleId="ListBullet4">
    <w:name w:val="List Bullet 4"/>
    <w:basedOn w:val="Normal"/>
    <w:uiPriority w:val="99"/>
    <w:semiHidden/>
    <w:unhideWhenUsed/>
    <w:rsid w:val="00AA1D15"/>
    <w:pPr>
      <w:numPr>
        <w:numId w:val="6"/>
      </w:numPr>
      <w:contextualSpacing/>
    </w:pPr>
  </w:style>
  <w:style w:type="paragraph" w:styleId="ListBullet5">
    <w:name w:val="List Bullet 5"/>
    <w:basedOn w:val="Normal"/>
    <w:uiPriority w:val="99"/>
    <w:semiHidden/>
    <w:unhideWhenUsed/>
    <w:rsid w:val="00AA1D15"/>
    <w:pPr>
      <w:numPr>
        <w:numId w:val="7"/>
      </w:numPr>
      <w:contextualSpacing/>
    </w:pPr>
  </w:style>
  <w:style w:type="paragraph" w:styleId="ListContinue">
    <w:name w:val="List Continue"/>
    <w:basedOn w:val="Normal"/>
    <w:uiPriority w:val="99"/>
    <w:semiHidden/>
    <w:unhideWhenUsed/>
    <w:rsid w:val="00AA1D15"/>
    <w:pPr>
      <w:ind w:left="283"/>
      <w:contextualSpacing/>
    </w:pPr>
  </w:style>
  <w:style w:type="paragraph" w:styleId="ListContinue2">
    <w:name w:val="List Continue 2"/>
    <w:basedOn w:val="Normal"/>
    <w:uiPriority w:val="99"/>
    <w:semiHidden/>
    <w:unhideWhenUsed/>
    <w:rsid w:val="00AA1D15"/>
    <w:pPr>
      <w:ind w:left="566"/>
      <w:contextualSpacing/>
    </w:pPr>
  </w:style>
  <w:style w:type="paragraph" w:styleId="ListContinue3">
    <w:name w:val="List Continue 3"/>
    <w:basedOn w:val="Normal"/>
    <w:uiPriority w:val="99"/>
    <w:semiHidden/>
    <w:unhideWhenUsed/>
    <w:rsid w:val="00AA1D15"/>
    <w:pPr>
      <w:ind w:left="849"/>
      <w:contextualSpacing/>
    </w:pPr>
  </w:style>
  <w:style w:type="paragraph" w:styleId="ListContinue4">
    <w:name w:val="List Continue 4"/>
    <w:basedOn w:val="Normal"/>
    <w:uiPriority w:val="99"/>
    <w:semiHidden/>
    <w:unhideWhenUsed/>
    <w:rsid w:val="00AA1D15"/>
    <w:pPr>
      <w:ind w:left="1132"/>
      <w:contextualSpacing/>
    </w:pPr>
  </w:style>
  <w:style w:type="paragraph" w:styleId="ListContinue5">
    <w:name w:val="List Continue 5"/>
    <w:basedOn w:val="Normal"/>
    <w:uiPriority w:val="99"/>
    <w:semiHidden/>
    <w:unhideWhenUsed/>
    <w:rsid w:val="00AA1D15"/>
    <w:pPr>
      <w:ind w:left="1415"/>
      <w:contextualSpacing/>
    </w:pPr>
  </w:style>
  <w:style w:type="paragraph" w:styleId="ListNumber">
    <w:name w:val="List Number"/>
    <w:basedOn w:val="Normal"/>
    <w:uiPriority w:val="99"/>
    <w:semiHidden/>
    <w:unhideWhenUsed/>
    <w:rsid w:val="00AA1D15"/>
    <w:pPr>
      <w:numPr>
        <w:numId w:val="8"/>
      </w:numPr>
      <w:contextualSpacing/>
    </w:pPr>
  </w:style>
  <w:style w:type="paragraph" w:styleId="ListNumber2">
    <w:name w:val="List Number 2"/>
    <w:basedOn w:val="Normal"/>
    <w:uiPriority w:val="99"/>
    <w:semiHidden/>
    <w:unhideWhenUsed/>
    <w:rsid w:val="00AA1D15"/>
    <w:pPr>
      <w:numPr>
        <w:numId w:val="9"/>
      </w:numPr>
      <w:contextualSpacing/>
    </w:pPr>
  </w:style>
  <w:style w:type="paragraph" w:styleId="ListNumber3">
    <w:name w:val="List Number 3"/>
    <w:basedOn w:val="Normal"/>
    <w:uiPriority w:val="99"/>
    <w:semiHidden/>
    <w:unhideWhenUsed/>
    <w:rsid w:val="00AA1D15"/>
    <w:pPr>
      <w:numPr>
        <w:numId w:val="10"/>
      </w:numPr>
      <w:contextualSpacing/>
    </w:pPr>
  </w:style>
  <w:style w:type="paragraph" w:styleId="ListNumber4">
    <w:name w:val="List Number 4"/>
    <w:basedOn w:val="Normal"/>
    <w:uiPriority w:val="99"/>
    <w:semiHidden/>
    <w:unhideWhenUsed/>
    <w:rsid w:val="00AA1D15"/>
    <w:pPr>
      <w:numPr>
        <w:numId w:val="11"/>
      </w:numPr>
      <w:contextualSpacing/>
    </w:pPr>
  </w:style>
  <w:style w:type="paragraph" w:styleId="ListNumber5">
    <w:name w:val="List Number 5"/>
    <w:basedOn w:val="Normal"/>
    <w:uiPriority w:val="99"/>
    <w:semiHidden/>
    <w:unhideWhenUsed/>
    <w:rsid w:val="00AA1D15"/>
    <w:pPr>
      <w:numPr>
        <w:numId w:val="12"/>
      </w:numPr>
      <w:contextualSpacing/>
    </w:pPr>
  </w:style>
  <w:style w:type="paragraph" w:styleId="MacroText">
    <w:name w:val="macro"/>
    <w:link w:val="MacroTextChar"/>
    <w:uiPriority w:val="99"/>
    <w:semiHidden/>
    <w:unhideWhenUsed/>
    <w:rsid w:val="00AA1D15"/>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character" w:customStyle="1" w:styleId="MacroTextChar">
    <w:name w:val="Macro Text Char"/>
    <w:basedOn w:val="DefaultParagraphFont"/>
    <w:link w:val="MacroText"/>
    <w:uiPriority w:val="99"/>
    <w:semiHidden/>
    <w:rsid w:val="00AA1D15"/>
    <w:rPr>
      <w:rFonts w:ascii="Consolas" w:hAnsi="Consolas"/>
    </w:rPr>
  </w:style>
  <w:style w:type="paragraph" w:styleId="MessageHeader">
    <w:name w:val="Message Header"/>
    <w:basedOn w:val="Normal"/>
    <w:link w:val="MessageHeaderChar"/>
    <w:uiPriority w:val="99"/>
    <w:semiHidden/>
    <w:unhideWhenUsed/>
    <w:rsid w:val="00AA1D15"/>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AA1D15"/>
    <w:rPr>
      <w:rFonts w:asciiTheme="majorHAnsi" w:eastAsiaTheme="majorEastAsia" w:hAnsiTheme="majorHAnsi" w:cstheme="majorBidi"/>
      <w:sz w:val="24"/>
      <w:szCs w:val="24"/>
      <w:shd w:val="pct20" w:color="auto" w:fill="auto"/>
    </w:rPr>
  </w:style>
  <w:style w:type="paragraph" w:styleId="NoSpacing">
    <w:name w:val="No Spacing"/>
    <w:uiPriority w:val="1"/>
    <w:qFormat/>
    <w:rsid w:val="00AA1D15"/>
  </w:style>
  <w:style w:type="paragraph" w:styleId="NormalIndent">
    <w:name w:val="Normal Indent"/>
    <w:basedOn w:val="Normal"/>
    <w:uiPriority w:val="99"/>
    <w:semiHidden/>
    <w:unhideWhenUsed/>
    <w:rsid w:val="00AA1D15"/>
    <w:pPr>
      <w:ind w:left="720"/>
    </w:pPr>
  </w:style>
  <w:style w:type="paragraph" w:styleId="NoteHeading">
    <w:name w:val="Note Heading"/>
    <w:basedOn w:val="Normal"/>
    <w:next w:val="Normal"/>
    <w:link w:val="NoteHeadingChar"/>
    <w:uiPriority w:val="99"/>
    <w:semiHidden/>
    <w:unhideWhenUsed/>
    <w:rsid w:val="00AA1D15"/>
    <w:pPr>
      <w:spacing w:after="0"/>
    </w:pPr>
  </w:style>
  <w:style w:type="character" w:customStyle="1" w:styleId="NoteHeadingChar">
    <w:name w:val="Note Heading Char"/>
    <w:basedOn w:val="DefaultParagraphFont"/>
    <w:link w:val="NoteHeading"/>
    <w:uiPriority w:val="99"/>
    <w:semiHidden/>
    <w:rsid w:val="00AA1D15"/>
  </w:style>
  <w:style w:type="paragraph" w:styleId="PlainText">
    <w:name w:val="Plain Text"/>
    <w:basedOn w:val="Normal"/>
    <w:link w:val="PlainTextChar"/>
    <w:uiPriority w:val="99"/>
    <w:semiHidden/>
    <w:unhideWhenUsed/>
    <w:rsid w:val="00AA1D15"/>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AA1D15"/>
    <w:rPr>
      <w:rFonts w:ascii="Consolas" w:hAnsi="Consolas"/>
      <w:sz w:val="21"/>
      <w:szCs w:val="21"/>
    </w:rPr>
  </w:style>
  <w:style w:type="paragraph" w:styleId="Quote">
    <w:name w:val="Quote"/>
    <w:basedOn w:val="Normal"/>
    <w:next w:val="Normal"/>
    <w:link w:val="QuoteChar"/>
    <w:uiPriority w:val="29"/>
    <w:qFormat/>
    <w:rsid w:val="00AA1D15"/>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AA1D15"/>
    <w:rPr>
      <w:i/>
      <w:iCs/>
      <w:color w:val="404040" w:themeColor="text1" w:themeTint="BF"/>
    </w:rPr>
  </w:style>
  <w:style w:type="paragraph" w:styleId="Salutation">
    <w:name w:val="Salutation"/>
    <w:basedOn w:val="Normal"/>
    <w:next w:val="Normal"/>
    <w:link w:val="SalutationChar"/>
    <w:uiPriority w:val="99"/>
    <w:semiHidden/>
    <w:unhideWhenUsed/>
    <w:rsid w:val="00AA1D15"/>
  </w:style>
  <w:style w:type="character" w:customStyle="1" w:styleId="SalutationChar">
    <w:name w:val="Salutation Char"/>
    <w:basedOn w:val="DefaultParagraphFont"/>
    <w:link w:val="Salutation"/>
    <w:uiPriority w:val="99"/>
    <w:semiHidden/>
    <w:rsid w:val="00AA1D15"/>
  </w:style>
  <w:style w:type="paragraph" w:styleId="Signature">
    <w:name w:val="Signature"/>
    <w:basedOn w:val="Normal"/>
    <w:link w:val="SignatureChar"/>
    <w:uiPriority w:val="99"/>
    <w:semiHidden/>
    <w:unhideWhenUsed/>
    <w:rsid w:val="00AA1D15"/>
    <w:pPr>
      <w:spacing w:after="0"/>
      <w:ind w:left="4252"/>
    </w:pPr>
  </w:style>
  <w:style w:type="character" w:customStyle="1" w:styleId="SignatureChar">
    <w:name w:val="Signature Char"/>
    <w:basedOn w:val="DefaultParagraphFont"/>
    <w:link w:val="Signature"/>
    <w:uiPriority w:val="99"/>
    <w:semiHidden/>
    <w:rsid w:val="00AA1D15"/>
  </w:style>
  <w:style w:type="paragraph" w:styleId="Subtitle0">
    <w:name w:val="Subtitle"/>
    <w:basedOn w:val="Normal"/>
    <w:next w:val="Normal"/>
    <w:link w:val="SubtitleChar"/>
    <w:uiPriority w:val="11"/>
    <w:qFormat/>
    <w:rsid w:val="00AA1D15"/>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0"/>
    <w:uiPriority w:val="11"/>
    <w:rsid w:val="00AA1D15"/>
    <w:rPr>
      <w:rFonts w:asciiTheme="minorHAnsi" w:eastAsiaTheme="minorEastAsia" w:hAnsiTheme="minorHAnsi" w:cstheme="minorBidi"/>
      <w:color w:val="5A5A5A" w:themeColor="text1" w:themeTint="A5"/>
      <w:spacing w:val="15"/>
      <w:sz w:val="22"/>
      <w:szCs w:val="22"/>
    </w:rPr>
  </w:style>
  <w:style w:type="paragraph" w:styleId="TableofAuthorities">
    <w:name w:val="table of authorities"/>
    <w:basedOn w:val="Normal"/>
    <w:next w:val="Normal"/>
    <w:uiPriority w:val="99"/>
    <w:semiHidden/>
    <w:unhideWhenUsed/>
    <w:rsid w:val="00AA1D15"/>
    <w:pPr>
      <w:spacing w:after="0"/>
      <w:ind w:left="200" w:hanging="200"/>
    </w:pPr>
  </w:style>
  <w:style w:type="paragraph" w:styleId="TableofFigures">
    <w:name w:val="table of figures"/>
    <w:basedOn w:val="Normal"/>
    <w:next w:val="Normal"/>
    <w:uiPriority w:val="99"/>
    <w:semiHidden/>
    <w:unhideWhenUsed/>
    <w:rsid w:val="00AA1D15"/>
    <w:pPr>
      <w:spacing w:after="0"/>
    </w:pPr>
  </w:style>
  <w:style w:type="paragraph" w:styleId="Title">
    <w:name w:val="Title"/>
    <w:basedOn w:val="Normal"/>
    <w:next w:val="Normal"/>
    <w:link w:val="TitleChar"/>
    <w:uiPriority w:val="10"/>
    <w:qFormat/>
    <w:rsid w:val="00AA1D15"/>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1D15"/>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AA1D15"/>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AA1D15"/>
    <w:pPr>
      <w:spacing w:after="100"/>
    </w:pPr>
  </w:style>
  <w:style w:type="paragraph" w:styleId="TOC2">
    <w:name w:val="toc 2"/>
    <w:basedOn w:val="Normal"/>
    <w:next w:val="Normal"/>
    <w:autoRedefine/>
    <w:uiPriority w:val="39"/>
    <w:semiHidden/>
    <w:unhideWhenUsed/>
    <w:rsid w:val="00AA1D15"/>
    <w:pPr>
      <w:spacing w:after="100"/>
      <w:ind w:left="200"/>
    </w:pPr>
  </w:style>
  <w:style w:type="paragraph" w:styleId="TOC3">
    <w:name w:val="toc 3"/>
    <w:basedOn w:val="Normal"/>
    <w:next w:val="Normal"/>
    <w:autoRedefine/>
    <w:uiPriority w:val="39"/>
    <w:semiHidden/>
    <w:unhideWhenUsed/>
    <w:rsid w:val="00AA1D15"/>
    <w:pPr>
      <w:spacing w:after="100"/>
      <w:ind w:left="400"/>
    </w:pPr>
  </w:style>
  <w:style w:type="paragraph" w:styleId="TOC4">
    <w:name w:val="toc 4"/>
    <w:basedOn w:val="Normal"/>
    <w:next w:val="Normal"/>
    <w:autoRedefine/>
    <w:uiPriority w:val="39"/>
    <w:semiHidden/>
    <w:unhideWhenUsed/>
    <w:rsid w:val="00AA1D15"/>
    <w:pPr>
      <w:spacing w:after="100"/>
      <w:ind w:left="600"/>
    </w:pPr>
  </w:style>
  <w:style w:type="paragraph" w:styleId="TOC5">
    <w:name w:val="toc 5"/>
    <w:basedOn w:val="Normal"/>
    <w:next w:val="Normal"/>
    <w:autoRedefine/>
    <w:uiPriority w:val="39"/>
    <w:semiHidden/>
    <w:unhideWhenUsed/>
    <w:rsid w:val="00AA1D15"/>
    <w:pPr>
      <w:spacing w:after="100"/>
      <w:ind w:left="800"/>
    </w:pPr>
  </w:style>
  <w:style w:type="paragraph" w:styleId="TOC6">
    <w:name w:val="toc 6"/>
    <w:basedOn w:val="Normal"/>
    <w:next w:val="Normal"/>
    <w:autoRedefine/>
    <w:uiPriority w:val="39"/>
    <w:semiHidden/>
    <w:unhideWhenUsed/>
    <w:rsid w:val="00AA1D15"/>
    <w:pPr>
      <w:spacing w:after="100"/>
      <w:ind w:left="1000"/>
    </w:pPr>
  </w:style>
  <w:style w:type="paragraph" w:styleId="TOC7">
    <w:name w:val="toc 7"/>
    <w:basedOn w:val="Normal"/>
    <w:next w:val="Normal"/>
    <w:autoRedefine/>
    <w:uiPriority w:val="39"/>
    <w:semiHidden/>
    <w:unhideWhenUsed/>
    <w:rsid w:val="00AA1D15"/>
    <w:pPr>
      <w:spacing w:after="100"/>
      <w:ind w:left="1200"/>
    </w:pPr>
  </w:style>
  <w:style w:type="paragraph" w:styleId="TOC8">
    <w:name w:val="toc 8"/>
    <w:basedOn w:val="Normal"/>
    <w:next w:val="Normal"/>
    <w:autoRedefine/>
    <w:uiPriority w:val="39"/>
    <w:semiHidden/>
    <w:unhideWhenUsed/>
    <w:rsid w:val="00AA1D15"/>
    <w:pPr>
      <w:spacing w:after="100"/>
      <w:ind w:left="1400"/>
    </w:pPr>
  </w:style>
  <w:style w:type="paragraph" w:styleId="TOC9">
    <w:name w:val="toc 9"/>
    <w:basedOn w:val="Normal"/>
    <w:next w:val="Normal"/>
    <w:autoRedefine/>
    <w:uiPriority w:val="39"/>
    <w:semiHidden/>
    <w:unhideWhenUsed/>
    <w:rsid w:val="00AA1D15"/>
    <w:pPr>
      <w:spacing w:after="100"/>
      <w:ind w:left="1600"/>
    </w:pPr>
  </w:style>
  <w:style w:type="paragraph" w:styleId="TOCHeading">
    <w:name w:val="TOC Heading"/>
    <w:basedOn w:val="Heading1"/>
    <w:next w:val="Normal"/>
    <w:uiPriority w:val="39"/>
    <w:semiHidden/>
    <w:unhideWhenUsed/>
    <w:qFormat/>
    <w:rsid w:val="00AA1D15"/>
    <w:pPr>
      <w:spacing w:before="240"/>
      <w:outlineLvl w:val="9"/>
    </w:pPr>
    <w:rPr>
      <w:rFonts w:asciiTheme="majorHAnsi" w:hAnsiTheme="majorHAnsi"/>
      <w:bCs w:val="0"/>
      <w:color w:val="00568D"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3000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hart" Target="charts/chart5.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hart" Target="charts/chart4.xm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2.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 Id="rId22" Type="http://schemas.openxmlformats.org/officeDocument/2006/relationships/header" Target="header6.xml"/></Relationships>
</file>

<file path=word/_rels/footnotes.xml.rels><?xml version="1.0" encoding="UTF-8" standalone="yes"?>
<Relationships xmlns="http://schemas.openxmlformats.org/package/2006/relationships"><Relationship Id="rId1" Type="http://schemas.openxmlformats.org/officeDocument/2006/relationships/hyperlink" Target="http://research.treasury.gov.au/treasury-working-paper/2017-02/"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olympus.treasury.gov\SAS\Models$\TAD\Models\MARIA\Developer%20Environment\Scenarios\project_01\stdout\Charts%20(new).xlsx" TargetMode="External"/></Relationships>
</file>

<file path=word/charts/_rels/chart2.xml.rels><?xml version="1.0" encoding="UTF-8" standalone="yes"?>
<Relationships xmlns="http://schemas.openxmlformats.org/package/2006/relationships"><Relationship Id="rId3" Type="http://schemas.openxmlformats.org/officeDocument/2006/relationships/chartUserShapes" Target="../drawings/drawing2.xml"/><Relationship Id="rId2" Type="http://schemas.openxmlformats.org/officeDocument/2006/relationships/oleObject" Target="file:///\\olympus.treasury.gov\SAS\Models$\TAD\Models\MARIA\Developer%20Environment\Scenarios\project_01\stdout\Charts%20(new).xlsx" TargetMode="External"/><Relationship Id="rId1" Type="http://schemas.openxmlformats.org/officeDocument/2006/relationships/themeOverride" Target="../theme/themeOverride1.xml"/></Relationships>
</file>

<file path=word/charts/_rels/chart3.xml.rels><?xml version="1.0" encoding="UTF-8" standalone="yes"?>
<Relationships xmlns="http://schemas.openxmlformats.org/package/2006/relationships"><Relationship Id="rId3" Type="http://schemas.openxmlformats.org/officeDocument/2006/relationships/chartUserShapes" Target="../drawings/drawing3.xml"/><Relationship Id="rId2" Type="http://schemas.openxmlformats.org/officeDocument/2006/relationships/oleObject" Target="file:///\\olympus.treasury.gov\SAS\Models$\TAD\Models\MARIA\Developer%20Environment\Scenarios\project_01\stdout\Charts%20(new).xlsx" TargetMode="External"/><Relationship Id="rId1" Type="http://schemas.openxmlformats.org/officeDocument/2006/relationships/themeOverride" Target="../theme/themeOverride2.xml"/></Relationships>
</file>

<file path=word/charts/_rels/chart4.xml.rels><?xml version="1.0" encoding="UTF-8" standalone="yes"?>
<Relationships xmlns="http://schemas.openxmlformats.org/package/2006/relationships"><Relationship Id="rId3" Type="http://schemas.openxmlformats.org/officeDocument/2006/relationships/chartUserShapes" Target="../drawings/drawing4.xml"/><Relationship Id="rId2" Type="http://schemas.openxmlformats.org/officeDocument/2006/relationships/oleObject" Target="file:///\\olympus.treasury.gov\SAS\Models$\TAD\Models\MARIA\Developer%20Environment\Scenarios\project_01\stdout\Charts%20(new).xlsx" TargetMode="External"/><Relationship Id="rId1" Type="http://schemas.openxmlformats.org/officeDocument/2006/relationships/themeOverride" Target="../theme/themeOverride3.xml"/></Relationships>
</file>

<file path=word/charts/_rels/chart5.xml.rels><?xml version="1.0" encoding="UTF-8" standalone="yes"?>
<Relationships xmlns="http://schemas.openxmlformats.org/package/2006/relationships"><Relationship Id="rId3" Type="http://schemas.openxmlformats.org/officeDocument/2006/relationships/chartUserShapes" Target="../drawings/drawing5.xml"/><Relationship Id="rId2" Type="http://schemas.openxmlformats.org/officeDocument/2006/relationships/oleObject" Target="file:///\\olympus.treasury.gov\SAS\Models$\TAD\Models\MARIA\Developer%20Environment\Scenarios\project_01\stdout\20190911%20Charts%20(new).xlsx" TargetMode="External"/><Relationship Id="rId1" Type="http://schemas.openxmlformats.org/officeDocument/2006/relationships/themeOverride" Target="../theme/themeOverrid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4628494623655913E-2"/>
          <c:y val="7.2911507936507941E-2"/>
          <c:w val="0.87757096774193544"/>
          <c:h val="0.84513492063492068"/>
        </c:manualLayout>
      </c:layout>
      <c:lineChart>
        <c:grouping val="standard"/>
        <c:varyColors val="0"/>
        <c:ser>
          <c:idx val="2"/>
          <c:order val="0"/>
          <c:tx>
            <c:v>10% increase</c:v>
          </c:tx>
          <c:spPr>
            <a:ln w="22225">
              <a:solidFill>
                <a:schemeClr val="tx1">
                  <a:lumMod val="95000"/>
                  <a:lumOff val="5000"/>
                </a:schemeClr>
              </a:solidFill>
            </a:ln>
          </c:spPr>
          <c:marker>
            <c:symbol val="none"/>
          </c:marker>
          <c:cat>
            <c:numRef>
              <c:f>'PR comparison'!$C$1:$AV$1</c:f>
              <c:numCache>
                <c:formatCode>General</c:formatCode>
                <c:ptCount val="46"/>
                <c:pt idx="0">
                  <c:v>2015</c:v>
                </c:pt>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pt idx="27">
                  <c:v>2042</c:v>
                </c:pt>
                <c:pt idx="28">
                  <c:v>2043</c:v>
                </c:pt>
                <c:pt idx="29">
                  <c:v>2044</c:v>
                </c:pt>
                <c:pt idx="30">
                  <c:v>2045</c:v>
                </c:pt>
                <c:pt idx="31">
                  <c:v>2046</c:v>
                </c:pt>
                <c:pt idx="32">
                  <c:v>2047</c:v>
                </c:pt>
                <c:pt idx="33">
                  <c:v>2048</c:v>
                </c:pt>
                <c:pt idx="34">
                  <c:v>2049</c:v>
                </c:pt>
                <c:pt idx="35">
                  <c:v>2050</c:v>
                </c:pt>
                <c:pt idx="36">
                  <c:v>2051</c:v>
                </c:pt>
                <c:pt idx="37">
                  <c:v>2052</c:v>
                </c:pt>
                <c:pt idx="38">
                  <c:v>2053</c:v>
                </c:pt>
                <c:pt idx="39">
                  <c:v>2054</c:v>
                </c:pt>
                <c:pt idx="40">
                  <c:v>2055</c:v>
                </c:pt>
                <c:pt idx="41">
                  <c:v>2056</c:v>
                </c:pt>
                <c:pt idx="42">
                  <c:v>2057</c:v>
                </c:pt>
                <c:pt idx="43">
                  <c:v>2058</c:v>
                </c:pt>
                <c:pt idx="44">
                  <c:v>2059</c:v>
                </c:pt>
                <c:pt idx="45">
                  <c:v>2060</c:v>
                </c:pt>
              </c:numCache>
            </c:numRef>
          </c:cat>
          <c:val>
            <c:numRef>
              <c:f>'PR comparison'!$C$4:$AV$4</c:f>
              <c:numCache>
                <c:formatCode>General</c:formatCode>
                <c:ptCount val="46"/>
                <c:pt idx="0">
                  <c:v>56.940463536598827</c:v>
                </c:pt>
                <c:pt idx="1">
                  <c:v>57.621950412996668</c:v>
                </c:pt>
                <c:pt idx="2">
                  <c:v>57.692183502077519</c:v>
                </c:pt>
                <c:pt idx="3">
                  <c:v>58.5363133755612</c:v>
                </c:pt>
                <c:pt idx="4">
                  <c:v>57.731425879084654</c:v>
                </c:pt>
                <c:pt idx="5">
                  <c:v>58.062186994643248</c:v>
                </c:pt>
                <c:pt idx="6">
                  <c:v>58.298525902643242</c:v>
                </c:pt>
                <c:pt idx="7">
                  <c:v>58.505936678046879</c:v>
                </c:pt>
                <c:pt idx="8">
                  <c:v>58.641165763419586</c:v>
                </c:pt>
                <c:pt idx="9">
                  <c:v>58.783627323262387</c:v>
                </c:pt>
                <c:pt idx="10">
                  <c:v>58.84274310722811</c:v>
                </c:pt>
                <c:pt idx="11">
                  <c:v>58.830058092021261</c:v>
                </c:pt>
                <c:pt idx="12">
                  <c:v>59.021772336327203</c:v>
                </c:pt>
                <c:pt idx="13">
                  <c:v>59.191402983560714</c:v>
                </c:pt>
                <c:pt idx="14">
                  <c:v>59.363063060760709</c:v>
                </c:pt>
                <c:pt idx="15">
                  <c:v>59.54065190851702</c:v>
                </c:pt>
                <c:pt idx="16">
                  <c:v>59.711349839454485</c:v>
                </c:pt>
                <c:pt idx="17">
                  <c:v>59.914501007435341</c:v>
                </c:pt>
                <c:pt idx="18">
                  <c:v>60.143538899865192</c:v>
                </c:pt>
                <c:pt idx="19">
                  <c:v>60.377313946261744</c:v>
                </c:pt>
                <c:pt idx="20">
                  <c:v>60.616812053343224</c:v>
                </c:pt>
                <c:pt idx="21">
                  <c:v>60.506681997206883</c:v>
                </c:pt>
                <c:pt idx="22">
                  <c:v>60.406096507291906</c:v>
                </c:pt>
                <c:pt idx="23">
                  <c:v>60.314897600976323</c:v>
                </c:pt>
                <c:pt idx="24">
                  <c:v>60.230789859147471</c:v>
                </c:pt>
                <c:pt idx="25">
                  <c:v>60.144809189208267</c:v>
                </c:pt>
                <c:pt idx="26">
                  <c:v>60.056146606824903</c:v>
                </c:pt>
                <c:pt idx="27">
                  <c:v>59.986439206097231</c:v>
                </c:pt>
                <c:pt idx="28">
                  <c:v>59.883220845047305</c:v>
                </c:pt>
                <c:pt idx="29">
                  <c:v>59.797900756176823</c:v>
                </c:pt>
                <c:pt idx="30">
                  <c:v>59.713573956397681</c:v>
                </c:pt>
                <c:pt idx="31">
                  <c:v>59.630672551189875</c:v>
                </c:pt>
                <c:pt idx="32">
                  <c:v>59.548415478486817</c:v>
                </c:pt>
                <c:pt idx="33">
                  <c:v>59.460593347186432</c:v>
                </c:pt>
                <c:pt idx="34">
                  <c:v>59.364436953669475</c:v>
                </c:pt>
                <c:pt idx="35">
                  <c:v>59.259378820196204</c:v>
                </c:pt>
                <c:pt idx="36">
                  <c:v>59.14691187803971</c:v>
                </c:pt>
                <c:pt idx="37">
                  <c:v>59.029415682923428</c:v>
                </c:pt>
                <c:pt idx="38">
                  <c:v>58.904753950257707</c:v>
                </c:pt>
                <c:pt idx="39">
                  <c:v>58.771006448571029</c:v>
                </c:pt>
                <c:pt idx="40">
                  <c:v>58.630261619418434</c:v>
                </c:pt>
                <c:pt idx="41">
                  <c:v>58.486412445852679</c:v>
                </c:pt>
                <c:pt idx="42">
                  <c:v>58.340980616070063</c:v>
                </c:pt>
                <c:pt idx="43">
                  <c:v>58.196055491230169</c:v>
                </c:pt>
                <c:pt idx="44">
                  <c:v>58.053754213771789</c:v>
                </c:pt>
                <c:pt idx="45">
                  <c:v>57.915099833329634</c:v>
                </c:pt>
              </c:numCache>
            </c:numRef>
          </c:val>
          <c:smooth val="0"/>
          <c:extLst>
            <c:ext xmlns:c16="http://schemas.microsoft.com/office/drawing/2014/chart" uri="{C3380CC4-5D6E-409C-BE32-E72D297353CC}">
              <c16:uniqueId val="{00000000-7230-4DCB-9145-EF56506C0051}"/>
            </c:ext>
          </c:extLst>
        </c:ser>
        <c:dLbls>
          <c:showLegendKey val="0"/>
          <c:showVal val="0"/>
          <c:showCatName val="0"/>
          <c:showSerName val="0"/>
          <c:showPercent val="0"/>
          <c:showBubbleSize val="0"/>
        </c:dLbls>
        <c:marker val="1"/>
        <c:smooth val="0"/>
        <c:axId val="34785536"/>
        <c:axId val="115408896"/>
      </c:lineChart>
      <c:lineChart>
        <c:grouping val="standard"/>
        <c:varyColors val="0"/>
        <c:ser>
          <c:idx val="3"/>
          <c:order val="1"/>
          <c:tx>
            <c:strRef>
              <c:f>'PR comparison'!$A$5</c:f>
              <c:strCache>
                <c:ptCount val="1"/>
                <c:pt idx="0">
                  <c:v>Equalisation</c:v>
                </c:pt>
              </c:strCache>
            </c:strRef>
          </c:tx>
          <c:spPr>
            <a:ln w="22225">
              <a:solidFill>
                <a:srgbClr val="0070C0"/>
              </a:solidFill>
            </a:ln>
          </c:spPr>
          <c:marker>
            <c:symbol val="none"/>
          </c:marker>
          <c:cat>
            <c:numRef>
              <c:f>'PR comparison'!$C$1:$AV$1</c:f>
              <c:numCache>
                <c:formatCode>General</c:formatCode>
                <c:ptCount val="46"/>
                <c:pt idx="0">
                  <c:v>2015</c:v>
                </c:pt>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pt idx="27">
                  <c:v>2042</c:v>
                </c:pt>
                <c:pt idx="28">
                  <c:v>2043</c:v>
                </c:pt>
                <c:pt idx="29">
                  <c:v>2044</c:v>
                </c:pt>
                <c:pt idx="30">
                  <c:v>2045</c:v>
                </c:pt>
                <c:pt idx="31">
                  <c:v>2046</c:v>
                </c:pt>
                <c:pt idx="32">
                  <c:v>2047</c:v>
                </c:pt>
                <c:pt idx="33">
                  <c:v>2048</c:v>
                </c:pt>
                <c:pt idx="34">
                  <c:v>2049</c:v>
                </c:pt>
                <c:pt idx="35">
                  <c:v>2050</c:v>
                </c:pt>
                <c:pt idx="36">
                  <c:v>2051</c:v>
                </c:pt>
                <c:pt idx="37">
                  <c:v>2052</c:v>
                </c:pt>
                <c:pt idx="38">
                  <c:v>2053</c:v>
                </c:pt>
                <c:pt idx="39">
                  <c:v>2054</c:v>
                </c:pt>
                <c:pt idx="40">
                  <c:v>2055</c:v>
                </c:pt>
                <c:pt idx="41">
                  <c:v>2056</c:v>
                </c:pt>
                <c:pt idx="42">
                  <c:v>2057</c:v>
                </c:pt>
                <c:pt idx="43">
                  <c:v>2058</c:v>
                </c:pt>
                <c:pt idx="44">
                  <c:v>2059</c:v>
                </c:pt>
                <c:pt idx="45">
                  <c:v>2060</c:v>
                </c:pt>
              </c:numCache>
            </c:numRef>
          </c:cat>
          <c:val>
            <c:numRef>
              <c:f>'PR comparison'!$C$5:$AV$5</c:f>
              <c:numCache>
                <c:formatCode>General</c:formatCode>
                <c:ptCount val="46"/>
                <c:pt idx="0">
                  <c:v>56.940463536598827</c:v>
                </c:pt>
                <c:pt idx="1">
                  <c:v>57.621950412996668</c:v>
                </c:pt>
                <c:pt idx="2">
                  <c:v>57.692183502077519</c:v>
                </c:pt>
                <c:pt idx="3">
                  <c:v>58.5363133755612</c:v>
                </c:pt>
                <c:pt idx="4">
                  <c:v>57.731425879084654</c:v>
                </c:pt>
                <c:pt idx="5">
                  <c:v>69.866273092666205</c:v>
                </c:pt>
                <c:pt idx="6">
                  <c:v>69.703300461344554</c:v>
                </c:pt>
                <c:pt idx="7">
                  <c:v>69.516018101196508</c:v>
                </c:pt>
                <c:pt idx="8">
                  <c:v>69.234308012335845</c:v>
                </c:pt>
                <c:pt idx="9">
                  <c:v>68.985527428183616</c:v>
                </c:pt>
                <c:pt idx="10">
                  <c:v>68.647847946847662</c:v>
                </c:pt>
                <c:pt idx="11">
                  <c:v>68.215643257260012</c:v>
                </c:pt>
                <c:pt idx="12">
                  <c:v>68.032794094671686</c:v>
                </c:pt>
                <c:pt idx="13">
                  <c:v>67.818293651846133</c:v>
                </c:pt>
                <c:pt idx="14">
                  <c:v>67.59312625746125</c:v>
                </c:pt>
                <c:pt idx="15">
                  <c:v>67.382001467115643</c:v>
                </c:pt>
                <c:pt idx="16">
                  <c:v>67.16531801679993</c:v>
                </c:pt>
                <c:pt idx="17">
                  <c:v>66.982927836684198</c:v>
                </c:pt>
                <c:pt idx="18">
                  <c:v>66.825703281399029</c:v>
                </c:pt>
                <c:pt idx="19">
                  <c:v>66.663063701340292</c:v>
                </c:pt>
                <c:pt idx="20">
                  <c:v>66.510116487983453</c:v>
                </c:pt>
                <c:pt idx="21">
                  <c:v>66.373826019508471</c:v>
                </c:pt>
                <c:pt idx="22">
                  <c:v>66.253434496665889</c:v>
                </c:pt>
                <c:pt idx="23">
                  <c:v>66.14508047185322</c:v>
                </c:pt>
                <c:pt idx="24">
                  <c:v>66.047406519971688</c:v>
                </c:pt>
                <c:pt idx="25">
                  <c:v>65.946112866270553</c:v>
                </c:pt>
                <c:pt idx="26">
                  <c:v>65.845950025109232</c:v>
                </c:pt>
                <c:pt idx="27">
                  <c:v>65.776320001503322</c:v>
                </c:pt>
                <c:pt idx="28">
                  <c:v>65.677452445319034</c:v>
                </c:pt>
                <c:pt idx="29">
                  <c:v>65.601954964471503</c:v>
                </c:pt>
                <c:pt idx="30">
                  <c:v>65.533836075901434</c:v>
                </c:pt>
                <c:pt idx="31">
                  <c:v>65.470831762298374</c:v>
                </c:pt>
                <c:pt idx="32">
                  <c:v>65.409145482614534</c:v>
                </c:pt>
                <c:pt idx="33">
                  <c:v>65.344127897114461</c:v>
                </c:pt>
                <c:pt idx="34">
                  <c:v>65.275039476619284</c:v>
                </c:pt>
                <c:pt idx="35">
                  <c:v>65.196607738582941</c:v>
                </c:pt>
                <c:pt idx="36">
                  <c:v>65.104795628194879</c:v>
                </c:pt>
                <c:pt idx="37">
                  <c:v>65.000699481843085</c:v>
                </c:pt>
                <c:pt idx="38">
                  <c:v>64.884225520347613</c:v>
                </c:pt>
                <c:pt idx="39">
                  <c:v>64.760510239439213</c:v>
                </c:pt>
                <c:pt idx="40">
                  <c:v>64.630580153252509</c:v>
                </c:pt>
                <c:pt idx="41">
                  <c:v>64.493669281401608</c:v>
                </c:pt>
                <c:pt idx="42">
                  <c:v>64.355801232215498</c:v>
                </c:pt>
                <c:pt idx="43">
                  <c:v>64.215663267150561</c:v>
                </c:pt>
                <c:pt idx="44">
                  <c:v>64.073485149313115</c:v>
                </c:pt>
                <c:pt idx="45">
                  <c:v>63.933398491711898</c:v>
                </c:pt>
              </c:numCache>
            </c:numRef>
          </c:val>
          <c:smooth val="0"/>
          <c:extLst>
            <c:ext xmlns:c16="http://schemas.microsoft.com/office/drawing/2014/chart" uri="{C3380CC4-5D6E-409C-BE32-E72D297353CC}">
              <c16:uniqueId val="{00000001-7230-4DCB-9145-EF56506C0051}"/>
            </c:ext>
          </c:extLst>
        </c:ser>
        <c:ser>
          <c:idx val="4"/>
          <c:order val="2"/>
          <c:tx>
            <c:v>Offset</c:v>
          </c:tx>
          <c:spPr>
            <a:ln w="22225">
              <a:solidFill>
                <a:srgbClr val="FF0000"/>
              </a:solidFill>
            </a:ln>
          </c:spPr>
          <c:marker>
            <c:symbol val="none"/>
          </c:marker>
          <c:val>
            <c:numRef>
              <c:f>'PR comparison'!$C$6:$AV$6</c:f>
              <c:numCache>
                <c:formatCode>General</c:formatCode>
                <c:ptCount val="46"/>
                <c:pt idx="0">
                  <c:v>56.940463536598827</c:v>
                </c:pt>
                <c:pt idx="1">
                  <c:v>57.621950412996668</c:v>
                </c:pt>
                <c:pt idx="2">
                  <c:v>57.692183502077519</c:v>
                </c:pt>
                <c:pt idx="3">
                  <c:v>58.5363133755612</c:v>
                </c:pt>
                <c:pt idx="4">
                  <c:v>57.731425879084654</c:v>
                </c:pt>
                <c:pt idx="5">
                  <c:v>63.688944289180647</c:v>
                </c:pt>
                <c:pt idx="6">
                  <c:v>63.549386440842447</c:v>
                </c:pt>
                <c:pt idx="7">
                  <c:v>63.383547032003172</c:v>
                </c:pt>
                <c:pt idx="8">
                  <c:v>63.137001779596439</c:v>
                </c:pt>
                <c:pt idx="9">
                  <c:v>62.910386453826206</c:v>
                </c:pt>
                <c:pt idx="10">
                  <c:v>62.599516165600868</c:v>
                </c:pt>
                <c:pt idx="11">
                  <c:v>62.208806887047231</c:v>
                </c:pt>
                <c:pt idx="12">
                  <c:v>62.040902349983405</c:v>
                </c:pt>
                <c:pt idx="13">
                  <c:v>61.847027958199021</c:v>
                </c:pt>
                <c:pt idx="14">
                  <c:v>61.649580746776898</c:v>
                </c:pt>
                <c:pt idx="15">
                  <c:v>61.462190544137954</c:v>
                </c:pt>
                <c:pt idx="16">
                  <c:v>61.268990878185292</c:v>
                </c:pt>
                <c:pt idx="17">
                  <c:v>61.108369044218236</c:v>
                </c:pt>
                <c:pt idx="18">
                  <c:v>60.972563932305015</c:v>
                </c:pt>
                <c:pt idx="19">
                  <c:v>60.8362792504875</c:v>
                </c:pt>
                <c:pt idx="20">
                  <c:v>60.706767706684793</c:v>
                </c:pt>
                <c:pt idx="21">
                  <c:v>60.59123525895189</c:v>
                </c:pt>
                <c:pt idx="22">
                  <c:v>60.487838923281799</c:v>
                </c:pt>
                <c:pt idx="23">
                  <c:v>60.39457456502906</c:v>
                </c:pt>
                <c:pt idx="24">
                  <c:v>60.309537382963597</c:v>
                </c:pt>
                <c:pt idx="25">
                  <c:v>60.221527548200413</c:v>
                </c:pt>
                <c:pt idx="26">
                  <c:v>60.132813484075122</c:v>
                </c:pt>
                <c:pt idx="27">
                  <c:v>60.067991754062753</c:v>
                </c:pt>
                <c:pt idx="28">
                  <c:v>59.973000978464619</c:v>
                </c:pt>
                <c:pt idx="29">
                  <c:v>59.897989832940205</c:v>
                </c:pt>
                <c:pt idx="30">
                  <c:v>59.826960069205313</c:v>
                </c:pt>
                <c:pt idx="31">
                  <c:v>59.758729131023593</c:v>
                </c:pt>
                <c:pt idx="32">
                  <c:v>59.691399874355447</c:v>
                </c:pt>
                <c:pt idx="33">
                  <c:v>59.619900108390098</c:v>
                </c:pt>
                <c:pt idx="34">
                  <c:v>59.542312993316948</c:v>
                </c:pt>
                <c:pt idx="35">
                  <c:v>59.456480442906447</c:v>
                </c:pt>
                <c:pt idx="36">
                  <c:v>59.360980297131697</c:v>
                </c:pt>
                <c:pt idx="37">
                  <c:v>59.257323596572043</c:v>
                </c:pt>
                <c:pt idx="38">
                  <c:v>59.144560947235213</c:v>
                </c:pt>
                <c:pt idx="39">
                  <c:v>59.024075218704354</c:v>
                </c:pt>
                <c:pt idx="40">
                  <c:v>58.897362266875376</c:v>
                </c:pt>
                <c:pt idx="41">
                  <c:v>58.766154108882105</c:v>
                </c:pt>
                <c:pt idx="42">
                  <c:v>58.63383109583625</c:v>
                </c:pt>
                <c:pt idx="43">
                  <c:v>58.500732788101232</c:v>
                </c:pt>
                <c:pt idx="44">
                  <c:v>58.367959395678128</c:v>
                </c:pt>
                <c:pt idx="45">
                  <c:v>58.237619211199302</c:v>
                </c:pt>
              </c:numCache>
            </c:numRef>
          </c:val>
          <c:smooth val="0"/>
          <c:extLst>
            <c:ext xmlns:c16="http://schemas.microsoft.com/office/drawing/2014/chart" uri="{C3380CC4-5D6E-409C-BE32-E72D297353CC}">
              <c16:uniqueId val="{00000002-7230-4DCB-9145-EF56506C0051}"/>
            </c:ext>
          </c:extLst>
        </c:ser>
        <c:ser>
          <c:idx val="0"/>
          <c:order val="3"/>
          <c:tx>
            <c:strRef>
              <c:f>'PR comparison'!$A$2</c:f>
              <c:strCache>
                <c:ptCount val="1"/>
                <c:pt idx="0">
                  <c:v>Baseline</c:v>
                </c:pt>
              </c:strCache>
            </c:strRef>
          </c:tx>
          <c:spPr>
            <a:ln w="22225">
              <a:solidFill>
                <a:sysClr val="windowText" lastClr="000000"/>
              </a:solidFill>
              <a:prstDash val="sysDot"/>
            </a:ln>
          </c:spPr>
          <c:marker>
            <c:symbol val="none"/>
          </c:marker>
          <c:cat>
            <c:numRef>
              <c:f>'PR comparison'!$C$1:$AV$1</c:f>
              <c:numCache>
                <c:formatCode>General</c:formatCode>
                <c:ptCount val="46"/>
                <c:pt idx="0">
                  <c:v>2015</c:v>
                </c:pt>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pt idx="27">
                  <c:v>2042</c:v>
                </c:pt>
                <c:pt idx="28">
                  <c:v>2043</c:v>
                </c:pt>
                <c:pt idx="29">
                  <c:v>2044</c:v>
                </c:pt>
                <c:pt idx="30">
                  <c:v>2045</c:v>
                </c:pt>
                <c:pt idx="31">
                  <c:v>2046</c:v>
                </c:pt>
                <c:pt idx="32">
                  <c:v>2047</c:v>
                </c:pt>
                <c:pt idx="33">
                  <c:v>2048</c:v>
                </c:pt>
                <c:pt idx="34">
                  <c:v>2049</c:v>
                </c:pt>
                <c:pt idx="35">
                  <c:v>2050</c:v>
                </c:pt>
                <c:pt idx="36">
                  <c:v>2051</c:v>
                </c:pt>
                <c:pt idx="37">
                  <c:v>2052</c:v>
                </c:pt>
                <c:pt idx="38">
                  <c:v>2053</c:v>
                </c:pt>
                <c:pt idx="39">
                  <c:v>2054</c:v>
                </c:pt>
                <c:pt idx="40">
                  <c:v>2055</c:v>
                </c:pt>
                <c:pt idx="41">
                  <c:v>2056</c:v>
                </c:pt>
                <c:pt idx="42">
                  <c:v>2057</c:v>
                </c:pt>
                <c:pt idx="43">
                  <c:v>2058</c:v>
                </c:pt>
                <c:pt idx="44">
                  <c:v>2059</c:v>
                </c:pt>
                <c:pt idx="45">
                  <c:v>2060</c:v>
                </c:pt>
              </c:numCache>
            </c:numRef>
          </c:cat>
          <c:val>
            <c:numRef>
              <c:f>'PR comparison'!$C$2:$AV$2</c:f>
              <c:numCache>
                <c:formatCode>General</c:formatCode>
                <c:ptCount val="46"/>
                <c:pt idx="0">
                  <c:v>56.940463536598827</c:v>
                </c:pt>
                <c:pt idx="1">
                  <c:v>57.621950412996668</c:v>
                </c:pt>
                <c:pt idx="2">
                  <c:v>57.692183502077519</c:v>
                </c:pt>
                <c:pt idx="3">
                  <c:v>58.5363133755612</c:v>
                </c:pt>
                <c:pt idx="4">
                  <c:v>57.731425879084654</c:v>
                </c:pt>
                <c:pt idx="5">
                  <c:v>57.717345263192719</c:v>
                </c:pt>
                <c:pt idx="6">
                  <c:v>57.608091534914941</c:v>
                </c:pt>
                <c:pt idx="7">
                  <c:v>57.469683888970444</c:v>
                </c:pt>
                <c:pt idx="8">
                  <c:v>57.260406133077545</c:v>
                </c:pt>
                <c:pt idx="9">
                  <c:v>57.05860731212514</c:v>
                </c:pt>
                <c:pt idx="10">
                  <c:v>56.776766240815405</c:v>
                </c:pt>
                <c:pt idx="11">
                  <c:v>56.427391904393623</c:v>
                </c:pt>
                <c:pt idx="12">
                  <c:v>56.275051873658434</c:v>
                </c:pt>
                <c:pt idx="13">
                  <c:v>56.101600152105881</c:v>
                </c:pt>
                <c:pt idx="14">
                  <c:v>55.930135783916249</c:v>
                </c:pt>
                <c:pt idx="15">
                  <c:v>55.764281949424998</c:v>
                </c:pt>
                <c:pt idx="16">
                  <c:v>55.59200978572332</c:v>
                </c:pt>
                <c:pt idx="17">
                  <c:v>55.449851830654993</c:v>
                </c:pt>
                <c:pt idx="18">
                  <c:v>55.331236968608266</c:v>
                </c:pt>
                <c:pt idx="19">
                  <c:v>55.216407360203043</c:v>
                </c:pt>
                <c:pt idx="20">
                  <c:v>55.10619277576658</c:v>
                </c:pt>
                <c:pt idx="21">
                  <c:v>55.00607454291535</c:v>
                </c:pt>
                <c:pt idx="22">
                  <c:v>54.914633188447183</c:v>
                </c:pt>
                <c:pt idx="23">
                  <c:v>54.83172509179667</c:v>
                </c:pt>
                <c:pt idx="24">
                  <c:v>54.755263508315885</c:v>
                </c:pt>
                <c:pt idx="25">
                  <c:v>54.677099262916627</c:v>
                </c:pt>
                <c:pt idx="26">
                  <c:v>54.596496915295354</c:v>
                </c:pt>
                <c:pt idx="27">
                  <c:v>54.533126550997494</c:v>
                </c:pt>
                <c:pt idx="28">
                  <c:v>54.439291677315737</c:v>
                </c:pt>
                <c:pt idx="29">
                  <c:v>54.361727960160799</c:v>
                </c:pt>
                <c:pt idx="30">
                  <c:v>54.28506723308881</c:v>
                </c:pt>
                <c:pt idx="31">
                  <c:v>54.209702319263585</c:v>
                </c:pt>
                <c:pt idx="32">
                  <c:v>54.134923162260776</c:v>
                </c:pt>
                <c:pt idx="33">
                  <c:v>54.055084861078583</c:v>
                </c:pt>
                <c:pt idx="34">
                  <c:v>53.967669957881355</c:v>
                </c:pt>
                <c:pt idx="35">
                  <c:v>53.872162563814754</c:v>
                </c:pt>
                <c:pt idx="36">
                  <c:v>53.769919889127081</c:v>
                </c:pt>
                <c:pt idx="37">
                  <c:v>53.66310516629401</c:v>
                </c:pt>
                <c:pt idx="38">
                  <c:v>53.549776318416129</c:v>
                </c:pt>
                <c:pt idx="39">
                  <c:v>53.428187680519159</c:v>
                </c:pt>
                <c:pt idx="40">
                  <c:v>53.300237835834949</c:v>
                </c:pt>
                <c:pt idx="41">
                  <c:v>53.169465859866079</c:v>
                </c:pt>
                <c:pt idx="42">
                  <c:v>53.037255105518234</c:v>
                </c:pt>
                <c:pt idx="43">
                  <c:v>52.905504992027417</c:v>
                </c:pt>
                <c:pt idx="44">
                  <c:v>52.776140194338026</c:v>
                </c:pt>
                <c:pt idx="45">
                  <c:v>52.650090757572407</c:v>
                </c:pt>
              </c:numCache>
            </c:numRef>
          </c:val>
          <c:smooth val="0"/>
          <c:extLst>
            <c:ext xmlns:c16="http://schemas.microsoft.com/office/drawing/2014/chart" uri="{C3380CC4-5D6E-409C-BE32-E72D297353CC}">
              <c16:uniqueId val="{00000003-7230-4DCB-9145-EF56506C0051}"/>
            </c:ext>
          </c:extLst>
        </c:ser>
        <c:dLbls>
          <c:showLegendKey val="0"/>
          <c:showVal val="0"/>
          <c:showCatName val="0"/>
          <c:showSerName val="0"/>
          <c:showPercent val="0"/>
          <c:showBubbleSize val="0"/>
        </c:dLbls>
        <c:marker val="1"/>
        <c:smooth val="0"/>
        <c:axId val="115417088"/>
        <c:axId val="115410816"/>
      </c:lineChart>
      <c:catAx>
        <c:axId val="34785536"/>
        <c:scaling>
          <c:orientation val="minMax"/>
        </c:scaling>
        <c:delete val="0"/>
        <c:axPos val="b"/>
        <c:numFmt formatCode="General" sourceLinked="1"/>
        <c:majorTickMark val="in"/>
        <c:minorTickMark val="none"/>
        <c:tickLblPos val="low"/>
        <c:spPr>
          <a:ln w="12700">
            <a:solidFill>
              <a:srgbClr val="808080"/>
            </a:solidFill>
            <a:prstDash val="solid"/>
          </a:ln>
        </c:spPr>
        <c:txPr>
          <a:bodyPr/>
          <a:lstStyle/>
          <a:p>
            <a:pPr>
              <a:defRPr sz="800" b="0" i="0">
                <a:solidFill>
                  <a:srgbClr val="000000"/>
                </a:solidFill>
                <a:latin typeface="Arial"/>
                <a:ea typeface="Arial"/>
                <a:cs typeface="Arial"/>
              </a:defRPr>
            </a:pPr>
            <a:endParaRPr lang="en-US"/>
          </a:p>
        </c:txPr>
        <c:crossAx val="115408896"/>
        <c:crosses val="autoZero"/>
        <c:auto val="1"/>
        <c:lblAlgn val="ctr"/>
        <c:lblOffset val="100"/>
        <c:tickLblSkip val="5"/>
        <c:tickMarkSkip val="5"/>
        <c:noMultiLvlLbl val="0"/>
      </c:catAx>
      <c:valAx>
        <c:axId val="115408896"/>
        <c:scaling>
          <c:orientation val="minMax"/>
          <c:max val="70"/>
          <c:min val="50"/>
        </c:scaling>
        <c:delete val="0"/>
        <c:axPos val="l"/>
        <c:title>
          <c:tx>
            <c:rich>
              <a:bodyPr rot="0" vert="horz"/>
              <a:lstStyle/>
              <a:p>
                <a:pPr>
                  <a:defRPr sz="800" b="0" i="0">
                    <a:solidFill>
                      <a:srgbClr val="000000"/>
                    </a:solidFill>
                    <a:latin typeface="Arial"/>
                    <a:ea typeface="Arial"/>
                    <a:cs typeface="Arial"/>
                  </a:defRPr>
                </a:pPr>
                <a:r>
                  <a:rPr lang="en-AU"/>
                  <a:t>% of population 25 and over</a:t>
                </a:r>
              </a:p>
            </c:rich>
          </c:tx>
          <c:layout>
            <c:manualLayout>
              <c:xMode val="edge"/>
              <c:yMode val="edge"/>
              <c:x val="2.5604691663069525E-2"/>
              <c:y val="0"/>
            </c:manualLayout>
          </c:layout>
          <c:overlay val="0"/>
        </c:title>
        <c:numFmt formatCode="General" sourceLinked="0"/>
        <c:majorTickMark val="in"/>
        <c:minorTickMark val="none"/>
        <c:tickLblPos val="nextTo"/>
        <c:spPr>
          <a:ln w="12700">
            <a:solidFill>
              <a:srgbClr val="808080"/>
            </a:solidFill>
            <a:prstDash val="solid"/>
          </a:ln>
        </c:spPr>
        <c:txPr>
          <a:bodyPr/>
          <a:lstStyle/>
          <a:p>
            <a:pPr>
              <a:defRPr sz="800" b="0" i="0">
                <a:solidFill>
                  <a:srgbClr val="000000"/>
                </a:solidFill>
                <a:latin typeface="Arial"/>
                <a:ea typeface="Arial"/>
                <a:cs typeface="Arial"/>
              </a:defRPr>
            </a:pPr>
            <a:endParaRPr lang="en-US"/>
          </a:p>
        </c:txPr>
        <c:crossAx val="34785536"/>
        <c:crosses val="autoZero"/>
        <c:crossBetween val="midCat"/>
        <c:majorUnit val="5"/>
      </c:valAx>
      <c:valAx>
        <c:axId val="115410816"/>
        <c:scaling>
          <c:orientation val="minMax"/>
          <c:max val="70"/>
          <c:min val="50"/>
        </c:scaling>
        <c:delete val="0"/>
        <c:axPos val="r"/>
        <c:title>
          <c:tx>
            <c:rich>
              <a:bodyPr rot="0" vert="horz"/>
              <a:lstStyle/>
              <a:p>
                <a:pPr>
                  <a:defRPr sz="800" b="0" i="0">
                    <a:solidFill>
                      <a:srgbClr val="000000"/>
                    </a:solidFill>
                    <a:latin typeface="Arial"/>
                    <a:ea typeface="Arial"/>
                    <a:cs typeface="Arial"/>
                  </a:defRPr>
                </a:pPr>
                <a:r>
                  <a:rPr lang="en-AU"/>
                  <a:t>% of population 25 and over</a:t>
                </a:r>
              </a:p>
            </c:rich>
          </c:tx>
          <c:layout>
            <c:manualLayout>
              <c:xMode val="edge"/>
              <c:yMode val="edge"/>
              <c:x val="0.78767329749103943"/>
              <c:y val="0"/>
            </c:manualLayout>
          </c:layout>
          <c:overlay val="0"/>
        </c:title>
        <c:numFmt formatCode="General" sourceLinked="1"/>
        <c:majorTickMark val="in"/>
        <c:minorTickMark val="none"/>
        <c:tickLblPos val="nextTo"/>
        <c:spPr>
          <a:ln w="12700">
            <a:solidFill>
              <a:srgbClr val="808080"/>
            </a:solidFill>
            <a:prstDash val="solid"/>
          </a:ln>
        </c:spPr>
        <c:txPr>
          <a:bodyPr rot="-60000000" vert="horz"/>
          <a:lstStyle/>
          <a:p>
            <a:pPr>
              <a:defRPr sz="800" b="0" i="0">
                <a:solidFill>
                  <a:srgbClr val="000000"/>
                </a:solidFill>
                <a:latin typeface="Arial"/>
                <a:ea typeface="Arial"/>
                <a:cs typeface="Arial"/>
              </a:defRPr>
            </a:pPr>
            <a:endParaRPr lang="en-US"/>
          </a:p>
        </c:txPr>
        <c:crossAx val="115417088"/>
        <c:crosses val="max"/>
        <c:crossBetween val="midCat"/>
        <c:majorUnit val="5"/>
        <c:minorUnit val="0.01"/>
      </c:valAx>
      <c:catAx>
        <c:axId val="115417088"/>
        <c:scaling>
          <c:orientation val="minMax"/>
        </c:scaling>
        <c:delete val="1"/>
        <c:axPos val="t"/>
        <c:numFmt formatCode="General" sourceLinked="1"/>
        <c:majorTickMark val="out"/>
        <c:minorTickMark val="none"/>
        <c:tickLblPos val="nextTo"/>
        <c:crossAx val="115410816"/>
        <c:crosses val="max"/>
        <c:auto val="1"/>
        <c:lblAlgn val="ctr"/>
        <c:lblOffset val="100"/>
        <c:noMultiLvlLbl val="0"/>
      </c:catAx>
      <c:spPr>
        <a:solidFill>
          <a:srgbClr val="FFFFFF"/>
        </a:solidFill>
        <a:ln>
          <a:noFill/>
          <a:round/>
        </a:ln>
        <a:effectLst/>
        <a:extLst>
          <a:ext uri="{91240B29-F687-4F45-9708-019B960494DF}">
            <a14:hiddenLine xmlns:a14="http://schemas.microsoft.com/office/drawing/2010/main">
              <a:noFill/>
              <a:round/>
            </a14:hiddenLine>
          </a:ext>
        </a:extLst>
      </c:spPr>
    </c:plotArea>
    <c:plotVisOnly val="1"/>
    <c:dispBlanksAs val="gap"/>
    <c:showDLblsOverMax val="0"/>
  </c:chart>
  <c:spPr>
    <a:solidFill>
      <a:srgbClr val="FFFFFF"/>
    </a:solidFill>
    <a:ln w="9525" cap="flat" cmpd="sng" algn="ctr">
      <a:noFill/>
      <a:prstDash val="solid"/>
      <a:round/>
    </a:ln>
    <a:effectLst/>
    <a:extLst>
      <a:ext uri="{91240B29-F687-4F45-9708-019B960494DF}">
        <a14:hiddenLine xmlns:a14="http://schemas.microsoft.com/office/drawing/2010/main" w="9525" cap="flat" cmpd="sng" algn="ctr">
          <a:solidFill>
            <a:sysClr val="windowText" lastClr="000000">
              <a:tint val="75000"/>
              <a:shade val="95000"/>
              <a:satMod val="105000"/>
            </a:sysClr>
          </a:solidFill>
          <a:prstDash val="solid"/>
          <a:round/>
        </a14:hiddenLine>
      </a:ext>
    </a:extLst>
  </c:spPr>
  <c:txPr>
    <a:bodyPr/>
    <a:lstStyle/>
    <a:p>
      <a:pPr>
        <a:defRPr sz="1200"/>
      </a:pPr>
      <a:endParaRPr lang="en-US"/>
    </a:p>
  </c:tx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xMode val="edge"/>
          <c:yMode val="edge"/>
          <c:x val="9.1039426523297495E-3"/>
          <c:y val="2.8863492063492063E-2"/>
          <c:w val="0.98862007168458776"/>
          <c:h val="0.97113650793650796"/>
        </c:manualLayout>
      </c:layout>
      <c:lineChart>
        <c:grouping val="standard"/>
        <c:varyColors val="0"/>
        <c:ser>
          <c:idx val="0"/>
          <c:order val="0"/>
          <c:tx>
            <c:strRef>
              <c:f>'Pensioner projections'!$A$40</c:f>
              <c:strCache>
                <c:ptCount val="1"/>
                <c:pt idx="0">
                  <c:v>10% increase</c:v>
                </c:pt>
              </c:strCache>
            </c:strRef>
          </c:tx>
          <c:spPr>
            <a:ln w="22225">
              <a:solidFill>
                <a:sysClr val="windowText" lastClr="000000"/>
              </a:solidFill>
              <a:prstDash val="solid"/>
            </a:ln>
          </c:spPr>
          <c:marker>
            <c:symbol val="none"/>
          </c:marker>
          <c:cat>
            <c:numRef>
              <c:f>'Pensioner projections'!$C$1:$AV$1</c:f>
              <c:numCache>
                <c:formatCode>General</c:formatCode>
                <c:ptCount val="46"/>
                <c:pt idx="0">
                  <c:v>2015</c:v>
                </c:pt>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pt idx="27">
                  <c:v>2042</c:v>
                </c:pt>
                <c:pt idx="28">
                  <c:v>2043</c:v>
                </c:pt>
                <c:pt idx="29">
                  <c:v>2044</c:v>
                </c:pt>
                <c:pt idx="30">
                  <c:v>2045</c:v>
                </c:pt>
                <c:pt idx="31">
                  <c:v>2046</c:v>
                </c:pt>
                <c:pt idx="32">
                  <c:v>2047</c:v>
                </c:pt>
                <c:pt idx="33">
                  <c:v>2048</c:v>
                </c:pt>
                <c:pt idx="34">
                  <c:v>2049</c:v>
                </c:pt>
                <c:pt idx="35">
                  <c:v>2050</c:v>
                </c:pt>
                <c:pt idx="36">
                  <c:v>2051</c:v>
                </c:pt>
                <c:pt idx="37">
                  <c:v>2052</c:v>
                </c:pt>
                <c:pt idx="38">
                  <c:v>2053</c:v>
                </c:pt>
                <c:pt idx="39">
                  <c:v>2054</c:v>
                </c:pt>
                <c:pt idx="40">
                  <c:v>2055</c:v>
                </c:pt>
                <c:pt idx="41">
                  <c:v>2056</c:v>
                </c:pt>
                <c:pt idx="42">
                  <c:v>2057</c:v>
                </c:pt>
                <c:pt idx="43">
                  <c:v>2058</c:v>
                </c:pt>
                <c:pt idx="44">
                  <c:v>2059</c:v>
                </c:pt>
                <c:pt idx="45">
                  <c:v>2060</c:v>
                </c:pt>
              </c:numCache>
            </c:numRef>
          </c:cat>
          <c:val>
            <c:numRef>
              <c:f>'Pensioner projections'!$C$40:$AV$40</c:f>
              <c:numCache>
                <c:formatCode>0.0</c:formatCode>
                <c:ptCount val="46"/>
                <c:pt idx="0">
                  <c:v>0</c:v>
                </c:pt>
                <c:pt idx="1">
                  <c:v>0</c:v>
                </c:pt>
                <c:pt idx="2">
                  <c:v>0</c:v>
                </c:pt>
                <c:pt idx="3">
                  <c:v>0</c:v>
                </c:pt>
                <c:pt idx="4">
                  <c:v>0</c:v>
                </c:pt>
                <c:pt idx="5">
                  <c:v>1.8165304269457394E-2</c:v>
                </c:pt>
                <c:pt idx="6">
                  <c:v>-1.7573148227778557E-2</c:v>
                </c:pt>
                <c:pt idx="7">
                  <c:v>-2.6187150838141715E-2</c:v>
                </c:pt>
                <c:pt idx="8">
                  <c:v>-5.9211639314826758E-2</c:v>
                </c:pt>
                <c:pt idx="9">
                  <c:v>-7.5693860384429268E-2</c:v>
                </c:pt>
                <c:pt idx="10">
                  <c:v>-3.2838026432502332E-2</c:v>
                </c:pt>
                <c:pt idx="11">
                  <c:v>-0.15185421995206339</c:v>
                </c:pt>
                <c:pt idx="12">
                  <c:v>-0.17257609036676058</c:v>
                </c:pt>
                <c:pt idx="13">
                  <c:v>-9.9739143776189643E-2</c:v>
                </c:pt>
                <c:pt idx="14">
                  <c:v>-0.10546933855568597</c:v>
                </c:pt>
                <c:pt idx="15">
                  <c:v>-1.4945449110981279E-2</c:v>
                </c:pt>
                <c:pt idx="16">
                  <c:v>-0.16314423433688718</c:v>
                </c:pt>
                <c:pt idx="17">
                  <c:v>-0.17648356496603457</c:v>
                </c:pt>
                <c:pt idx="18">
                  <c:v>-0.39395929087170378</c:v>
                </c:pt>
                <c:pt idx="19">
                  <c:v>-0.29025469849727203</c:v>
                </c:pt>
                <c:pt idx="20">
                  <c:v>-0.52041922659937789</c:v>
                </c:pt>
                <c:pt idx="21">
                  <c:v>-0.57392926321755411</c:v>
                </c:pt>
                <c:pt idx="22">
                  <c:v>-0.80074354757762034</c:v>
                </c:pt>
                <c:pt idx="23">
                  <c:v>-0.91658377149391734</c:v>
                </c:pt>
                <c:pt idx="24">
                  <c:v>-0.95907928388900832</c:v>
                </c:pt>
                <c:pt idx="25">
                  <c:v>-1.1088996303666554</c:v>
                </c:pt>
                <c:pt idx="26">
                  <c:v>-0.95926694824630676</c:v>
                </c:pt>
                <c:pt idx="27">
                  <c:v>-1.0289250251819149</c:v>
                </c:pt>
                <c:pt idx="28">
                  <c:v>-0.94714771166025669</c:v>
                </c:pt>
                <c:pt idx="29">
                  <c:v>-1.0471965675220907</c:v>
                </c:pt>
                <c:pt idx="30">
                  <c:v>-0.94547053649696178</c:v>
                </c:pt>
                <c:pt idx="31">
                  <c:v>-1.1935460104590678</c:v>
                </c:pt>
                <c:pt idx="32">
                  <c:v>-1.3063163363779773</c:v>
                </c:pt>
                <c:pt idx="33">
                  <c:v>-1.729536305351298</c:v>
                </c:pt>
                <c:pt idx="34">
                  <c:v>-1.7745695165009123</c:v>
                </c:pt>
                <c:pt idx="35">
                  <c:v>-1.7360321431264425</c:v>
                </c:pt>
                <c:pt idx="36">
                  <c:v>-1.8947207578922542</c:v>
                </c:pt>
                <c:pt idx="37">
                  <c:v>-2.8247722575213463</c:v>
                </c:pt>
                <c:pt idx="38">
                  <c:v>-2.9063509149596323</c:v>
                </c:pt>
                <c:pt idx="39">
                  <c:v>-3.4056683913798347</c:v>
                </c:pt>
                <c:pt idx="40">
                  <c:v>-3.6292834890989445</c:v>
                </c:pt>
                <c:pt idx="41">
                  <c:v>-3.9648268823122779</c:v>
                </c:pt>
                <c:pt idx="42">
                  <c:v>-4.7484940937189695</c:v>
                </c:pt>
                <c:pt idx="43">
                  <c:v>-4.7420572507055887</c:v>
                </c:pt>
                <c:pt idx="44">
                  <c:v>-5.5830777699165335</c:v>
                </c:pt>
                <c:pt idx="45">
                  <c:v>-5.8252427184480986</c:v>
                </c:pt>
              </c:numCache>
            </c:numRef>
          </c:val>
          <c:smooth val="0"/>
          <c:extLst>
            <c:ext xmlns:c16="http://schemas.microsoft.com/office/drawing/2014/chart" uri="{C3380CC4-5D6E-409C-BE32-E72D297353CC}">
              <c16:uniqueId val="{00000000-8CEF-4D6F-B088-8AEB72018113}"/>
            </c:ext>
          </c:extLst>
        </c:ser>
        <c:ser>
          <c:idx val="2"/>
          <c:order val="1"/>
          <c:tx>
            <c:strRef>
              <c:f>'Pensioner projections'!$A$41</c:f>
              <c:strCache>
                <c:ptCount val="1"/>
                <c:pt idx="0">
                  <c:v>Equalisation</c:v>
                </c:pt>
              </c:strCache>
            </c:strRef>
          </c:tx>
          <c:spPr>
            <a:ln w="22225">
              <a:solidFill>
                <a:srgbClr val="0070C0"/>
              </a:solidFill>
            </a:ln>
          </c:spPr>
          <c:marker>
            <c:symbol val="none"/>
          </c:marker>
          <c:cat>
            <c:numRef>
              <c:f>'Pensioner projections'!$C$1:$AV$1</c:f>
              <c:numCache>
                <c:formatCode>General</c:formatCode>
                <c:ptCount val="46"/>
                <c:pt idx="0">
                  <c:v>2015</c:v>
                </c:pt>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pt idx="27">
                  <c:v>2042</c:v>
                </c:pt>
                <c:pt idx="28">
                  <c:v>2043</c:v>
                </c:pt>
                <c:pt idx="29">
                  <c:v>2044</c:v>
                </c:pt>
                <c:pt idx="30">
                  <c:v>2045</c:v>
                </c:pt>
                <c:pt idx="31">
                  <c:v>2046</c:v>
                </c:pt>
                <c:pt idx="32">
                  <c:v>2047</c:v>
                </c:pt>
                <c:pt idx="33">
                  <c:v>2048</c:v>
                </c:pt>
                <c:pt idx="34">
                  <c:v>2049</c:v>
                </c:pt>
                <c:pt idx="35">
                  <c:v>2050</c:v>
                </c:pt>
                <c:pt idx="36">
                  <c:v>2051</c:v>
                </c:pt>
                <c:pt idx="37">
                  <c:v>2052</c:v>
                </c:pt>
                <c:pt idx="38">
                  <c:v>2053</c:v>
                </c:pt>
                <c:pt idx="39">
                  <c:v>2054</c:v>
                </c:pt>
                <c:pt idx="40">
                  <c:v>2055</c:v>
                </c:pt>
                <c:pt idx="41">
                  <c:v>2056</c:v>
                </c:pt>
                <c:pt idx="42">
                  <c:v>2057</c:v>
                </c:pt>
                <c:pt idx="43">
                  <c:v>2058</c:v>
                </c:pt>
                <c:pt idx="44">
                  <c:v>2059</c:v>
                </c:pt>
                <c:pt idx="45">
                  <c:v>2060</c:v>
                </c:pt>
              </c:numCache>
            </c:numRef>
          </c:cat>
          <c:val>
            <c:numRef>
              <c:f>'Pensioner projections'!$C$41:$AV$41</c:f>
              <c:numCache>
                <c:formatCode>0.0</c:formatCode>
                <c:ptCount val="46"/>
                <c:pt idx="0">
                  <c:v>0</c:v>
                </c:pt>
                <c:pt idx="1">
                  <c:v>0</c:v>
                </c:pt>
                <c:pt idx="2">
                  <c:v>0</c:v>
                </c:pt>
                <c:pt idx="3">
                  <c:v>0</c:v>
                </c:pt>
                <c:pt idx="4">
                  <c:v>0</c:v>
                </c:pt>
                <c:pt idx="5">
                  <c:v>-0.95367847411464979</c:v>
                </c:pt>
                <c:pt idx="6">
                  <c:v>-1.9506194534739785</c:v>
                </c:pt>
                <c:pt idx="7">
                  <c:v>-2.4092178770957706</c:v>
                </c:pt>
                <c:pt idx="8">
                  <c:v>-3.0790052444579219</c:v>
                </c:pt>
                <c:pt idx="9">
                  <c:v>-3.3221194280886546</c:v>
                </c:pt>
                <c:pt idx="10">
                  <c:v>-4.0801247844987838</c:v>
                </c:pt>
                <c:pt idx="11">
                  <c:v>-4.6515345268559045</c:v>
                </c:pt>
                <c:pt idx="12">
                  <c:v>-5.0439284593660316</c:v>
                </c:pt>
                <c:pt idx="13">
                  <c:v>-5.4396194568052447</c:v>
                </c:pt>
                <c:pt idx="14">
                  <c:v>-6.1398222088281269</c:v>
                </c:pt>
                <c:pt idx="15">
                  <c:v>-6.3667613211763836</c:v>
                </c:pt>
                <c:pt idx="16">
                  <c:v>-6.6666666666661545</c:v>
                </c:pt>
                <c:pt idx="17">
                  <c:v>-7.1181704537107482</c:v>
                </c:pt>
                <c:pt idx="18">
                  <c:v>-7.7113883417250566</c:v>
                </c:pt>
                <c:pt idx="19">
                  <c:v>-7.9021841666050978</c:v>
                </c:pt>
                <c:pt idx="20">
                  <c:v>-8.1893747741222498</c:v>
                </c:pt>
                <c:pt idx="21">
                  <c:v>-8.5443719061652494</c:v>
                </c:pt>
                <c:pt idx="22">
                  <c:v>-9.1013083577598621</c:v>
                </c:pt>
                <c:pt idx="23">
                  <c:v>-9.2155748188116444</c:v>
                </c:pt>
                <c:pt idx="24">
                  <c:v>-9.4629156010258679</c:v>
                </c:pt>
                <c:pt idx="25">
                  <c:v>-10.150696616435228</c:v>
                </c:pt>
                <c:pt idx="26">
                  <c:v>-10.451714510701738</c:v>
                </c:pt>
                <c:pt idx="27">
                  <c:v>-10.771334004894218</c:v>
                </c:pt>
                <c:pt idx="28">
                  <c:v>-11.27901091750566</c:v>
                </c:pt>
                <c:pt idx="29">
                  <c:v>-11.60642862337361</c:v>
                </c:pt>
                <c:pt idx="30">
                  <c:v>-12.166520082086363</c:v>
                </c:pt>
                <c:pt idx="31">
                  <c:v>-12.664849333234262</c:v>
                </c:pt>
                <c:pt idx="32">
                  <c:v>-12.758851035404239</c:v>
                </c:pt>
                <c:pt idx="33">
                  <c:v>-13.724466974803418</c:v>
                </c:pt>
                <c:pt idx="34">
                  <c:v>-14.58756297465753</c:v>
                </c:pt>
                <c:pt idx="35">
                  <c:v>-14.835872943669749</c:v>
                </c:pt>
                <c:pt idx="36">
                  <c:v>-15.738406295365726</c:v>
                </c:pt>
                <c:pt idx="37">
                  <c:v>-16.565873076628545</c:v>
                </c:pt>
                <c:pt idx="38">
                  <c:v>-17.499615562047154</c:v>
                </c:pt>
                <c:pt idx="39">
                  <c:v>-18.441578500266196</c:v>
                </c:pt>
                <c:pt idx="40">
                  <c:v>-19.119937694706234</c:v>
                </c:pt>
                <c:pt idx="41">
                  <c:v>-19.863390123260515</c:v>
                </c:pt>
                <c:pt idx="42">
                  <c:v>-21.184385512005953</c:v>
                </c:pt>
                <c:pt idx="43">
                  <c:v>-22.098144070460169</c:v>
                </c:pt>
                <c:pt idx="44">
                  <c:v>-23.433199654005321</c:v>
                </c:pt>
                <c:pt idx="45">
                  <c:v>-24.453390164972213</c:v>
                </c:pt>
              </c:numCache>
            </c:numRef>
          </c:val>
          <c:smooth val="0"/>
          <c:extLst>
            <c:ext xmlns:c16="http://schemas.microsoft.com/office/drawing/2014/chart" uri="{C3380CC4-5D6E-409C-BE32-E72D297353CC}">
              <c16:uniqueId val="{00000001-8CEF-4D6F-B088-8AEB72018113}"/>
            </c:ext>
          </c:extLst>
        </c:ser>
        <c:dLbls>
          <c:showLegendKey val="0"/>
          <c:showVal val="0"/>
          <c:showCatName val="0"/>
          <c:showSerName val="0"/>
          <c:showPercent val="0"/>
          <c:showBubbleSize val="0"/>
        </c:dLbls>
        <c:marker val="1"/>
        <c:smooth val="0"/>
        <c:axId val="115526656"/>
        <c:axId val="115536640"/>
      </c:lineChart>
      <c:lineChart>
        <c:grouping val="standard"/>
        <c:varyColors val="0"/>
        <c:ser>
          <c:idx val="3"/>
          <c:order val="2"/>
          <c:tx>
            <c:strRef>
              <c:f>'Pensioner projections'!$A$42</c:f>
              <c:strCache>
                <c:ptCount val="1"/>
                <c:pt idx="0">
                  <c:v>Offset</c:v>
                </c:pt>
              </c:strCache>
            </c:strRef>
          </c:tx>
          <c:spPr>
            <a:ln w="22225">
              <a:solidFill>
                <a:srgbClr val="FF0000"/>
              </a:solidFill>
            </a:ln>
          </c:spPr>
          <c:marker>
            <c:symbol val="none"/>
          </c:marker>
          <c:cat>
            <c:numRef>
              <c:f>'Pensioner projections'!$C$1:$AV$1</c:f>
              <c:numCache>
                <c:formatCode>General</c:formatCode>
                <c:ptCount val="46"/>
                <c:pt idx="0">
                  <c:v>2015</c:v>
                </c:pt>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pt idx="27">
                  <c:v>2042</c:v>
                </c:pt>
                <c:pt idx="28">
                  <c:v>2043</c:v>
                </c:pt>
                <c:pt idx="29">
                  <c:v>2044</c:v>
                </c:pt>
                <c:pt idx="30">
                  <c:v>2045</c:v>
                </c:pt>
                <c:pt idx="31">
                  <c:v>2046</c:v>
                </c:pt>
                <c:pt idx="32">
                  <c:v>2047</c:v>
                </c:pt>
                <c:pt idx="33">
                  <c:v>2048</c:v>
                </c:pt>
                <c:pt idx="34">
                  <c:v>2049</c:v>
                </c:pt>
                <c:pt idx="35">
                  <c:v>2050</c:v>
                </c:pt>
                <c:pt idx="36">
                  <c:v>2051</c:v>
                </c:pt>
                <c:pt idx="37">
                  <c:v>2052</c:v>
                </c:pt>
                <c:pt idx="38">
                  <c:v>2053</c:v>
                </c:pt>
                <c:pt idx="39">
                  <c:v>2054</c:v>
                </c:pt>
                <c:pt idx="40">
                  <c:v>2055</c:v>
                </c:pt>
                <c:pt idx="41">
                  <c:v>2056</c:v>
                </c:pt>
                <c:pt idx="42">
                  <c:v>2057</c:v>
                </c:pt>
                <c:pt idx="43">
                  <c:v>2058</c:v>
                </c:pt>
                <c:pt idx="44">
                  <c:v>2059</c:v>
                </c:pt>
                <c:pt idx="45">
                  <c:v>2060</c:v>
                </c:pt>
              </c:numCache>
            </c:numRef>
          </c:cat>
          <c:val>
            <c:numRef>
              <c:f>'Pensioner projections'!$C$42:$AV$42</c:f>
              <c:numCache>
                <c:formatCode>0.0</c:formatCode>
                <c:ptCount val="46"/>
                <c:pt idx="0">
                  <c:v>0</c:v>
                </c:pt>
                <c:pt idx="1">
                  <c:v>0</c:v>
                </c:pt>
                <c:pt idx="2">
                  <c:v>0</c:v>
                </c:pt>
                <c:pt idx="3">
                  <c:v>0</c:v>
                </c:pt>
                <c:pt idx="4">
                  <c:v>0</c:v>
                </c:pt>
                <c:pt idx="5">
                  <c:v>-0.79927338782986856</c:v>
                </c:pt>
                <c:pt idx="6">
                  <c:v>-1.34434583955515</c:v>
                </c:pt>
                <c:pt idx="7">
                  <c:v>-1.4315642458106792</c:v>
                </c:pt>
                <c:pt idx="8">
                  <c:v>-1.7171375401770717</c:v>
                </c:pt>
                <c:pt idx="9">
                  <c:v>-1.7661900756927529</c:v>
                </c:pt>
                <c:pt idx="10">
                  <c:v>-2.2247762909430646</c:v>
                </c:pt>
                <c:pt idx="11">
                  <c:v>-2.6134910485946627</c:v>
                </c:pt>
                <c:pt idx="12">
                  <c:v>-2.6827737684336883</c:v>
                </c:pt>
                <c:pt idx="13">
                  <c:v>-2.7850237839500247</c:v>
                </c:pt>
                <c:pt idx="14">
                  <c:v>-2.9606750037637464</c:v>
                </c:pt>
                <c:pt idx="15">
                  <c:v>-2.8471080555969697</c:v>
                </c:pt>
                <c:pt idx="16">
                  <c:v>-2.8624397478707153</c:v>
                </c:pt>
                <c:pt idx="17">
                  <c:v>-2.8237370394883055</c:v>
                </c:pt>
                <c:pt idx="18">
                  <c:v>-2.816079375499525</c:v>
                </c:pt>
                <c:pt idx="19">
                  <c:v>-2.6268050214054206</c:v>
                </c:pt>
                <c:pt idx="20">
                  <c:v>-2.5370437296683201</c:v>
                </c:pt>
                <c:pt idx="21">
                  <c:v>-2.6042040318547732</c:v>
                </c:pt>
                <c:pt idx="22">
                  <c:v>-2.8669478801744308</c:v>
                </c:pt>
                <c:pt idx="23">
                  <c:v>-3.0055421344305278</c:v>
                </c:pt>
                <c:pt idx="24">
                  <c:v>-2.8630292696816273</c:v>
                </c:pt>
                <c:pt idx="25">
                  <c:v>-2.8077907307372474</c:v>
                </c:pt>
                <c:pt idx="26">
                  <c:v>-2.5842937934005716</c:v>
                </c:pt>
                <c:pt idx="27">
                  <c:v>-2.6190818822863782</c:v>
                </c:pt>
                <c:pt idx="28">
                  <c:v>-2.9860458390545408</c:v>
                </c:pt>
                <c:pt idx="29">
                  <c:v>-2.8288851719866726</c:v>
                </c:pt>
                <c:pt idx="30">
                  <c:v>-2.982996188801379</c:v>
                </c:pt>
                <c:pt idx="31">
                  <c:v>-3.4701245118990198</c:v>
                </c:pt>
                <c:pt idx="32">
                  <c:v>-3.5478364135654195</c:v>
                </c:pt>
                <c:pt idx="33">
                  <c:v>-3.6230803637984366</c:v>
                </c:pt>
                <c:pt idx="34">
                  <c:v>-3.8348748026149182</c:v>
                </c:pt>
                <c:pt idx="35">
                  <c:v>-3.7753013418201475</c:v>
                </c:pt>
                <c:pt idx="36">
                  <c:v>-4.232561693027459</c:v>
                </c:pt>
                <c:pt idx="37">
                  <c:v>-4.8687131593038941</c:v>
                </c:pt>
                <c:pt idx="38">
                  <c:v>-5.0515146855270814</c:v>
                </c:pt>
                <c:pt idx="39">
                  <c:v>-5.2050351378461031</c:v>
                </c:pt>
                <c:pt idx="40">
                  <c:v>-5.4205607476611517</c:v>
                </c:pt>
                <c:pt idx="41">
                  <c:v>-5.5036507811880515</c:v>
                </c:pt>
                <c:pt idx="42">
                  <c:v>-6.5242900727520041</c:v>
                </c:pt>
                <c:pt idx="43">
                  <c:v>-6.6608996539802678</c:v>
                </c:pt>
                <c:pt idx="44">
                  <c:v>-7.3995439175911892</c:v>
                </c:pt>
                <c:pt idx="45">
                  <c:v>-7.5380850895928493</c:v>
                </c:pt>
              </c:numCache>
            </c:numRef>
          </c:val>
          <c:smooth val="0"/>
          <c:extLst>
            <c:ext xmlns:c16="http://schemas.microsoft.com/office/drawing/2014/chart" uri="{C3380CC4-5D6E-409C-BE32-E72D297353CC}">
              <c16:uniqueId val="{00000002-8CEF-4D6F-B088-8AEB72018113}"/>
            </c:ext>
          </c:extLst>
        </c:ser>
        <c:dLbls>
          <c:showLegendKey val="0"/>
          <c:showVal val="0"/>
          <c:showCatName val="0"/>
          <c:showSerName val="0"/>
          <c:showPercent val="0"/>
          <c:showBubbleSize val="0"/>
        </c:dLbls>
        <c:marker val="1"/>
        <c:smooth val="0"/>
        <c:axId val="115741440"/>
        <c:axId val="115538560"/>
      </c:lineChart>
      <c:catAx>
        <c:axId val="115526656"/>
        <c:scaling>
          <c:orientation val="minMax"/>
        </c:scaling>
        <c:delete val="0"/>
        <c:axPos val="b"/>
        <c:numFmt formatCode="General" sourceLinked="1"/>
        <c:majorTickMark val="cross"/>
        <c:minorTickMark val="none"/>
        <c:tickLblPos val="low"/>
        <c:spPr>
          <a:ln w="12700">
            <a:solidFill>
              <a:srgbClr val="808080"/>
            </a:solidFill>
            <a:prstDash val="solid"/>
          </a:ln>
        </c:spPr>
        <c:txPr>
          <a:bodyPr/>
          <a:lstStyle/>
          <a:p>
            <a:pPr>
              <a:defRPr sz="800" b="0" i="0">
                <a:solidFill>
                  <a:srgbClr val="000000"/>
                </a:solidFill>
                <a:latin typeface="Arial"/>
                <a:ea typeface="Arial"/>
                <a:cs typeface="Arial"/>
              </a:defRPr>
            </a:pPr>
            <a:endParaRPr lang="en-US"/>
          </a:p>
        </c:txPr>
        <c:crossAx val="115536640"/>
        <c:crossesAt val="0"/>
        <c:auto val="1"/>
        <c:lblAlgn val="ctr"/>
        <c:lblOffset val="100"/>
        <c:tickLblSkip val="5"/>
        <c:tickMarkSkip val="5"/>
        <c:noMultiLvlLbl val="0"/>
      </c:catAx>
      <c:valAx>
        <c:axId val="115536640"/>
        <c:scaling>
          <c:orientation val="minMax"/>
          <c:max val="5"/>
          <c:min val="-25"/>
        </c:scaling>
        <c:delete val="0"/>
        <c:axPos val="l"/>
        <c:title>
          <c:tx>
            <c:rich>
              <a:bodyPr rot="0" vert="horz"/>
              <a:lstStyle/>
              <a:p>
                <a:pPr>
                  <a:defRPr sz="800" b="0" i="0">
                    <a:solidFill>
                      <a:srgbClr val="000000"/>
                    </a:solidFill>
                    <a:latin typeface="Arial"/>
                    <a:ea typeface="Arial"/>
                    <a:cs typeface="Arial"/>
                  </a:defRPr>
                </a:pPr>
                <a:r>
                  <a:rPr lang="en-US"/>
                  <a:t>% change from baseline</a:t>
                </a:r>
              </a:p>
            </c:rich>
          </c:tx>
          <c:layout>
            <c:manualLayout>
              <c:xMode val="edge"/>
              <c:yMode val="edge"/>
              <c:x val="6.6003584229390677E-2"/>
              <c:y val="0"/>
            </c:manualLayout>
          </c:layout>
          <c:overlay val="0"/>
        </c:title>
        <c:numFmt formatCode="#,##0" sourceLinked="0"/>
        <c:majorTickMark val="in"/>
        <c:minorTickMark val="none"/>
        <c:tickLblPos val="nextTo"/>
        <c:spPr>
          <a:ln w="12700">
            <a:solidFill>
              <a:srgbClr val="808080"/>
            </a:solidFill>
            <a:prstDash val="solid"/>
          </a:ln>
        </c:spPr>
        <c:txPr>
          <a:bodyPr/>
          <a:lstStyle/>
          <a:p>
            <a:pPr>
              <a:defRPr sz="800" b="0" i="0">
                <a:solidFill>
                  <a:srgbClr val="000000"/>
                </a:solidFill>
                <a:latin typeface="Arial"/>
                <a:ea typeface="Arial"/>
                <a:cs typeface="Arial"/>
              </a:defRPr>
            </a:pPr>
            <a:endParaRPr lang="en-US"/>
          </a:p>
        </c:txPr>
        <c:crossAx val="115526656"/>
        <c:crosses val="autoZero"/>
        <c:crossBetween val="midCat"/>
      </c:valAx>
      <c:valAx>
        <c:axId val="115538560"/>
        <c:scaling>
          <c:orientation val="minMax"/>
          <c:max val="5"/>
          <c:min val="-25"/>
        </c:scaling>
        <c:delete val="0"/>
        <c:axPos val="r"/>
        <c:title>
          <c:tx>
            <c:rich>
              <a:bodyPr rot="0" vert="horz"/>
              <a:lstStyle/>
              <a:p>
                <a:pPr>
                  <a:defRPr sz="800" b="0" i="0">
                    <a:solidFill>
                      <a:srgbClr val="000000"/>
                    </a:solidFill>
                    <a:latin typeface="Arial"/>
                    <a:ea typeface="Arial"/>
                    <a:cs typeface="Arial"/>
                  </a:defRPr>
                </a:pPr>
                <a:r>
                  <a:rPr lang="en-US"/>
                  <a:t>% change from baseline</a:t>
                </a:r>
              </a:p>
            </c:rich>
          </c:tx>
          <c:layout>
            <c:manualLayout>
              <c:xMode val="edge"/>
              <c:yMode val="edge"/>
              <c:x val="0.78419103942652335"/>
              <c:y val="0"/>
            </c:manualLayout>
          </c:layout>
          <c:overlay val="0"/>
        </c:title>
        <c:numFmt formatCode="#,##0" sourceLinked="0"/>
        <c:majorTickMark val="in"/>
        <c:minorTickMark val="none"/>
        <c:tickLblPos val="nextTo"/>
        <c:spPr>
          <a:ln w="12700">
            <a:solidFill>
              <a:srgbClr val="808080"/>
            </a:solidFill>
            <a:prstDash val="solid"/>
          </a:ln>
        </c:spPr>
        <c:txPr>
          <a:bodyPr rot="-60000000" vert="horz"/>
          <a:lstStyle/>
          <a:p>
            <a:pPr>
              <a:defRPr sz="800" b="0" i="0">
                <a:solidFill>
                  <a:srgbClr val="000000"/>
                </a:solidFill>
                <a:latin typeface="Arial"/>
                <a:ea typeface="Arial"/>
                <a:cs typeface="Arial"/>
              </a:defRPr>
            </a:pPr>
            <a:endParaRPr lang="en-US"/>
          </a:p>
        </c:txPr>
        <c:crossAx val="115741440"/>
        <c:crosses val="max"/>
        <c:crossBetween val="midCat"/>
      </c:valAx>
      <c:catAx>
        <c:axId val="115741440"/>
        <c:scaling>
          <c:orientation val="minMax"/>
        </c:scaling>
        <c:delete val="1"/>
        <c:axPos val="t"/>
        <c:numFmt formatCode="General" sourceLinked="1"/>
        <c:majorTickMark val="out"/>
        <c:minorTickMark val="none"/>
        <c:tickLblPos val="nextTo"/>
        <c:crossAx val="115538560"/>
        <c:crosses val="max"/>
        <c:auto val="1"/>
        <c:lblAlgn val="ctr"/>
        <c:lblOffset val="100"/>
        <c:noMultiLvlLbl val="0"/>
      </c:catAx>
      <c:spPr>
        <a:solidFill>
          <a:srgbClr val="FFFFFF"/>
        </a:solidFill>
        <a:ln>
          <a:noFill/>
          <a:round/>
        </a:ln>
        <a:effectLst/>
        <a:extLst>
          <a:ext uri="{91240B29-F687-4F45-9708-019B960494DF}">
            <a14:hiddenLine xmlns:a14="http://schemas.microsoft.com/office/drawing/2010/main">
              <a:noFill/>
              <a:round/>
            </a14:hiddenLine>
          </a:ext>
        </a:extLst>
      </c:spPr>
    </c:plotArea>
    <c:plotVisOnly val="1"/>
    <c:dispBlanksAs val="gap"/>
    <c:showDLblsOverMax val="0"/>
  </c:chart>
  <c:spPr>
    <a:solidFill>
      <a:srgbClr val="FFFFFF"/>
    </a:solidFill>
    <a:ln w="9525" cap="flat" cmpd="sng" algn="ctr">
      <a:noFill/>
      <a:prstDash val="solid"/>
      <a:round/>
    </a:ln>
    <a:effectLst/>
    <a:extLst>
      <a:ext uri="{91240B29-F687-4F45-9708-019B960494DF}">
        <a14:hiddenLine xmlns:a14="http://schemas.microsoft.com/office/drawing/2010/main" w="9525" cap="flat" cmpd="sng" algn="ctr">
          <a:solidFill>
            <a:sysClr val="windowText" lastClr="000000">
              <a:tint val="75000"/>
              <a:shade val="95000"/>
              <a:satMod val="105000"/>
            </a:sysClr>
          </a:solidFill>
          <a:prstDash val="solid"/>
          <a:round/>
        </a14:hiddenLine>
      </a:ext>
    </a:extLst>
  </c:spPr>
  <c:txPr>
    <a:bodyPr/>
    <a:lstStyle/>
    <a:p>
      <a:pPr>
        <a:defRPr sz="1200"/>
      </a:pPr>
      <a:endParaRPr lang="en-US"/>
    </a:p>
  </c:txPr>
  <c:externalData r:id="rId2">
    <c:autoUpdate val="0"/>
  </c:externalData>
  <c:userShapes r:id="rId3"/>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xMode val="edge"/>
          <c:yMode val="edge"/>
          <c:x val="9.1039426523297495E-3"/>
          <c:y val="2.8863492063492063E-2"/>
          <c:w val="0.98862007168458776"/>
          <c:h val="0.97113650793650796"/>
        </c:manualLayout>
      </c:layout>
      <c:lineChart>
        <c:grouping val="standard"/>
        <c:varyColors val="0"/>
        <c:ser>
          <c:idx val="0"/>
          <c:order val="0"/>
          <c:tx>
            <c:strRef>
              <c:f>'Pensioner projections'!$A$46</c:f>
              <c:strCache>
                <c:ptCount val="1"/>
                <c:pt idx="0">
                  <c:v>10% increase</c:v>
                </c:pt>
              </c:strCache>
            </c:strRef>
          </c:tx>
          <c:spPr>
            <a:ln w="22225">
              <a:solidFill>
                <a:sysClr val="windowText" lastClr="000000"/>
              </a:solidFill>
              <a:prstDash val="solid"/>
            </a:ln>
          </c:spPr>
          <c:marker>
            <c:symbol val="none"/>
          </c:marker>
          <c:cat>
            <c:numRef>
              <c:f>'Pensioner projections'!$C$1:$AV$1</c:f>
              <c:numCache>
                <c:formatCode>General</c:formatCode>
                <c:ptCount val="46"/>
                <c:pt idx="0">
                  <c:v>2015</c:v>
                </c:pt>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pt idx="27">
                  <c:v>2042</c:v>
                </c:pt>
                <c:pt idx="28">
                  <c:v>2043</c:v>
                </c:pt>
                <c:pt idx="29">
                  <c:v>2044</c:v>
                </c:pt>
                <c:pt idx="30">
                  <c:v>2045</c:v>
                </c:pt>
                <c:pt idx="31">
                  <c:v>2046</c:v>
                </c:pt>
                <c:pt idx="32">
                  <c:v>2047</c:v>
                </c:pt>
                <c:pt idx="33">
                  <c:v>2048</c:v>
                </c:pt>
                <c:pt idx="34">
                  <c:v>2049</c:v>
                </c:pt>
                <c:pt idx="35">
                  <c:v>2050</c:v>
                </c:pt>
                <c:pt idx="36">
                  <c:v>2051</c:v>
                </c:pt>
                <c:pt idx="37">
                  <c:v>2052</c:v>
                </c:pt>
                <c:pt idx="38">
                  <c:v>2053</c:v>
                </c:pt>
                <c:pt idx="39">
                  <c:v>2054</c:v>
                </c:pt>
                <c:pt idx="40">
                  <c:v>2055</c:v>
                </c:pt>
                <c:pt idx="41">
                  <c:v>2056</c:v>
                </c:pt>
                <c:pt idx="42">
                  <c:v>2057</c:v>
                </c:pt>
                <c:pt idx="43">
                  <c:v>2058</c:v>
                </c:pt>
                <c:pt idx="44">
                  <c:v>2059</c:v>
                </c:pt>
                <c:pt idx="45">
                  <c:v>2060</c:v>
                </c:pt>
              </c:numCache>
            </c:numRef>
          </c:cat>
          <c:val>
            <c:numRef>
              <c:f>'Pensioner projections'!$C$46:$AV$46</c:f>
              <c:numCache>
                <c:formatCode>0.0</c:formatCode>
                <c:ptCount val="46"/>
                <c:pt idx="0">
                  <c:v>0</c:v>
                </c:pt>
                <c:pt idx="1">
                  <c:v>0</c:v>
                </c:pt>
                <c:pt idx="2">
                  <c:v>0</c:v>
                </c:pt>
                <c:pt idx="3">
                  <c:v>0</c:v>
                </c:pt>
                <c:pt idx="4">
                  <c:v>0</c:v>
                </c:pt>
                <c:pt idx="5">
                  <c:v>-3.323363243711297E-2</c:v>
                </c:pt>
                <c:pt idx="6">
                  <c:v>1.6072002573297439E-2</c:v>
                </c:pt>
                <c:pt idx="7">
                  <c:v>3.2383419687076476E-2</c:v>
                </c:pt>
                <c:pt idx="8">
                  <c:v>-2.8768699653070051E-2</c:v>
                </c:pt>
                <c:pt idx="9">
                  <c:v>-0.11487650775315883</c:v>
                </c:pt>
                <c:pt idx="10">
                  <c:v>-0.30632135895166668</c:v>
                </c:pt>
                <c:pt idx="11">
                  <c:v>0</c:v>
                </c:pt>
                <c:pt idx="12">
                  <c:v>-0.28223220012769668</c:v>
                </c:pt>
                <c:pt idx="13">
                  <c:v>-0.51941627504127341</c:v>
                </c:pt>
                <c:pt idx="14">
                  <c:v>-0.82309435762886185</c:v>
                </c:pt>
                <c:pt idx="15">
                  <c:v>-0.60516099566167991</c:v>
                </c:pt>
                <c:pt idx="16">
                  <c:v>-0.78826363038858593</c:v>
                </c:pt>
                <c:pt idx="17">
                  <c:v>-0.40267034014647152</c:v>
                </c:pt>
                <c:pt idx="18">
                  <c:v>-0.35225859925408498</c:v>
                </c:pt>
                <c:pt idx="19">
                  <c:v>-0.75795856493219294</c:v>
                </c:pt>
                <c:pt idx="20">
                  <c:v>-0.41083830578539926</c:v>
                </c:pt>
                <c:pt idx="21">
                  <c:v>-0.58896171749120985</c:v>
                </c:pt>
                <c:pt idx="22">
                  <c:v>-0.22914757103573713</c:v>
                </c:pt>
                <c:pt idx="23">
                  <c:v>-0.60267659310858646</c:v>
                </c:pt>
                <c:pt idx="24">
                  <c:v>-0.51387461459841965</c:v>
                </c:pt>
                <c:pt idx="25">
                  <c:v>-0.39966694421269544</c:v>
                </c:pt>
                <c:pt idx="26">
                  <c:v>-0.82099162910299617</c:v>
                </c:pt>
                <c:pt idx="27">
                  <c:v>-0.85651422285029088</c:v>
                </c:pt>
                <c:pt idx="28">
                  <c:v>-1.0122083140194027</c:v>
                </c:pt>
                <c:pt idx="29">
                  <c:v>-1.4675845374119034</c:v>
                </c:pt>
                <c:pt idx="30">
                  <c:v>-1.4485217649721549</c:v>
                </c:pt>
                <c:pt idx="31">
                  <c:v>-1.2897616114757704</c:v>
                </c:pt>
                <c:pt idx="32">
                  <c:v>-1.025024741975733</c:v>
                </c:pt>
                <c:pt idx="33">
                  <c:v>-0.75972097520523585</c:v>
                </c:pt>
                <c:pt idx="34">
                  <c:v>-0.92829274855488197</c:v>
                </c:pt>
                <c:pt idx="35">
                  <c:v>-1.3264506011494981</c:v>
                </c:pt>
                <c:pt idx="36">
                  <c:v>-1.7186707255189337</c:v>
                </c:pt>
                <c:pt idx="37">
                  <c:v>-0.73770999937726733</c:v>
                </c:pt>
                <c:pt idx="38">
                  <c:v>-1.0478497880061277</c:v>
                </c:pt>
                <c:pt idx="39">
                  <c:v>-0.99940863394344381</c:v>
                </c:pt>
                <c:pt idx="40">
                  <c:v>-0.72058569205257772</c:v>
                </c:pt>
                <c:pt idx="41">
                  <c:v>-0.51641874824486234</c:v>
                </c:pt>
                <c:pt idx="42">
                  <c:v>-0.20986358866983412</c:v>
                </c:pt>
                <c:pt idx="43">
                  <c:v>-0.24680759738299196</c:v>
                </c:pt>
                <c:pt idx="44">
                  <c:v>0.10518012095488416</c:v>
                </c:pt>
                <c:pt idx="45">
                  <c:v>0.16459212014985347</c:v>
                </c:pt>
              </c:numCache>
            </c:numRef>
          </c:val>
          <c:smooth val="0"/>
          <c:extLst>
            <c:ext xmlns:c16="http://schemas.microsoft.com/office/drawing/2014/chart" uri="{C3380CC4-5D6E-409C-BE32-E72D297353CC}">
              <c16:uniqueId val="{00000000-CF14-4191-BADE-581295009889}"/>
            </c:ext>
          </c:extLst>
        </c:ser>
        <c:ser>
          <c:idx val="2"/>
          <c:order val="1"/>
          <c:tx>
            <c:strRef>
              <c:f>'Pensioner projections'!$A$47</c:f>
              <c:strCache>
                <c:ptCount val="1"/>
                <c:pt idx="0">
                  <c:v>Equalisation</c:v>
                </c:pt>
              </c:strCache>
            </c:strRef>
          </c:tx>
          <c:spPr>
            <a:ln w="22225">
              <a:solidFill>
                <a:srgbClr val="0070C0"/>
              </a:solidFill>
            </a:ln>
          </c:spPr>
          <c:marker>
            <c:symbol val="none"/>
          </c:marker>
          <c:cat>
            <c:numRef>
              <c:f>'Pensioner projections'!$C$1:$AV$1</c:f>
              <c:numCache>
                <c:formatCode>General</c:formatCode>
                <c:ptCount val="46"/>
                <c:pt idx="0">
                  <c:v>2015</c:v>
                </c:pt>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pt idx="27">
                  <c:v>2042</c:v>
                </c:pt>
                <c:pt idx="28">
                  <c:v>2043</c:v>
                </c:pt>
                <c:pt idx="29">
                  <c:v>2044</c:v>
                </c:pt>
                <c:pt idx="30">
                  <c:v>2045</c:v>
                </c:pt>
                <c:pt idx="31">
                  <c:v>2046</c:v>
                </c:pt>
                <c:pt idx="32">
                  <c:v>2047</c:v>
                </c:pt>
                <c:pt idx="33">
                  <c:v>2048</c:v>
                </c:pt>
                <c:pt idx="34">
                  <c:v>2049</c:v>
                </c:pt>
                <c:pt idx="35">
                  <c:v>2050</c:v>
                </c:pt>
                <c:pt idx="36">
                  <c:v>2051</c:v>
                </c:pt>
                <c:pt idx="37">
                  <c:v>2052</c:v>
                </c:pt>
                <c:pt idx="38">
                  <c:v>2053</c:v>
                </c:pt>
                <c:pt idx="39">
                  <c:v>2054</c:v>
                </c:pt>
                <c:pt idx="40">
                  <c:v>2055</c:v>
                </c:pt>
                <c:pt idx="41">
                  <c:v>2056</c:v>
                </c:pt>
                <c:pt idx="42">
                  <c:v>2057</c:v>
                </c:pt>
                <c:pt idx="43">
                  <c:v>2058</c:v>
                </c:pt>
                <c:pt idx="44">
                  <c:v>2059</c:v>
                </c:pt>
                <c:pt idx="45">
                  <c:v>2060</c:v>
                </c:pt>
              </c:numCache>
            </c:numRef>
          </c:cat>
          <c:val>
            <c:numRef>
              <c:f>'Pensioner projections'!$C$47:$AV$47</c:f>
              <c:numCache>
                <c:formatCode>0.0</c:formatCode>
                <c:ptCount val="46"/>
                <c:pt idx="0">
                  <c:v>0</c:v>
                </c:pt>
                <c:pt idx="1">
                  <c:v>0</c:v>
                </c:pt>
                <c:pt idx="2">
                  <c:v>0</c:v>
                </c:pt>
                <c:pt idx="3">
                  <c:v>0</c:v>
                </c:pt>
                <c:pt idx="4">
                  <c:v>0</c:v>
                </c:pt>
                <c:pt idx="5">
                  <c:v>-2.79162512463067</c:v>
                </c:pt>
                <c:pt idx="6">
                  <c:v>-2.2822243651528296</c:v>
                </c:pt>
                <c:pt idx="7">
                  <c:v>-0.92292746113902258</c:v>
                </c:pt>
                <c:pt idx="8">
                  <c:v>-1.6829689298061723</c:v>
                </c:pt>
                <c:pt idx="9">
                  <c:v>-1.823664560596705</c:v>
                </c:pt>
                <c:pt idx="10">
                  <c:v>-2.0607073238678386</c:v>
                </c:pt>
                <c:pt idx="11">
                  <c:v>-2.0172135556748128</c:v>
                </c:pt>
                <c:pt idx="12">
                  <c:v>-2.2450288646559846</c:v>
                </c:pt>
                <c:pt idx="13">
                  <c:v>-3.2154340836028084</c:v>
                </c:pt>
                <c:pt idx="14">
                  <c:v>-2.3380651318126611</c:v>
                </c:pt>
                <c:pt idx="15">
                  <c:v>-3.0714775062776756</c:v>
                </c:pt>
                <c:pt idx="16">
                  <c:v>-3.2953798992773176</c:v>
                </c:pt>
                <c:pt idx="17">
                  <c:v>-3.7299989403376532</c:v>
                </c:pt>
                <c:pt idx="18">
                  <c:v>-3.2532117695833418</c:v>
                </c:pt>
                <c:pt idx="19">
                  <c:v>-2.8701364325437018</c:v>
                </c:pt>
                <c:pt idx="20">
                  <c:v>-3.9323094981901119</c:v>
                </c:pt>
                <c:pt idx="21">
                  <c:v>-4.9681770684908759</c:v>
                </c:pt>
                <c:pt idx="22">
                  <c:v>-5.2428964252968395</c:v>
                </c:pt>
                <c:pt idx="23">
                  <c:v>-6.0179030399758133</c:v>
                </c:pt>
                <c:pt idx="24">
                  <c:v>-6.0037684138419252</c:v>
                </c:pt>
                <c:pt idx="25">
                  <c:v>-5.595337218983099</c:v>
                </c:pt>
                <c:pt idx="26">
                  <c:v>-6.3184159690910402</c:v>
                </c:pt>
                <c:pt idx="27">
                  <c:v>-6.7028131384534451</c:v>
                </c:pt>
                <c:pt idx="28">
                  <c:v>-6.7763869571925266</c:v>
                </c:pt>
                <c:pt idx="29">
                  <c:v>-6.7856872683293989</c:v>
                </c:pt>
                <c:pt idx="30">
                  <c:v>-6.8266230872086275</c:v>
                </c:pt>
                <c:pt idx="31">
                  <c:v>-7.4125063401219933</c:v>
                </c:pt>
                <c:pt idx="32">
                  <c:v>-8.0022621235654068</c:v>
                </c:pt>
                <c:pt idx="33">
                  <c:v>-7.7629670557370245</c:v>
                </c:pt>
                <c:pt idx="34">
                  <c:v>-7.8703080855638259</c:v>
                </c:pt>
                <c:pt idx="35">
                  <c:v>-8.5533193936240259</c:v>
                </c:pt>
                <c:pt idx="36">
                  <c:v>-8.7772704211055199</c:v>
                </c:pt>
                <c:pt idx="37">
                  <c:v>-8.9765048664041771</c:v>
                </c:pt>
                <c:pt idx="38">
                  <c:v>-9.0672319806178177</c:v>
                </c:pt>
                <c:pt idx="39">
                  <c:v>-9.3968066232968166</c:v>
                </c:pt>
                <c:pt idx="40">
                  <c:v>-9.75961261313536</c:v>
                </c:pt>
                <c:pt idx="41">
                  <c:v>-10.115071568901424</c:v>
                </c:pt>
                <c:pt idx="42">
                  <c:v>-10.228088584527894</c:v>
                </c:pt>
                <c:pt idx="43">
                  <c:v>-10.886361197555727</c:v>
                </c:pt>
                <c:pt idx="44">
                  <c:v>-10.707336313438132</c:v>
                </c:pt>
                <c:pt idx="45">
                  <c:v>-11.140829132805031</c:v>
                </c:pt>
              </c:numCache>
            </c:numRef>
          </c:val>
          <c:smooth val="0"/>
          <c:extLst>
            <c:ext xmlns:c16="http://schemas.microsoft.com/office/drawing/2014/chart" uri="{C3380CC4-5D6E-409C-BE32-E72D297353CC}">
              <c16:uniqueId val="{00000001-CF14-4191-BADE-581295009889}"/>
            </c:ext>
          </c:extLst>
        </c:ser>
        <c:dLbls>
          <c:showLegendKey val="0"/>
          <c:showVal val="0"/>
          <c:showCatName val="0"/>
          <c:showSerName val="0"/>
          <c:showPercent val="0"/>
          <c:showBubbleSize val="0"/>
        </c:dLbls>
        <c:marker val="1"/>
        <c:smooth val="0"/>
        <c:axId val="115589120"/>
        <c:axId val="115590656"/>
      </c:lineChart>
      <c:lineChart>
        <c:grouping val="standard"/>
        <c:varyColors val="0"/>
        <c:ser>
          <c:idx val="3"/>
          <c:order val="2"/>
          <c:tx>
            <c:strRef>
              <c:f>'Pensioner projections'!$A$48</c:f>
              <c:strCache>
                <c:ptCount val="1"/>
                <c:pt idx="0">
                  <c:v>Offset</c:v>
                </c:pt>
              </c:strCache>
            </c:strRef>
          </c:tx>
          <c:spPr>
            <a:ln w="22225">
              <a:solidFill>
                <a:srgbClr val="FF0000"/>
              </a:solidFill>
            </a:ln>
          </c:spPr>
          <c:marker>
            <c:symbol val="none"/>
          </c:marker>
          <c:cat>
            <c:numRef>
              <c:f>'Pensioner projections'!$C$1:$AV$1</c:f>
              <c:numCache>
                <c:formatCode>General</c:formatCode>
                <c:ptCount val="46"/>
                <c:pt idx="0">
                  <c:v>2015</c:v>
                </c:pt>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pt idx="27">
                  <c:v>2042</c:v>
                </c:pt>
                <c:pt idx="28">
                  <c:v>2043</c:v>
                </c:pt>
                <c:pt idx="29">
                  <c:v>2044</c:v>
                </c:pt>
                <c:pt idx="30">
                  <c:v>2045</c:v>
                </c:pt>
                <c:pt idx="31">
                  <c:v>2046</c:v>
                </c:pt>
                <c:pt idx="32">
                  <c:v>2047</c:v>
                </c:pt>
                <c:pt idx="33">
                  <c:v>2048</c:v>
                </c:pt>
                <c:pt idx="34">
                  <c:v>2049</c:v>
                </c:pt>
                <c:pt idx="35">
                  <c:v>2050</c:v>
                </c:pt>
                <c:pt idx="36">
                  <c:v>2051</c:v>
                </c:pt>
                <c:pt idx="37">
                  <c:v>2052</c:v>
                </c:pt>
                <c:pt idx="38">
                  <c:v>2053</c:v>
                </c:pt>
                <c:pt idx="39">
                  <c:v>2054</c:v>
                </c:pt>
                <c:pt idx="40">
                  <c:v>2055</c:v>
                </c:pt>
                <c:pt idx="41">
                  <c:v>2056</c:v>
                </c:pt>
                <c:pt idx="42">
                  <c:v>2057</c:v>
                </c:pt>
                <c:pt idx="43">
                  <c:v>2058</c:v>
                </c:pt>
                <c:pt idx="44">
                  <c:v>2059</c:v>
                </c:pt>
                <c:pt idx="45">
                  <c:v>2060</c:v>
                </c:pt>
              </c:numCache>
            </c:numRef>
          </c:cat>
          <c:val>
            <c:numRef>
              <c:f>'Pensioner projections'!$C$48:$AV$48</c:f>
              <c:numCache>
                <c:formatCode>0.0</c:formatCode>
                <c:ptCount val="46"/>
                <c:pt idx="0">
                  <c:v>0</c:v>
                </c:pt>
                <c:pt idx="1">
                  <c:v>0</c:v>
                </c:pt>
                <c:pt idx="2">
                  <c:v>0</c:v>
                </c:pt>
                <c:pt idx="3">
                  <c:v>0</c:v>
                </c:pt>
                <c:pt idx="4">
                  <c:v>0</c:v>
                </c:pt>
                <c:pt idx="5">
                  <c:v>-0.88069125956012906</c:v>
                </c:pt>
                <c:pt idx="6">
                  <c:v>-1.4304082288621789</c:v>
                </c:pt>
                <c:pt idx="7">
                  <c:v>-0.955310880832827</c:v>
                </c:pt>
                <c:pt idx="8">
                  <c:v>-1.4240506329100677</c:v>
                </c:pt>
                <c:pt idx="9">
                  <c:v>-1.3785180930501517</c:v>
                </c:pt>
                <c:pt idx="10">
                  <c:v>-1.3088276246189245</c:v>
                </c:pt>
                <c:pt idx="11">
                  <c:v>-0.79343733189768395</c:v>
                </c:pt>
                <c:pt idx="12">
                  <c:v>-1.5651058370739879</c:v>
                </c:pt>
                <c:pt idx="13">
                  <c:v>-1.5458817709641526</c:v>
                </c:pt>
                <c:pt idx="14">
                  <c:v>-1.6819754264607911</c:v>
                </c:pt>
                <c:pt idx="15">
                  <c:v>-1.8611555149543157</c:v>
                </c:pt>
                <c:pt idx="16">
                  <c:v>-2.014451499890868</c:v>
                </c:pt>
                <c:pt idx="17">
                  <c:v>-2.1193175797347252</c:v>
                </c:pt>
                <c:pt idx="18">
                  <c:v>-1.5230004144239806</c:v>
                </c:pt>
                <c:pt idx="19">
                  <c:v>-2.0010106114196402</c:v>
                </c:pt>
                <c:pt idx="20">
                  <c:v>-2.1422283087197735</c:v>
                </c:pt>
                <c:pt idx="21">
                  <c:v>-2.8688135271206061</c:v>
                </c:pt>
                <c:pt idx="22">
                  <c:v>-2.630614115492802</c:v>
                </c:pt>
                <c:pt idx="23">
                  <c:v>-2.9956571833768098</c:v>
                </c:pt>
                <c:pt idx="24">
                  <c:v>-2.9462144570085336</c:v>
                </c:pt>
                <c:pt idx="25">
                  <c:v>-2.9475437135706439</c:v>
                </c:pt>
                <c:pt idx="26">
                  <c:v>-3.5898261429477163</c:v>
                </c:pt>
                <c:pt idx="27">
                  <c:v>-4.0075436115026619</c:v>
                </c:pt>
                <c:pt idx="28">
                  <c:v>-3.422963993202699</c:v>
                </c:pt>
                <c:pt idx="29">
                  <c:v>-3.5554883122820846</c:v>
                </c:pt>
                <c:pt idx="30">
                  <c:v>-3.3130292675711659</c:v>
                </c:pt>
                <c:pt idx="31">
                  <c:v>-2.9345699586990071</c:v>
                </c:pt>
                <c:pt idx="32">
                  <c:v>-3.1386964512933324</c:v>
                </c:pt>
                <c:pt idx="33">
                  <c:v>-3.2322674217838965</c:v>
                </c:pt>
                <c:pt idx="34">
                  <c:v>-3.0606753666105879</c:v>
                </c:pt>
                <c:pt idx="35">
                  <c:v>-3.8944066910623687</c:v>
                </c:pt>
                <c:pt idx="36">
                  <c:v>-4.2491121258230287</c:v>
                </c:pt>
                <c:pt idx="37">
                  <c:v>-3.9613167193615073</c:v>
                </c:pt>
                <c:pt idx="38">
                  <c:v>-3.8522107813421358</c:v>
                </c:pt>
                <c:pt idx="39">
                  <c:v>-4.0094618568881746</c:v>
                </c:pt>
                <c:pt idx="40">
                  <c:v>-4.2024557560410241</c:v>
                </c:pt>
                <c:pt idx="41">
                  <c:v>-4.3165871456650962</c:v>
                </c:pt>
                <c:pt idx="42">
                  <c:v>-4.2801126636135445</c:v>
                </c:pt>
                <c:pt idx="43">
                  <c:v>-4.9307865650817462</c:v>
                </c:pt>
                <c:pt idx="44">
                  <c:v>-4.5122271890641557</c:v>
                </c:pt>
                <c:pt idx="45">
                  <c:v>-4.6497273943000073</c:v>
                </c:pt>
              </c:numCache>
            </c:numRef>
          </c:val>
          <c:smooth val="0"/>
          <c:extLst>
            <c:ext xmlns:c16="http://schemas.microsoft.com/office/drawing/2014/chart" uri="{C3380CC4-5D6E-409C-BE32-E72D297353CC}">
              <c16:uniqueId val="{00000002-CF14-4191-BADE-581295009889}"/>
            </c:ext>
          </c:extLst>
        </c:ser>
        <c:dLbls>
          <c:showLegendKey val="0"/>
          <c:showVal val="0"/>
          <c:showCatName val="0"/>
          <c:showSerName val="0"/>
          <c:showPercent val="0"/>
          <c:showBubbleSize val="0"/>
        </c:dLbls>
        <c:marker val="1"/>
        <c:smooth val="0"/>
        <c:axId val="115598848"/>
        <c:axId val="115592576"/>
      </c:lineChart>
      <c:catAx>
        <c:axId val="115589120"/>
        <c:scaling>
          <c:orientation val="minMax"/>
        </c:scaling>
        <c:delete val="0"/>
        <c:axPos val="b"/>
        <c:numFmt formatCode="General" sourceLinked="1"/>
        <c:majorTickMark val="cross"/>
        <c:minorTickMark val="none"/>
        <c:tickLblPos val="low"/>
        <c:spPr>
          <a:ln w="12700">
            <a:solidFill>
              <a:srgbClr val="808080"/>
            </a:solidFill>
            <a:prstDash val="solid"/>
          </a:ln>
        </c:spPr>
        <c:txPr>
          <a:bodyPr/>
          <a:lstStyle/>
          <a:p>
            <a:pPr>
              <a:defRPr sz="800" b="0" i="0">
                <a:solidFill>
                  <a:srgbClr val="000000"/>
                </a:solidFill>
                <a:latin typeface="Arial"/>
                <a:ea typeface="Arial"/>
                <a:cs typeface="Arial"/>
              </a:defRPr>
            </a:pPr>
            <a:endParaRPr lang="en-US"/>
          </a:p>
        </c:txPr>
        <c:crossAx val="115590656"/>
        <c:crossesAt val="0"/>
        <c:auto val="1"/>
        <c:lblAlgn val="ctr"/>
        <c:lblOffset val="100"/>
        <c:tickLblSkip val="5"/>
        <c:tickMarkSkip val="5"/>
        <c:noMultiLvlLbl val="0"/>
      </c:catAx>
      <c:valAx>
        <c:axId val="115590656"/>
        <c:scaling>
          <c:orientation val="minMax"/>
          <c:max val="5"/>
          <c:min val="-25"/>
        </c:scaling>
        <c:delete val="0"/>
        <c:axPos val="l"/>
        <c:title>
          <c:tx>
            <c:rich>
              <a:bodyPr rot="0" vert="horz"/>
              <a:lstStyle/>
              <a:p>
                <a:pPr>
                  <a:defRPr sz="800" b="0" i="0">
                    <a:solidFill>
                      <a:srgbClr val="000000"/>
                    </a:solidFill>
                    <a:latin typeface="Arial"/>
                    <a:ea typeface="Arial"/>
                    <a:cs typeface="Arial"/>
                  </a:defRPr>
                </a:pPr>
                <a:r>
                  <a:rPr lang="en-US"/>
                  <a:t>% change from baseline</a:t>
                </a:r>
              </a:p>
            </c:rich>
          </c:tx>
          <c:layout>
            <c:manualLayout>
              <c:xMode val="edge"/>
              <c:yMode val="edge"/>
              <c:x val="5.0071684587813622E-2"/>
              <c:y val="0"/>
            </c:manualLayout>
          </c:layout>
          <c:overlay val="0"/>
        </c:title>
        <c:numFmt formatCode="#,##0" sourceLinked="0"/>
        <c:majorTickMark val="in"/>
        <c:minorTickMark val="none"/>
        <c:tickLblPos val="nextTo"/>
        <c:spPr>
          <a:ln w="12700">
            <a:solidFill>
              <a:srgbClr val="808080"/>
            </a:solidFill>
            <a:prstDash val="solid"/>
          </a:ln>
        </c:spPr>
        <c:txPr>
          <a:bodyPr/>
          <a:lstStyle/>
          <a:p>
            <a:pPr>
              <a:defRPr sz="800" b="0" i="0">
                <a:solidFill>
                  <a:srgbClr val="000000"/>
                </a:solidFill>
                <a:latin typeface="Arial"/>
                <a:ea typeface="Arial"/>
                <a:cs typeface="Arial"/>
              </a:defRPr>
            </a:pPr>
            <a:endParaRPr lang="en-US"/>
          </a:p>
        </c:txPr>
        <c:crossAx val="115589120"/>
        <c:crosses val="autoZero"/>
        <c:crossBetween val="midCat"/>
      </c:valAx>
      <c:valAx>
        <c:axId val="115592576"/>
        <c:scaling>
          <c:orientation val="minMax"/>
          <c:max val="5"/>
          <c:min val="-25"/>
        </c:scaling>
        <c:delete val="0"/>
        <c:axPos val="r"/>
        <c:title>
          <c:tx>
            <c:rich>
              <a:bodyPr rot="0" vert="horz"/>
              <a:lstStyle/>
              <a:p>
                <a:pPr>
                  <a:defRPr sz="800" b="0" i="0">
                    <a:solidFill>
                      <a:srgbClr val="000000"/>
                    </a:solidFill>
                    <a:latin typeface="Arial"/>
                    <a:ea typeface="Arial"/>
                    <a:cs typeface="Arial"/>
                  </a:defRPr>
                </a:pPr>
                <a:r>
                  <a:rPr lang="en-US"/>
                  <a:t>% change from baseline</a:t>
                </a:r>
              </a:p>
            </c:rich>
          </c:tx>
          <c:layout>
            <c:manualLayout>
              <c:xMode val="edge"/>
              <c:yMode val="edge"/>
              <c:x val="0.79329498207885307"/>
              <c:y val="1.5119047619047619E-2"/>
            </c:manualLayout>
          </c:layout>
          <c:overlay val="0"/>
        </c:title>
        <c:numFmt formatCode="#,##0" sourceLinked="0"/>
        <c:majorTickMark val="in"/>
        <c:minorTickMark val="none"/>
        <c:tickLblPos val="nextTo"/>
        <c:spPr>
          <a:ln w="12700">
            <a:solidFill>
              <a:srgbClr val="808080"/>
            </a:solidFill>
            <a:prstDash val="solid"/>
          </a:ln>
        </c:spPr>
        <c:txPr>
          <a:bodyPr rot="-60000000" vert="horz"/>
          <a:lstStyle/>
          <a:p>
            <a:pPr>
              <a:defRPr sz="800" b="0" i="0">
                <a:solidFill>
                  <a:srgbClr val="000000"/>
                </a:solidFill>
                <a:latin typeface="Arial"/>
                <a:ea typeface="Arial"/>
                <a:cs typeface="Arial"/>
              </a:defRPr>
            </a:pPr>
            <a:endParaRPr lang="en-US"/>
          </a:p>
        </c:txPr>
        <c:crossAx val="115598848"/>
        <c:crosses val="max"/>
        <c:crossBetween val="midCat"/>
      </c:valAx>
      <c:catAx>
        <c:axId val="115598848"/>
        <c:scaling>
          <c:orientation val="minMax"/>
        </c:scaling>
        <c:delete val="1"/>
        <c:axPos val="t"/>
        <c:numFmt formatCode="General" sourceLinked="1"/>
        <c:majorTickMark val="out"/>
        <c:minorTickMark val="none"/>
        <c:tickLblPos val="nextTo"/>
        <c:crossAx val="115592576"/>
        <c:crosses val="max"/>
        <c:auto val="1"/>
        <c:lblAlgn val="ctr"/>
        <c:lblOffset val="100"/>
        <c:noMultiLvlLbl val="0"/>
      </c:catAx>
      <c:spPr>
        <a:solidFill>
          <a:srgbClr val="FFFFFF"/>
        </a:solidFill>
        <a:ln>
          <a:noFill/>
          <a:round/>
        </a:ln>
        <a:effectLst/>
        <a:extLst>
          <a:ext uri="{91240B29-F687-4F45-9708-019B960494DF}">
            <a14:hiddenLine xmlns:a14="http://schemas.microsoft.com/office/drawing/2010/main">
              <a:noFill/>
              <a:round/>
            </a14:hiddenLine>
          </a:ext>
        </a:extLst>
      </c:spPr>
    </c:plotArea>
    <c:plotVisOnly val="1"/>
    <c:dispBlanksAs val="gap"/>
    <c:showDLblsOverMax val="0"/>
  </c:chart>
  <c:spPr>
    <a:solidFill>
      <a:srgbClr val="FFFFFF"/>
    </a:solidFill>
    <a:ln w="9525" cap="flat" cmpd="sng" algn="ctr">
      <a:noFill/>
      <a:prstDash val="solid"/>
      <a:round/>
    </a:ln>
    <a:effectLst/>
    <a:extLst>
      <a:ext uri="{91240B29-F687-4F45-9708-019B960494DF}">
        <a14:hiddenLine xmlns:a14="http://schemas.microsoft.com/office/drawing/2010/main" w="9525" cap="flat" cmpd="sng" algn="ctr">
          <a:solidFill>
            <a:sysClr val="windowText" lastClr="000000">
              <a:tint val="75000"/>
              <a:shade val="95000"/>
              <a:satMod val="105000"/>
            </a:sysClr>
          </a:solidFill>
          <a:prstDash val="solid"/>
          <a:round/>
        </a14:hiddenLine>
      </a:ext>
    </a:extLst>
  </c:spPr>
  <c:txPr>
    <a:bodyPr/>
    <a:lstStyle/>
    <a:p>
      <a:pPr>
        <a:defRPr sz="1200"/>
      </a:pPr>
      <a:endParaRPr lang="en-US"/>
    </a:p>
  </c:txPr>
  <c:externalData r:id="rId2">
    <c:autoUpdate val="0"/>
  </c:externalData>
  <c:userShapes r:id="rId3"/>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xMode val="edge"/>
          <c:yMode val="edge"/>
          <c:x val="9.1039426523297495E-3"/>
          <c:y val="2.8863492063492063E-2"/>
          <c:w val="0.98862007168458776"/>
          <c:h val="0.97113650793650796"/>
        </c:manualLayout>
      </c:layout>
      <c:lineChart>
        <c:grouping val="standard"/>
        <c:varyColors val="0"/>
        <c:ser>
          <c:idx val="0"/>
          <c:order val="0"/>
          <c:tx>
            <c:strRef>
              <c:f>'Pensioner projections'!$A$52</c:f>
              <c:strCache>
                <c:ptCount val="1"/>
                <c:pt idx="0">
                  <c:v>10% increase</c:v>
                </c:pt>
              </c:strCache>
            </c:strRef>
          </c:tx>
          <c:spPr>
            <a:ln w="22225">
              <a:solidFill>
                <a:sysClr val="windowText" lastClr="000000"/>
              </a:solidFill>
              <a:prstDash val="solid"/>
            </a:ln>
          </c:spPr>
          <c:marker>
            <c:symbol val="none"/>
          </c:marker>
          <c:cat>
            <c:numRef>
              <c:f>'Pensioner projections'!$C$1:$AV$1</c:f>
              <c:numCache>
                <c:formatCode>General</c:formatCode>
                <c:ptCount val="46"/>
                <c:pt idx="0">
                  <c:v>2015</c:v>
                </c:pt>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pt idx="27">
                  <c:v>2042</c:v>
                </c:pt>
                <c:pt idx="28">
                  <c:v>2043</c:v>
                </c:pt>
                <c:pt idx="29">
                  <c:v>2044</c:v>
                </c:pt>
                <c:pt idx="30">
                  <c:v>2045</c:v>
                </c:pt>
                <c:pt idx="31">
                  <c:v>2046</c:v>
                </c:pt>
                <c:pt idx="32">
                  <c:v>2047</c:v>
                </c:pt>
                <c:pt idx="33">
                  <c:v>2048</c:v>
                </c:pt>
                <c:pt idx="34">
                  <c:v>2049</c:v>
                </c:pt>
                <c:pt idx="35">
                  <c:v>2050</c:v>
                </c:pt>
                <c:pt idx="36">
                  <c:v>2051</c:v>
                </c:pt>
                <c:pt idx="37">
                  <c:v>2052</c:v>
                </c:pt>
                <c:pt idx="38">
                  <c:v>2053</c:v>
                </c:pt>
                <c:pt idx="39">
                  <c:v>2054</c:v>
                </c:pt>
                <c:pt idx="40">
                  <c:v>2055</c:v>
                </c:pt>
                <c:pt idx="41">
                  <c:v>2056</c:v>
                </c:pt>
                <c:pt idx="42">
                  <c:v>2057</c:v>
                </c:pt>
                <c:pt idx="43">
                  <c:v>2058</c:v>
                </c:pt>
                <c:pt idx="44">
                  <c:v>2059</c:v>
                </c:pt>
                <c:pt idx="45">
                  <c:v>2060</c:v>
                </c:pt>
              </c:numCache>
            </c:numRef>
          </c:cat>
          <c:val>
            <c:numRef>
              <c:f>'Pensioner projections'!$C$52:$AV$52</c:f>
              <c:numCache>
                <c:formatCode>0.0</c:formatCode>
                <c:ptCount val="46"/>
                <c:pt idx="0">
                  <c:v>0</c:v>
                </c:pt>
                <c:pt idx="1">
                  <c:v>0</c:v>
                </c:pt>
                <c:pt idx="2">
                  <c:v>0</c:v>
                </c:pt>
                <c:pt idx="3">
                  <c:v>0</c:v>
                </c:pt>
                <c:pt idx="4">
                  <c:v>0</c:v>
                </c:pt>
                <c:pt idx="5">
                  <c:v>7.108171994585355E-3</c:v>
                </c:pt>
                <c:pt idx="6">
                  <c:v>9.43484828033192E-3</c:v>
                </c:pt>
                <c:pt idx="7">
                  <c:v>-7.9910803891025672E-3</c:v>
                </c:pt>
                <c:pt idx="8">
                  <c:v>-2.2346241802317923E-2</c:v>
                </c:pt>
                <c:pt idx="9">
                  <c:v>-4.3692118084726062E-2</c:v>
                </c:pt>
                <c:pt idx="10">
                  <c:v>-5.7940199111472523E-2</c:v>
                </c:pt>
                <c:pt idx="11">
                  <c:v>-8.2270455679045451E-2</c:v>
                </c:pt>
                <c:pt idx="12">
                  <c:v>-0.12546198150630294</c:v>
                </c:pt>
                <c:pt idx="13">
                  <c:v>-0.13156562528126026</c:v>
                </c:pt>
                <c:pt idx="14">
                  <c:v>-0.1800708586624733</c:v>
                </c:pt>
                <c:pt idx="15">
                  <c:v>-0.22568428225215875</c:v>
                </c:pt>
                <c:pt idx="16">
                  <c:v>-0.28273425789407947</c:v>
                </c:pt>
                <c:pt idx="17">
                  <c:v>-0.28774436557474914</c:v>
                </c:pt>
                <c:pt idx="18">
                  <c:v>-0.31608742494265707</c:v>
                </c:pt>
                <c:pt idx="19">
                  <c:v>-0.36894389914498005</c:v>
                </c:pt>
                <c:pt idx="20">
                  <c:v>-0.4366232108511503</c:v>
                </c:pt>
                <c:pt idx="21">
                  <c:v>-0.49821287598414976</c:v>
                </c:pt>
                <c:pt idx="22">
                  <c:v>-0.56091296406088897</c:v>
                </c:pt>
                <c:pt idx="23">
                  <c:v>-0.63513402343067238</c:v>
                </c:pt>
                <c:pt idx="24">
                  <c:v>-0.72927990355089456</c:v>
                </c:pt>
                <c:pt idx="25">
                  <c:v>-0.751809703415518</c:v>
                </c:pt>
                <c:pt idx="26">
                  <c:v>-0.75220775633833004</c:v>
                </c:pt>
                <c:pt idx="27">
                  <c:v>-0.78853181278784046</c:v>
                </c:pt>
                <c:pt idx="28">
                  <c:v>-0.85332620687529337</c:v>
                </c:pt>
                <c:pt idx="29">
                  <c:v>-0.98109110860346016</c:v>
                </c:pt>
                <c:pt idx="30">
                  <c:v>-1.0809128947558477</c:v>
                </c:pt>
                <c:pt idx="31">
                  <c:v>-1.2525069607170591</c:v>
                </c:pt>
                <c:pt idx="32">
                  <c:v>-1.3855993247008924</c:v>
                </c:pt>
                <c:pt idx="33">
                  <c:v>-1.4872924674102506</c:v>
                </c:pt>
                <c:pt idx="34">
                  <c:v>-1.5414512842177874</c:v>
                </c:pt>
                <c:pt idx="35">
                  <c:v>-1.6595037464821494</c:v>
                </c:pt>
                <c:pt idx="36">
                  <c:v>-1.8301302035668043</c:v>
                </c:pt>
                <c:pt idx="37">
                  <c:v>-1.8624531477538064</c:v>
                </c:pt>
                <c:pt idx="38">
                  <c:v>-2.0243537757562935</c:v>
                </c:pt>
                <c:pt idx="39">
                  <c:v>-2.2216245885981367</c:v>
                </c:pt>
                <c:pt idx="40">
                  <c:v>-2.3709966968942342</c:v>
                </c:pt>
                <c:pt idx="41">
                  <c:v>-2.4422837006336628</c:v>
                </c:pt>
                <c:pt idx="42">
                  <c:v>-2.4661599845897553</c:v>
                </c:pt>
                <c:pt idx="43">
                  <c:v>-2.4841086148770231</c:v>
                </c:pt>
                <c:pt idx="44">
                  <c:v>-2.5920064455379532</c:v>
                </c:pt>
                <c:pt idx="45">
                  <c:v>-2.6499270629738114</c:v>
                </c:pt>
              </c:numCache>
            </c:numRef>
          </c:val>
          <c:smooth val="0"/>
          <c:extLst>
            <c:ext xmlns:c16="http://schemas.microsoft.com/office/drawing/2014/chart" uri="{C3380CC4-5D6E-409C-BE32-E72D297353CC}">
              <c16:uniqueId val="{00000000-3F0D-4FC0-B0C2-A84A93B28E36}"/>
            </c:ext>
          </c:extLst>
        </c:ser>
        <c:ser>
          <c:idx val="2"/>
          <c:order val="1"/>
          <c:tx>
            <c:strRef>
              <c:f>'Pensioner projections'!$A$53</c:f>
              <c:strCache>
                <c:ptCount val="1"/>
                <c:pt idx="0">
                  <c:v>Equalisation</c:v>
                </c:pt>
              </c:strCache>
            </c:strRef>
          </c:tx>
          <c:spPr>
            <a:ln w="22225">
              <a:solidFill>
                <a:srgbClr val="0070C0"/>
              </a:solidFill>
            </a:ln>
          </c:spPr>
          <c:marker>
            <c:symbol val="none"/>
          </c:marker>
          <c:cat>
            <c:numRef>
              <c:f>'Pensioner projections'!$C$1:$AV$1</c:f>
              <c:numCache>
                <c:formatCode>General</c:formatCode>
                <c:ptCount val="46"/>
                <c:pt idx="0">
                  <c:v>2015</c:v>
                </c:pt>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pt idx="27">
                  <c:v>2042</c:v>
                </c:pt>
                <c:pt idx="28">
                  <c:v>2043</c:v>
                </c:pt>
                <c:pt idx="29">
                  <c:v>2044</c:v>
                </c:pt>
                <c:pt idx="30">
                  <c:v>2045</c:v>
                </c:pt>
                <c:pt idx="31">
                  <c:v>2046</c:v>
                </c:pt>
                <c:pt idx="32">
                  <c:v>2047</c:v>
                </c:pt>
                <c:pt idx="33">
                  <c:v>2048</c:v>
                </c:pt>
                <c:pt idx="34">
                  <c:v>2049</c:v>
                </c:pt>
                <c:pt idx="35">
                  <c:v>2050</c:v>
                </c:pt>
                <c:pt idx="36">
                  <c:v>2051</c:v>
                </c:pt>
                <c:pt idx="37">
                  <c:v>2052</c:v>
                </c:pt>
                <c:pt idx="38">
                  <c:v>2053</c:v>
                </c:pt>
                <c:pt idx="39">
                  <c:v>2054</c:v>
                </c:pt>
                <c:pt idx="40">
                  <c:v>2055</c:v>
                </c:pt>
                <c:pt idx="41">
                  <c:v>2056</c:v>
                </c:pt>
                <c:pt idx="42">
                  <c:v>2057</c:v>
                </c:pt>
                <c:pt idx="43">
                  <c:v>2058</c:v>
                </c:pt>
                <c:pt idx="44">
                  <c:v>2059</c:v>
                </c:pt>
                <c:pt idx="45">
                  <c:v>2060</c:v>
                </c:pt>
              </c:numCache>
            </c:numRef>
          </c:cat>
          <c:val>
            <c:numRef>
              <c:f>'Pensioner projections'!$C$53:$AV$53</c:f>
              <c:numCache>
                <c:formatCode>0.0</c:formatCode>
                <c:ptCount val="46"/>
                <c:pt idx="0">
                  <c:v>0</c:v>
                </c:pt>
                <c:pt idx="1">
                  <c:v>0</c:v>
                </c:pt>
                <c:pt idx="2">
                  <c:v>0</c:v>
                </c:pt>
                <c:pt idx="3">
                  <c:v>0</c:v>
                </c:pt>
                <c:pt idx="4">
                  <c:v>0</c:v>
                </c:pt>
                <c:pt idx="5">
                  <c:v>-1.0508963126998005</c:v>
                </c:pt>
                <c:pt idx="6">
                  <c:v>-1.5989024580919331</c:v>
                </c:pt>
                <c:pt idx="7">
                  <c:v>-1.7631368168082862</c:v>
                </c:pt>
                <c:pt idx="8">
                  <c:v>-2.2814687388319377</c:v>
                </c:pt>
                <c:pt idx="9">
                  <c:v>-2.5424878572842702</c:v>
                </c:pt>
                <c:pt idx="10">
                  <c:v>-2.9357868241774998</c:v>
                </c:pt>
                <c:pt idx="11">
                  <c:v>-3.4449573130509781</c:v>
                </c:pt>
                <c:pt idx="12">
                  <c:v>-3.7228221416976015</c:v>
                </c:pt>
                <c:pt idx="13">
                  <c:v>-4.1228872213005419</c:v>
                </c:pt>
                <c:pt idx="14">
                  <c:v>-4.4755879956481559</c:v>
                </c:pt>
                <c:pt idx="15">
                  <c:v>-4.6975757189477001</c:v>
                </c:pt>
                <c:pt idx="16">
                  <c:v>-4.8750460941118341</c:v>
                </c:pt>
                <c:pt idx="17">
                  <c:v>-5.149002254320056</c:v>
                </c:pt>
                <c:pt idx="18">
                  <c:v>-5.2884851335449738</c:v>
                </c:pt>
                <c:pt idx="19">
                  <c:v>-5.5458863416290249</c:v>
                </c:pt>
                <c:pt idx="20">
                  <c:v>-5.8390432619507386</c:v>
                </c:pt>
                <c:pt idx="21">
                  <c:v>-6.0804359666641661</c:v>
                </c:pt>
                <c:pt idx="22">
                  <c:v>-6.3194302056789216</c:v>
                </c:pt>
                <c:pt idx="23">
                  <c:v>-6.4783640941858289</c:v>
                </c:pt>
                <c:pt idx="24">
                  <c:v>-6.6232225126936832</c:v>
                </c:pt>
                <c:pt idx="25">
                  <c:v>-6.8415580791875925</c:v>
                </c:pt>
                <c:pt idx="26">
                  <c:v>-7.0158194096889392</c:v>
                </c:pt>
                <c:pt idx="27">
                  <c:v>-7.2061697649208227</c:v>
                </c:pt>
                <c:pt idx="28">
                  <c:v>-7.5293190055195858</c:v>
                </c:pt>
                <c:pt idx="29">
                  <c:v>-7.8625492835482031</c:v>
                </c:pt>
                <c:pt idx="30">
                  <c:v>-8.1243058976997791</c:v>
                </c:pt>
                <c:pt idx="31">
                  <c:v>-8.510432731322549</c:v>
                </c:pt>
                <c:pt idx="32">
                  <c:v>-8.824827043504424</c:v>
                </c:pt>
                <c:pt idx="33">
                  <c:v>-9.1878882583698918</c:v>
                </c:pt>
                <c:pt idx="34">
                  <c:v>-9.5161316157804432</c:v>
                </c:pt>
                <c:pt idx="35">
                  <c:v>-9.9225939573464821</c:v>
                </c:pt>
                <c:pt idx="36">
                  <c:v>-10.434443763787126</c:v>
                </c:pt>
                <c:pt idx="37">
                  <c:v>-10.861347370428931</c:v>
                </c:pt>
                <c:pt idx="38">
                  <c:v>-11.208395702142237</c:v>
                </c:pt>
                <c:pt idx="39">
                  <c:v>-11.715789511213826</c:v>
                </c:pt>
                <c:pt idx="40">
                  <c:v>-12.197996231016717</c:v>
                </c:pt>
                <c:pt idx="41">
                  <c:v>-12.619629921518605</c:v>
                </c:pt>
                <c:pt idx="42">
                  <c:v>-13.003447051808003</c:v>
                </c:pt>
                <c:pt idx="43">
                  <c:v>-13.366379494893277</c:v>
                </c:pt>
                <c:pt idx="44">
                  <c:v>-13.801383421122804</c:v>
                </c:pt>
                <c:pt idx="45">
                  <c:v>-14.081519012573951</c:v>
                </c:pt>
              </c:numCache>
            </c:numRef>
          </c:val>
          <c:smooth val="0"/>
          <c:extLst>
            <c:ext xmlns:c16="http://schemas.microsoft.com/office/drawing/2014/chart" uri="{C3380CC4-5D6E-409C-BE32-E72D297353CC}">
              <c16:uniqueId val="{00000001-3F0D-4FC0-B0C2-A84A93B28E36}"/>
            </c:ext>
          </c:extLst>
        </c:ser>
        <c:dLbls>
          <c:showLegendKey val="0"/>
          <c:showVal val="0"/>
          <c:showCatName val="0"/>
          <c:showSerName val="0"/>
          <c:showPercent val="0"/>
          <c:showBubbleSize val="0"/>
        </c:dLbls>
        <c:marker val="1"/>
        <c:smooth val="0"/>
        <c:axId val="115703808"/>
        <c:axId val="115705344"/>
      </c:lineChart>
      <c:lineChart>
        <c:grouping val="standard"/>
        <c:varyColors val="0"/>
        <c:ser>
          <c:idx val="3"/>
          <c:order val="2"/>
          <c:tx>
            <c:strRef>
              <c:f>'Pensioner projections'!$A$54</c:f>
              <c:strCache>
                <c:ptCount val="1"/>
                <c:pt idx="0">
                  <c:v>Offset</c:v>
                </c:pt>
              </c:strCache>
            </c:strRef>
          </c:tx>
          <c:spPr>
            <a:ln w="22225">
              <a:solidFill>
                <a:srgbClr val="FF0000"/>
              </a:solidFill>
            </a:ln>
          </c:spPr>
          <c:marker>
            <c:symbol val="none"/>
          </c:marker>
          <c:cat>
            <c:numRef>
              <c:f>'Pensioner projections'!$C$1:$AV$1</c:f>
              <c:numCache>
                <c:formatCode>General</c:formatCode>
                <c:ptCount val="46"/>
                <c:pt idx="0">
                  <c:v>2015</c:v>
                </c:pt>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pt idx="27">
                  <c:v>2042</c:v>
                </c:pt>
                <c:pt idx="28">
                  <c:v>2043</c:v>
                </c:pt>
                <c:pt idx="29">
                  <c:v>2044</c:v>
                </c:pt>
                <c:pt idx="30">
                  <c:v>2045</c:v>
                </c:pt>
                <c:pt idx="31">
                  <c:v>2046</c:v>
                </c:pt>
                <c:pt idx="32">
                  <c:v>2047</c:v>
                </c:pt>
                <c:pt idx="33">
                  <c:v>2048</c:v>
                </c:pt>
                <c:pt idx="34">
                  <c:v>2049</c:v>
                </c:pt>
                <c:pt idx="35">
                  <c:v>2050</c:v>
                </c:pt>
                <c:pt idx="36">
                  <c:v>2051</c:v>
                </c:pt>
                <c:pt idx="37">
                  <c:v>2052</c:v>
                </c:pt>
                <c:pt idx="38">
                  <c:v>2053</c:v>
                </c:pt>
                <c:pt idx="39">
                  <c:v>2054</c:v>
                </c:pt>
                <c:pt idx="40">
                  <c:v>2055</c:v>
                </c:pt>
                <c:pt idx="41">
                  <c:v>2056</c:v>
                </c:pt>
                <c:pt idx="42">
                  <c:v>2057</c:v>
                </c:pt>
                <c:pt idx="43">
                  <c:v>2058</c:v>
                </c:pt>
                <c:pt idx="44">
                  <c:v>2059</c:v>
                </c:pt>
                <c:pt idx="45">
                  <c:v>2060</c:v>
                </c:pt>
              </c:numCache>
            </c:numRef>
          </c:cat>
          <c:val>
            <c:numRef>
              <c:f>'Pensioner projections'!$C$54:$AV$54</c:f>
              <c:numCache>
                <c:formatCode>0.0</c:formatCode>
                <c:ptCount val="46"/>
                <c:pt idx="0">
                  <c:v>0</c:v>
                </c:pt>
                <c:pt idx="1">
                  <c:v>0</c:v>
                </c:pt>
                <c:pt idx="2">
                  <c:v>0</c:v>
                </c:pt>
                <c:pt idx="3">
                  <c:v>0</c:v>
                </c:pt>
                <c:pt idx="4">
                  <c:v>0</c:v>
                </c:pt>
                <c:pt idx="5">
                  <c:v>0.13657594275477969</c:v>
                </c:pt>
                <c:pt idx="6">
                  <c:v>7.0514303578628201E-3</c:v>
                </c:pt>
                <c:pt idx="7">
                  <c:v>9.483558192335817E-2</c:v>
                </c:pt>
                <c:pt idx="8">
                  <c:v>-0.18008389680201908</c:v>
                </c:pt>
                <c:pt idx="9">
                  <c:v>-0.27397090612399921</c:v>
                </c:pt>
                <c:pt idx="10">
                  <c:v>-0.38423910912854797</c:v>
                </c:pt>
                <c:pt idx="11">
                  <c:v>-0.53224155052657984</c:v>
                </c:pt>
                <c:pt idx="12">
                  <c:v>-0.62768891553237616</c:v>
                </c:pt>
                <c:pt idx="13">
                  <c:v>-0.57129552390962068</c:v>
                </c:pt>
                <c:pt idx="14">
                  <c:v>-0.50978159872704376</c:v>
                </c:pt>
                <c:pt idx="15">
                  <c:v>-0.47536469169932039</c:v>
                </c:pt>
                <c:pt idx="16">
                  <c:v>-0.35548950167442195</c:v>
                </c:pt>
                <c:pt idx="17">
                  <c:v>-0.2035966461989891</c:v>
                </c:pt>
                <c:pt idx="18">
                  <c:v>0.15065494371018229</c:v>
                </c:pt>
                <c:pt idx="19">
                  <c:v>0.18930723299028784</c:v>
                </c:pt>
                <c:pt idx="20">
                  <c:v>0.24770682240369268</c:v>
                </c:pt>
                <c:pt idx="21">
                  <c:v>0.2111445771748599</c:v>
                </c:pt>
                <c:pt idx="22">
                  <c:v>0.24450935297606335</c:v>
                </c:pt>
                <c:pt idx="23">
                  <c:v>0.35270994652480958</c:v>
                </c:pt>
                <c:pt idx="24">
                  <c:v>0.51451504803488035</c:v>
                </c:pt>
                <c:pt idx="25">
                  <c:v>0.47980517430430414</c:v>
                </c:pt>
                <c:pt idx="26">
                  <c:v>0.50530619777269248</c:v>
                </c:pt>
                <c:pt idx="27">
                  <c:v>0.61583591268448146</c:v>
                </c:pt>
                <c:pt idx="28">
                  <c:v>0.67534565538571734</c:v>
                </c:pt>
                <c:pt idx="29">
                  <c:v>0.6595330879143102</c:v>
                </c:pt>
                <c:pt idx="30">
                  <c:v>0.68741680225941071</c:v>
                </c:pt>
                <c:pt idx="31">
                  <c:v>0.6754766574727622</c:v>
                </c:pt>
                <c:pt idx="32">
                  <c:v>0.67923209606615131</c:v>
                </c:pt>
                <c:pt idx="33">
                  <c:v>0.63546412258863594</c:v>
                </c:pt>
                <c:pt idx="34">
                  <c:v>0.66637700747402828</c:v>
                </c:pt>
                <c:pt idx="35">
                  <c:v>0.67765657769895959</c:v>
                </c:pt>
                <c:pt idx="36">
                  <c:v>0.49870593126208895</c:v>
                </c:pt>
                <c:pt idx="37">
                  <c:v>0.40377270571003709</c:v>
                </c:pt>
                <c:pt idx="38">
                  <c:v>0.40415752913056657</c:v>
                </c:pt>
                <c:pt idx="39">
                  <c:v>0.30624606840290447</c:v>
                </c:pt>
                <c:pt idx="40">
                  <c:v>0.27285692730993905</c:v>
                </c:pt>
                <c:pt idx="41">
                  <c:v>0.38835073697924827</c:v>
                </c:pt>
                <c:pt idx="42">
                  <c:v>0.35845873942856876</c:v>
                </c:pt>
                <c:pt idx="43">
                  <c:v>0.35575287070588324</c:v>
                </c:pt>
                <c:pt idx="44">
                  <c:v>0.36745655976686553</c:v>
                </c:pt>
                <c:pt idx="45">
                  <c:v>0.49747966215567541</c:v>
                </c:pt>
              </c:numCache>
            </c:numRef>
          </c:val>
          <c:smooth val="0"/>
          <c:extLst>
            <c:ext xmlns:c16="http://schemas.microsoft.com/office/drawing/2014/chart" uri="{C3380CC4-5D6E-409C-BE32-E72D297353CC}">
              <c16:uniqueId val="{00000002-3F0D-4FC0-B0C2-A84A93B28E36}"/>
            </c:ext>
          </c:extLst>
        </c:ser>
        <c:dLbls>
          <c:showLegendKey val="0"/>
          <c:showVal val="0"/>
          <c:showCatName val="0"/>
          <c:showSerName val="0"/>
          <c:showPercent val="0"/>
          <c:showBubbleSize val="0"/>
        </c:dLbls>
        <c:marker val="1"/>
        <c:smooth val="0"/>
        <c:axId val="115713536"/>
        <c:axId val="115707264"/>
      </c:lineChart>
      <c:catAx>
        <c:axId val="115703808"/>
        <c:scaling>
          <c:orientation val="minMax"/>
        </c:scaling>
        <c:delete val="0"/>
        <c:axPos val="b"/>
        <c:numFmt formatCode="General" sourceLinked="1"/>
        <c:majorTickMark val="cross"/>
        <c:minorTickMark val="none"/>
        <c:tickLblPos val="low"/>
        <c:spPr>
          <a:ln w="12700">
            <a:solidFill>
              <a:srgbClr val="808080"/>
            </a:solidFill>
            <a:prstDash val="solid"/>
          </a:ln>
        </c:spPr>
        <c:txPr>
          <a:bodyPr/>
          <a:lstStyle/>
          <a:p>
            <a:pPr>
              <a:defRPr sz="800" b="0" i="0">
                <a:solidFill>
                  <a:srgbClr val="000000"/>
                </a:solidFill>
                <a:latin typeface="Arial"/>
                <a:ea typeface="Arial"/>
                <a:cs typeface="Arial"/>
              </a:defRPr>
            </a:pPr>
            <a:endParaRPr lang="en-US"/>
          </a:p>
        </c:txPr>
        <c:crossAx val="115705344"/>
        <c:crossesAt val="0"/>
        <c:auto val="1"/>
        <c:lblAlgn val="ctr"/>
        <c:lblOffset val="100"/>
        <c:tickLblSkip val="5"/>
        <c:tickMarkSkip val="5"/>
        <c:noMultiLvlLbl val="0"/>
      </c:catAx>
      <c:valAx>
        <c:axId val="115705344"/>
        <c:scaling>
          <c:orientation val="minMax"/>
          <c:max val="5"/>
          <c:min val="-25"/>
        </c:scaling>
        <c:delete val="0"/>
        <c:axPos val="l"/>
        <c:title>
          <c:tx>
            <c:rich>
              <a:bodyPr rot="0" vert="horz"/>
              <a:lstStyle/>
              <a:p>
                <a:pPr>
                  <a:defRPr sz="800" b="0" i="0">
                    <a:solidFill>
                      <a:srgbClr val="000000"/>
                    </a:solidFill>
                    <a:latin typeface="Arial"/>
                    <a:ea typeface="Arial"/>
                    <a:cs typeface="Arial"/>
                  </a:defRPr>
                </a:pPr>
                <a:r>
                  <a:rPr lang="en-US"/>
                  <a:t>% change from baseline</a:t>
                </a:r>
              </a:p>
            </c:rich>
          </c:tx>
          <c:layout>
            <c:manualLayout>
              <c:xMode val="edge"/>
              <c:yMode val="edge"/>
              <c:x val="5.0071684587813622E-2"/>
              <c:y val="0"/>
            </c:manualLayout>
          </c:layout>
          <c:overlay val="0"/>
        </c:title>
        <c:numFmt formatCode="#,##0" sourceLinked="0"/>
        <c:majorTickMark val="in"/>
        <c:minorTickMark val="none"/>
        <c:tickLblPos val="nextTo"/>
        <c:spPr>
          <a:ln w="12700">
            <a:solidFill>
              <a:srgbClr val="808080"/>
            </a:solidFill>
            <a:prstDash val="solid"/>
          </a:ln>
        </c:spPr>
        <c:txPr>
          <a:bodyPr/>
          <a:lstStyle/>
          <a:p>
            <a:pPr>
              <a:defRPr sz="800" b="0" i="0">
                <a:solidFill>
                  <a:srgbClr val="000000"/>
                </a:solidFill>
                <a:latin typeface="Arial"/>
                <a:ea typeface="Arial"/>
                <a:cs typeface="Arial"/>
              </a:defRPr>
            </a:pPr>
            <a:endParaRPr lang="en-US"/>
          </a:p>
        </c:txPr>
        <c:crossAx val="115703808"/>
        <c:crosses val="autoZero"/>
        <c:crossBetween val="midCat"/>
      </c:valAx>
      <c:valAx>
        <c:axId val="115707264"/>
        <c:scaling>
          <c:orientation val="minMax"/>
          <c:max val="5"/>
          <c:min val="-25"/>
        </c:scaling>
        <c:delete val="0"/>
        <c:axPos val="r"/>
        <c:title>
          <c:tx>
            <c:rich>
              <a:bodyPr rot="0" vert="horz"/>
              <a:lstStyle/>
              <a:p>
                <a:pPr>
                  <a:defRPr sz="800" b="0" i="0">
                    <a:solidFill>
                      <a:srgbClr val="000000"/>
                    </a:solidFill>
                    <a:latin typeface="Arial"/>
                    <a:ea typeface="Arial"/>
                    <a:cs typeface="Arial"/>
                  </a:defRPr>
                </a:pPr>
                <a:r>
                  <a:rPr lang="en-US"/>
                  <a:t>% change from baseline</a:t>
                </a:r>
              </a:p>
            </c:rich>
          </c:tx>
          <c:layout>
            <c:manualLayout>
              <c:xMode val="edge"/>
              <c:yMode val="edge"/>
              <c:x val="0.79101899641577056"/>
              <c:y val="1.0079365079365079E-2"/>
            </c:manualLayout>
          </c:layout>
          <c:overlay val="0"/>
        </c:title>
        <c:numFmt formatCode="#,##0" sourceLinked="0"/>
        <c:majorTickMark val="in"/>
        <c:minorTickMark val="none"/>
        <c:tickLblPos val="nextTo"/>
        <c:spPr>
          <a:ln w="12700">
            <a:solidFill>
              <a:srgbClr val="808080"/>
            </a:solidFill>
            <a:prstDash val="solid"/>
          </a:ln>
        </c:spPr>
        <c:txPr>
          <a:bodyPr rot="-60000000" vert="horz"/>
          <a:lstStyle/>
          <a:p>
            <a:pPr>
              <a:defRPr sz="800" b="0" i="0">
                <a:solidFill>
                  <a:srgbClr val="000000"/>
                </a:solidFill>
                <a:latin typeface="Arial"/>
                <a:ea typeface="Arial"/>
                <a:cs typeface="Arial"/>
              </a:defRPr>
            </a:pPr>
            <a:endParaRPr lang="en-US"/>
          </a:p>
        </c:txPr>
        <c:crossAx val="115713536"/>
        <c:crosses val="max"/>
        <c:crossBetween val="midCat"/>
      </c:valAx>
      <c:catAx>
        <c:axId val="115713536"/>
        <c:scaling>
          <c:orientation val="minMax"/>
        </c:scaling>
        <c:delete val="1"/>
        <c:axPos val="t"/>
        <c:numFmt formatCode="General" sourceLinked="1"/>
        <c:majorTickMark val="out"/>
        <c:minorTickMark val="none"/>
        <c:tickLblPos val="nextTo"/>
        <c:crossAx val="115707264"/>
        <c:crosses val="max"/>
        <c:auto val="1"/>
        <c:lblAlgn val="ctr"/>
        <c:lblOffset val="100"/>
        <c:noMultiLvlLbl val="0"/>
      </c:catAx>
      <c:spPr>
        <a:solidFill>
          <a:srgbClr val="FFFFFF"/>
        </a:solidFill>
        <a:ln>
          <a:noFill/>
          <a:round/>
        </a:ln>
        <a:effectLst/>
        <a:extLst>
          <a:ext uri="{91240B29-F687-4F45-9708-019B960494DF}">
            <a14:hiddenLine xmlns:a14="http://schemas.microsoft.com/office/drawing/2010/main">
              <a:noFill/>
              <a:round/>
            </a14:hiddenLine>
          </a:ext>
        </a:extLst>
      </c:spPr>
    </c:plotArea>
    <c:plotVisOnly val="1"/>
    <c:dispBlanksAs val="gap"/>
    <c:showDLblsOverMax val="0"/>
  </c:chart>
  <c:spPr>
    <a:solidFill>
      <a:srgbClr val="FFFFFF"/>
    </a:solidFill>
    <a:ln w="9525" cap="flat" cmpd="sng" algn="ctr">
      <a:noFill/>
      <a:prstDash val="solid"/>
      <a:round/>
    </a:ln>
    <a:effectLst/>
    <a:extLst>
      <a:ext uri="{91240B29-F687-4F45-9708-019B960494DF}">
        <a14:hiddenLine xmlns:a14="http://schemas.microsoft.com/office/drawing/2010/main" w="9525" cap="flat" cmpd="sng" algn="ctr">
          <a:solidFill>
            <a:sysClr val="windowText" lastClr="000000">
              <a:tint val="75000"/>
              <a:shade val="95000"/>
              <a:satMod val="105000"/>
            </a:sysClr>
          </a:solidFill>
          <a:prstDash val="solid"/>
          <a:round/>
        </a14:hiddenLine>
      </a:ext>
    </a:extLst>
  </c:spPr>
  <c:txPr>
    <a:bodyPr/>
    <a:lstStyle/>
    <a:p>
      <a:pPr>
        <a:defRPr sz="1200"/>
      </a:pPr>
      <a:endParaRPr lang="en-US"/>
    </a:p>
  </c:txPr>
  <c:externalData r:id="rId2">
    <c:autoUpdate val="0"/>
  </c:externalData>
  <c:userShapes r:id="rId3"/>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xMode val="edge"/>
          <c:yMode val="edge"/>
          <c:x val="9.1039426523297495E-3"/>
          <c:y val="2.8863492063492063E-2"/>
          <c:w val="0.98862007168458776"/>
          <c:h val="0.97113650793650796"/>
        </c:manualLayout>
      </c:layout>
      <c:lineChart>
        <c:grouping val="standard"/>
        <c:varyColors val="0"/>
        <c:ser>
          <c:idx val="0"/>
          <c:order val="0"/>
          <c:tx>
            <c:strRef>
              <c:f>summary!$A$41</c:f>
              <c:strCache>
                <c:ptCount val="1"/>
                <c:pt idx="0">
                  <c:v>10% increase</c:v>
                </c:pt>
              </c:strCache>
            </c:strRef>
          </c:tx>
          <c:spPr>
            <a:ln w="22225">
              <a:solidFill>
                <a:sysClr val="windowText" lastClr="000000"/>
              </a:solidFill>
              <a:prstDash val="solid"/>
            </a:ln>
          </c:spPr>
          <c:marker>
            <c:symbol val="none"/>
          </c:marker>
          <c:cat>
            <c:numRef>
              <c:f>summary!$L$1:$AU$1</c:f>
              <c:numCache>
                <c:formatCode>General</c:formatCode>
                <c:ptCount val="36"/>
                <c:pt idx="0">
                  <c:v>2025</c:v>
                </c:pt>
                <c:pt idx="1">
                  <c:v>2026</c:v>
                </c:pt>
                <c:pt idx="2">
                  <c:v>2027</c:v>
                </c:pt>
                <c:pt idx="3">
                  <c:v>2028</c:v>
                </c:pt>
                <c:pt idx="4">
                  <c:v>2029</c:v>
                </c:pt>
                <c:pt idx="5">
                  <c:v>2030</c:v>
                </c:pt>
                <c:pt idx="6">
                  <c:v>2031</c:v>
                </c:pt>
                <c:pt idx="7">
                  <c:v>2032</c:v>
                </c:pt>
                <c:pt idx="8">
                  <c:v>2033</c:v>
                </c:pt>
                <c:pt idx="9">
                  <c:v>2034</c:v>
                </c:pt>
                <c:pt idx="10">
                  <c:v>2035</c:v>
                </c:pt>
                <c:pt idx="11">
                  <c:v>2036</c:v>
                </c:pt>
                <c:pt idx="12">
                  <c:v>2037</c:v>
                </c:pt>
                <c:pt idx="13">
                  <c:v>2038</c:v>
                </c:pt>
                <c:pt idx="14">
                  <c:v>2039</c:v>
                </c:pt>
                <c:pt idx="15">
                  <c:v>2040</c:v>
                </c:pt>
                <c:pt idx="16">
                  <c:v>2041</c:v>
                </c:pt>
                <c:pt idx="17">
                  <c:v>2042</c:v>
                </c:pt>
                <c:pt idx="18">
                  <c:v>2043</c:v>
                </c:pt>
                <c:pt idx="19">
                  <c:v>2044</c:v>
                </c:pt>
                <c:pt idx="20">
                  <c:v>2045</c:v>
                </c:pt>
                <c:pt idx="21">
                  <c:v>2046</c:v>
                </c:pt>
                <c:pt idx="22">
                  <c:v>2047</c:v>
                </c:pt>
                <c:pt idx="23">
                  <c:v>2048</c:v>
                </c:pt>
                <c:pt idx="24">
                  <c:v>2049</c:v>
                </c:pt>
                <c:pt idx="25">
                  <c:v>2050</c:v>
                </c:pt>
                <c:pt idx="26">
                  <c:v>2051</c:v>
                </c:pt>
                <c:pt idx="27">
                  <c:v>2052</c:v>
                </c:pt>
                <c:pt idx="28">
                  <c:v>2053</c:v>
                </c:pt>
                <c:pt idx="29">
                  <c:v>2054</c:v>
                </c:pt>
                <c:pt idx="30">
                  <c:v>2055</c:v>
                </c:pt>
                <c:pt idx="31">
                  <c:v>2056</c:v>
                </c:pt>
                <c:pt idx="32">
                  <c:v>2057</c:v>
                </c:pt>
                <c:pt idx="33">
                  <c:v>2058</c:v>
                </c:pt>
                <c:pt idx="34">
                  <c:v>2059</c:v>
                </c:pt>
                <c:pt idx="35">
                  <c:v>2060</c:v>
                </c:pt>
              </c:numCache>
            </c:numRef>
          </c:cat>
          <c:val>
            <c:numRef>
              <c:f>summary!$L$41:$AU$41</c:f>
              <c:numCache>
                <c:formatCode>0.00</c:formatCode>
                <c:ptCount val="36"/>
                <c:pt idx="0">
                  <c:v>-0.44101281951564486</c:v>
                </c:pt>
                <c:pt idx="1">
                  <c:v>-0.29524340267324201</c:v>
                </c:pt>
                <c:pt idx="2">
                  <c:v>0.27107941857684059</c:v>
                </c:pt>
                <c:pt idx="3">
                  <c:v>1.1017009169602687E-2</c:v>
                </c:pt>
                <c:pt idx="4">
                  <c:v>0.24551086063063776</c:v>
                </c:pt>
                <c:pt idx="5">
                  <c:v>0.48432535384529407</c:v>
                </c:pt>
                <c:pt idx="6">
                  <c:v>3.4125084512059978E-2</c:v>
                </c:pt>
                <c:pt idx="7">
                  <c:v>-5.8003355183227079E-2</c:v>
                </c:pt>
                <c:pt idx="8">
                  <c:v>0.11832738282988364</c:v>
                </c:pt>
                <c:pt idx="9">
                  <c:v>-1.40808902697942E-2</c:v>
                </c:pt>
                <c:pt idx="10">
                  <c:v>1.0818102003288144</c:v>
                </c:pt>
                <c:pt idx="11">
                  <c:v>1.6913105060951452</c:v>
                </c:pt>
                <c:pt idx="12">
                  <c:v>1.9918616073696338</c:v>
                </c:pt>
                <c:pt idx="13">
                  <c:v>2.5796690656821442</c:v>
                </c:pt>
                <c:pt idx="14">
                  <c:v>2.6207173098055225</c:v>
                </c:pt>
                <c:pt idx="15">
                  <c:v>1.9442965019329563</c:v>
                </c:pt>
                <c:pt idx="16">
                  <c:v>2.1741948528891042</c:v>
                </c:pt>
                <c:pt idx="17">
                  <c:v>2.3142799982381668</c:v>
                </c:pt>
                <c:pt idx="18">
                  <c:v>2.8119197483773783</c:v>
                </c:pt>
                <c:pt idx="19">
                  <c:v>3.744049440750099</c:v>
                </c:pt>
                <c:pt idx="20">
                  <c:v>4.495986272648298</c:v>
                </c:pt>
                <c:pt idx="21">
                  <c:v>5.324785040022566</c:v>
                </c:pt>
                <c:pt idx="22">
                  <c:v>5.2030989467036814</c:v>
                </c:pt>
                <c:pt idx="23">
                  <c:v>4.954052942846876</c:v>
                </c:pt>
                <c:pt idx="24">
                  <c:v>4.9534634239143172</c:v>
                </c:pt>
                <c:pt idx="25">
                  <c:v>4.3825397386232456</c:v>
                </c:pt>
                <c:pt idx="26">
                  <c:v>4.3823440896681554</c:v>
                </c:pt>
                <c:pt idx="27">
                  <c:v>4.4503653373513785</c:v>
                </c:pt>
                <c:pt idx="28">
                  <c:v>5.1556905175068568</c:v>
                </c:pt>
                <c:pt idx="29">
                  <c:v>5.483987695759728</c:v>
                </c:pt>
                <c:pt idx="30">
                  <c:v>5.983280383439249</c:v>
                </c:pt>
                <c:pt idx="31">
                  <c:v>5.7598776863925893</c:v>
                </c:pt>
                <c:pt idx="32">
                  <c:v>6.1539954881764469</c:v>
                </c:pt>
                <c:pt idx="33">
                  <c:v>5.5300083351737817</c:v>
                </c:pt>
              </c:numCache>
            </c:numRef>
          </c:val>
          <c:smooth val="0"/>
          <c:extLst>
            <c:ext xmlns:c16="http://schemas.microsoft.com/office/drawing/2014/chart" uri="{C3380CC4-5D6E-409C-BE32-E72D297353CC}">
              <c16:uniqueId val="{00000000-5D9F-4F18-B448-FDFD86C280D5}"/>
            </c:ext>
          </c:extLst>
        </c:ser>
        <c:ser>
          <c:idx val="2"/>
          <c:order val="1"/>
          <c:tx>
            <c:strRef>
              <c:f>summary!$A$42</c:f>
              <c:strCache>
                <c:ptCount val="1"/>
                <c:pt idx="0">
                  <c:v>Equalisation</c:v>
                </c:pt>
              </c:strCache>
            </c:strRef>
          </c:tx>
          <c:spPr>
            <a:ln w="22225">
              <a:solidFill>
                <a:srgbClr val="0070C0"/>
              </a:solidFill>
            </a:ln>
          </c:spPr>
          <c:marker>
            <c:symbol val="none"/>
          </c:marker>
          <c:cat>
            <c:numRef>
              <c:f>summary!$L$1:$AU$1</c:f>
              <c:numCache>
                <c:formatCode>General</c:formatCode>
                <c:ptCount val="36"/>
                <c:pt idx="0">
                  <c:v>2025</c:v>
                </c:pt>
                <c:pt idx="1">
                  <c:v>2026</c:v>
                </c:pt>
                <c:pt idx="2">
                  <c:v>2027</c:v>
                </c:pt>
                <c:pt idx="3">
                  <c:v>2028</c:v>
                </c:pt>
                <c:pt idx="4">
                  <c:v>2029</c:v>
                </c:pt>
                <c:pt idx="5">
                  <c:v>2030</c:v>
                </c:pt>
                <c:pt idx="6">
                  <c:v>2031</c:v>
                </c:pt>
                <c:pt idx="7">
                  <c:v>2032</c:v>
                </c:pt>
                <c:pt idx="8">
                  <c:v>2033</c:v>
                </c:pt>
                <c:pt idx="9">
                  <c:v>2034</c:v>
                </c:pt>
                <c:pt idx="10">
                  <c:v>2035</c:v>
                </c:pt>
                <c:pt idx="11">
                  <c:v>2036</c:v>
                </c:pt>
                <c:pt idx="12">
                  <c:v>2037</c:v>
                </c:pt>
                <c:pt idx="13">
                  <c:v>2038</c:v>
                </c:pt>
                <c:pt idx="14">
                  <c:v>2039</c:v>
                </c:pt>
                <c:pt idx="15">
                  <c:v>2040</c:v>
                </c:pt>
                <c:pt idx="16">
                  <c:v>2041</c:v>
                </c:pt>
                <c:pt idx="17">
                  <c:v>2042</c:v>
                </c:pt>
                <c:pt idx="18">
                  <c:v>2043</c:v>
                </c:pt>
                <c:pt idx="19">
                  <c:v>2044</c:v>
                </c:pt>
                <c:pt idx="20">
                  <c:v>2045</c:v>
                </c:pt>
                <c:pt idx="21">
                  <c:v>2046</c:v>
                </c:pt>
                <c:pt idx="22">
                  <c:v>2047</c:v>
                </c:pt>
                <c:pt idx="23">
                  <c:v>2048</c:v>
                </c:pt>
                <c:pt idx="24">
                  <c:v>2049</c:v>
                </c:pt>
                <c:pt idx="25">
                  <c:v>2050</c:v>
                </c:pt>
                <c:pt idx="26">
                  <c:v>2051</c:v>
                </c:pt>
                <c:pt idx="27">
                  <c:v>2052</c:v>
                </c:pt>
                <c:pt idx="28">
                  <c:v>2053</c:v>
                </c:pt>
                <c:pt idx="29">
                  <c:v>2054</c:v>
                </c:pt>
                <c:pt idx="30">
                  <c:v>2055</c:v>
                </c:pt>
                <c:pt idx="31">
                  <c:v>2056</c:v>
                </c:pt>
                <c:pt idx="32">
                  <c:v>2057</c:v>
                </c:pt>
                <c:pt idx="33">
                  <c:v>2058</c:v>
                </c:pt>
                <c:pt idx="34">
                  <c:v>2059</c:v>
                </c:pt>
                <c:pt idx="35">
                  <c:v>2060</c:v>
                </c:pt>
              </c:numCache>
            </c:numRef>
          </c:cat>
          <c:val>
            <c:numRef>
              <c:f>summary!$L$42:$AU$42</c:f>
              <c:numCache>
                <c:formatCode>0.00</c:formatCode>
                <c:ptCount val="36"/>
                <c:pt idx="0">
                  <c:v>3.5115570543671297</c:v>
                </c:pt>
                <c:pt idx="1">
                  <c:v>4.4555234250723341</c:v>
                </c:pt>
                <c:pt idx="2">
                  <c:v>3.1535390865808299</c:v>
                </c:pt>
                <c:pt idx="3">
                  <c:v>5.068109122178508</c:v>
                </c:pt>
                <c:pt idx="4">
                  <c:v>6.3631721358764715</c:v>
                </c:pt>
                <c:pt idx="5">
                  <c:v>6.540401877267259</c:v>
                </c:pt>
                <c:pt idx="6">
                  <c:v>8.5726292713210572</c:v>
                </c:pt>
                <c:pt idx="7">
                  <c:v>10.115459170821456</c:v>
                </c:pt>
                <c:pt idx="8">
                  <c:v>11.489864157856882</c:v>
                </c:pt>
                <c:pt idx="9">
                  <c:v>12.049705430418438</c:v>
                </c:pt>
                <c:pt idx="10">
                  <c:v>14.313381622834189</c:v>
                </c:pt>
                <c:pt idx="11">
                  <c:v>15.588057403633305</c:v>
                </c:pt>
                <c:pt idx="12">
                  <c:v>16.560571050586006</c:v>
                </c:pt>
                <c:pt idx="13">
                  <c:v>16.802433310796147</c:v>
                </c:pt>
                <c:pt idx="14">
                  <c:v>18.714825363420196</c:v>
                </c:pt>
                <c:pt idx="15">
                  <c:v>19.285316260657737</c:v>
                </c:pt>
                <c:pt idx="16">
                  <c:v>20.385153271183405</c:v>
                </c:pt>
                <c:pt idx="17">
                  <c:v>21.657194161526256</c:v>
                </c:pt>
                <c:pt idx="18">
                  <c:v>23.547274157118927</c:v>
                </c:pt>
                <c:pt idx="19">
                  <c:v>25.142069070073564</c:v>
                </c:pt>
                <c:pt idx="20">
                  <c:v>27.200976081144422</c:v>
                </c:pt>
                <c:pt idx="21">
                  <c:v>29.870737011972601</c:v>
                </c:pt>
                <c:pt idx="22">
                  <c:v>30.354101642614644</c:v>
                </c:pt>
                <c:pt idx="23">
                  <c:v>29.573940906166889</c:v>
                </c:pt>
                <c:pt idx="24">
                  <c:v>30.02730814596266</c:v>
                </c:pt>
                <c:pt idx="25">
                  <c:v>29.873012600384584</c:v>
                </c:pt>
                <c:pt idx="26">
                  <c:v>29.037756533031313</c:v>
                </c:pt>
                <c:pt idx="27">
                  <c:v>30.242878104270499</c:v>
                </c:pt>
                <c:pt idx="28">
                  <c:v>31.613520444510186</c:v>
                </c:pt>
                <c:pt idx="29">
                  <c:v>32.516369819143385</c:v>
                </c:pt>
                <c:pt idx="30">
                  <c:v>31.956678627710041</c:v>
                </c:pt>
                <c:pt idx="31">
                  <c:v>32.21282703432324</c:v>
                </c:pt>
                <c:pt idx="32">
                  <c:v>32.955969428164209</c:v>
                </c:pt>
                <c:pt idx="33">
                  <c:v>32.96153211066509</c:v>
                </c:pt>
              </c:numCache>
            </c:numRef>
          </c:val>
          <c:smooth val="0"/>
          <c:extLst>
            <c:ext xmlns:c16="http://schemas.microsoft.com/office/drawing/2014/chart" uri="{C3380CC4-5D6E-409C-BE32-E72D297353CC}">
              <c16:uniqueId val="{00000001-5D9F-4F18-B448-FDFD86C280D5}"/>
            </c:ext>
          </c:extLst>
        </c:ser>
        <c:dLbls>
          <c:showLegendKey val="0"/>
          <c:showVal val="0"/>
          <c:showCatName val="0"/>
          <c:showSerName val="0"/>
          <c:showPercent val="0"/>
          <c:showBubbleSize val="0"/>
        </c:dLbls>
        <c:marker val="1"/>
        <c:smooth val="0"/>
        <c:axId val="358685312"/>
        <c:axId val="358687104"/>
      </c:lineChart>
      <c:lineChart>
        <c:grouping val="standard"/>
        <c:varyColors val="0"/>
        <c:ser>
          <c:idx val="3"/>
          <c:order val="2"/>
          <c:tx>
            <c:strRef>
              <c:f>summary!$A$43</c:f>
              <c:strCache>
                <c:ptCount val="1"/>
                <c:pt idx="0">
                  <c:v>Offset</c:v>
                </c:pt>
              </c:strCache>
            </c:strRef>
          </c:tx>
          <c:spPr>
            <a:ln w="22225">
              <a:solidFill>
                <a:srgbClr val="FF0000"/>
              </a:solidFill>
            </a:ln>
          </c:spPr>
          <c:marker>
            <c:symbol val="none"/>
          </c:marker>
          <c:cat>
            <c:numRef>
              <c:f>summary!$L$1:$AU$1</c:f>
              <c:numCache>
                <c:formatCode>General</c:formatCode>
                <c:ptCount val="36"/>
                <c:pt idx="0">
                  <c:v>2025</c:v>
                </c:pt>
                <c:pt idx="1">
                  <c:v>2026</c:v>
                </c:pt>
                <c:pt idx="2">
                  <c:v>2027</c:v>
                </c:pt>
                <c:pt idx="3">
                  <c:v>2028</c:v>
                </c:pt>
                <c:pt idx="4">
                  <c:v>2029</c:v>
                </c:pt>
                <c:pt idx="5">
                  <c:v>2030</c:v>
                </c:pt>
                <c:pt idx="6">
                  <c:v>2031</c:v>
                </c:pt>
                <c:pt idx="7">
                  <c:v>2032</c:v>
                </c:pt>
                <c:pt idx="8">
                  <c:v>2033</c:v>
                </c:pt>
                <c:pt idx="9">
                  <c:v>2034</c:v>
                </c:pt>
                <c:pt idx="10">
                  <c:v>2035</c:v>
                </c:pt>
                <c:pt idx="11">
                  <c:v>2036</c:v>
                </c:pt>
                <c:pt idx="12">
                  <c:v>2037</c:v>
                </c:pt>
                <c:pt idx="13">
                  <c:v>2038</c:v>
                </c:pt>
                <c:pt idx="14">
                  <c:v>2039</c:v>
                </c:pt>
                <c:pt idx="15">
                  <c:v>2040</c:v>
                </c:pt>
                <c:pt idx="16">
                  <c:v>2041</c:v>
                </c:pt>
                <c:pt idx="17">
                  <c:v>2042</c:v>
                </c:pt>
                <c:pt idx="18">
                  <c:v>2043</c:v>
                </c:pt>
                <c:pt idx="19">
                  <c:v>2044</c:v>
                </c:pt>
                <c:pt idx="20">
                  <c:v>2045</c:v>
                </c:pt>
                <c:pt idx="21">
                  <c:v>2046</c:v>
                </c:pt>
                <c:pt idx="22">
                  <c:v>2047</c:v>
                </c:pt>
                <c:pt idx="23">
                  <c:v>2048</c:v>
                </c:pt>
                <c:pt idx="24">
                  <c:v>2049</c:v>
                </c:pt>
                <c:pt idx="25">
                  <c:v>2050</c:v>
                </c:pt>
                <c:pt idx="26">
                  <c:v>2051</c:v>
                </c:pt>
                <c:pt idx="27">
                  <c:v>2052</c:v>
                </c:pt>
                <c:pt idx="28">
                  <c:v>2053</c:v>
                </c:pt>
                <c:pt idx="29">
                  <c:v>2054</c:v>
                </c:pt>
                <c:pt idx="30">
                  <c:v>2055</c:v>
                </c:pt>
                <c:pt idx="31">
                  <c:v>2056</c:v>
                </c:pt>
                <c:pt idx="32">
                  <c:v>2057</c:v>
                </c:pt>
                <c:pt idx="33">
                  <c:v>2058</c:v>
                </c:pt>
                <c:pt idx="34">
                  <c:v>2059</c:v>
                </c:pt>
                <c:pt idx="35">
                  <c:v>2060</c:v>
                </c:pt>
              </c:numCache>
            </c:numRef>
          </c:cat>
          <c:val>
            <c:numRef>
              <c:f>summary!$L$43:$AU$43</c:f>
              <c:numCache>
                <c:formatCode>0.00</c:formatCode>
                <c:ptCount val="36"/>
                <c:pt idx="0">
                  <c:v>0.69180395353442903</c:v>
                </c:pt>
                <c:pt idx="1">
                  <c:v>2.7013543884526348</c:v>
                </c:pt>
                <c:pt idx="2">
                  <c:v>0.20071860252645735</c:v>
                </c:pt>
                <c:pt idx="3">
                  <c:v>1.223634842758754</c:v>
                </c:pt>
                <c:pt idx="4">
                  <c:v>1.3968532226830677</c:v>
                </c:pt>
                <c:pt idx="5">
                  <c:v>1.9184876406061904</c:v>
                </c:pt>
                <c:pt idx="6">
                  <c:v>3.0707311284466776</c:v>
                </c:pt>
                <c:pt idx="7">
                  <c:v>3.992465274549994</c:v>
                </c:pt>
                <c:pt idx="8">
                  <c:v>5.0318591235228904</c:v>
                </c:pt>
                <c:pt idx="9">
                  <c:v>5.3517410912776642</c:v>
                </c:pt>
                <c:pt idx="10">
                  <c:v>7.5117992952649502</c:v>
                </c:pt>
                <c:pt idx="11">
                  <c:v>7.8676510017843793</c:v>
                </c:pt>
                <c:pt idx="12">
                  <c:v>8.7429812742898498</c:v>
                </c:pt>
                <c:pt idx="13">
                  <c:v>8.2509122854256951</c:v>
                </c:pt>
                <c:pt idx="14">
                  <c:v>9.35226133902753</c:v>
                </c:pt>
                <c:pt idx="15">
                  <c:v>8.9744023370439319</c:v>
                </c:pt>
                <c:pt idx="16">
                  <c:v>9.5076186659590647</c:v>
                </c:pt>
                <c:pt idx="17">
                  <c:v>9.7041950733741924</c:v>
                </c:pt>
                <c:pt idx="18">
                  <c:v>10.730455518185824</c:v>
                </c:pt>
                <c:pt idx="19">
                  <c:v>11.912458442295183</c:v>
                </c:pt>
                <c:pt idx="20">
                  <c:v>13.073416982056184</c:v>
                </c:pt>
                <c:pt idx="21">
                  <c:v>14.681420394555108</c:v>
                </c:pt>
                <c:pt idx="22">
                  <c:v>15.061438441341476</c:v>
                </c:pt>
                <c:pt idx="23">
                  <c:v>15.489676261688794</c:v>
                </c:pt>
                <c:pt idx="24">
                  <c:v>15.751028167985002</c:v>
                </c:pt>
                <c:pt idx="25">
                  <c:v>15.518634871201931</c:v>
                </c:pt>
                <c:pt idx="26">
                  <c:v>15.091188600745644</c:v>
                </c:pt>
                <c:pt idx="27">
                  <c:v>15.710671135603373</c:v>
                </c:pt>
                <c:pt idx="28">
                  <c:v>15.619578197457177</c:v>
                </c:pt>
                <c:pt idx="29">
                  <c:v>16.638064720459361</c:v>
                </c:pt>
                <c:pt idx="30">
                  <c:v>16.465766461576372</c:v>
                </c:pt>
                <c:pt idx="31">
                  <c:v>16.173476060029639</c:v>
                </c:pt>
                <c:pt idx="32">
                  <c:v>17.112564769593018</c:v>
                </c:pt>
                <c:pt idx="33">
                  <c:v>17.305819196401039</c:v>
                </c:pt>
              </c:numCache>
            </c:numRef>
          </c:val>
          <c:smooth val="0"/>
          <c:extLst>
            <c:ext xmlns:c16="http://schemas.microsoft.com/office/drawing/2014/chart" uri="{C3380CC4-5D6E-409C-BE32-E72D297353CC}">
              <c16:uniqueId val="{00000002-5D9F-4F18-B448-FDFD86C280D5}"/>
            </c:ext>
          </c:extLst>
        </c:ser>
        <c:dLbls>
          <c:showLegendKey val="0"/>
          <c:showVal val="0"/>
          <c:showCatName val="0"/>
          <c:showSerName val="0"/>
          <c:showPercent val="0"/>
          <c:showBubbleSize val="0"/>
        </c:dLbls>
        <c:marker val="1"/>
        <c:smooth val="0"/>
        <c:axId val="358695296"/>
        <c:axId val="358689024"/>
      </c:lineChart>
      <c:catAx>
        <c:axId val="358685312"/>
        <c:scaling>
          <c:orientation val="minMax"/>
        </c:scaling>
        <c:delete val="0"/>
        <c:axPos val="b"/>
        <c:numFmt formatCode="General" sourceLinked="1"/>
        <c:majorTickMark val="cross"/>
        <c:minorTickMark val="none"/>
        <c:tickLblPos val="low"/>
        <c:spPr>
          <a:ln w="12700">
            <a:solidFill>
              <a:srgbClr val="808080"/>
            </a:solidFill>
            <a:prstDash val="solid"/>
          </a:ln>
        </c:spPr>
        <c:txPr>
          <a:bodyPr/>
          <a:lstStyle/>
          <a:p>
            <a:pPr>
              <a:defRPr sz="800" b="0" i="0">
                <a:solidFill>
                  <a:srgbClr val="000000"/>
                </a:solidFill>
                <a:latin typeface="Arial"/>
                <a:ea typeface="Arial"/>
                <a:cs typeface="Arial"/>
              </a:defRPr>
            </a:pPr>
            <a:endParaRPr lang="en-US"/>
          </a:p>
        </c:txPr>
        <c:crossAx val="358687104"/>
        <c:crossesAt val="0"/>
        <c:auto val="1"/>
        <c:lblAlgn val="ctr"/>
        <c:lblOffset val="100"/>
        <c:tickLblSkip val="5"/>
        <c:tickMarkSkip val="5"/>
        <c:noMultiLvlLbl val="0"/>
      </c:catAx>
      <c:valAx>
        <c:axId val="358687104"/>
        <c:scaling>
          <c:orientation val="minMax"/>
          <c:max val="40"/>
        </c:scaling>
        <c:delete val="0"/>
        <c:axPos val="l"/>
        <c:title>
          <c:tx>
            <c:rich>
              <a:bodyPr rot="0" vert="horz"/>
              <a:lstStyle/>
              <a:p>
                <a:pPr>
                  <a:defRPr sz="800" b="0" i="0">
                    <a:solidFill>
                      <a:srgbClr val="000000"/>
                    </a:solidFill>
                    <a:latin typeface="Arial"/>
                    <a:ea typeface="Arial"/>
                    <a:cs typeface="Arial"/>
                  </a:defRPr>
                </a:pPr>
                <a:r>
                  <a:rPr lang="en-AU"/>
                  <a:t>% change from baseline</a:t>
                </a:r>
              </a:p>
            </c:rich>
          </c:tx>
          <c:layout>
            <c:manualLayout>
              <c:xMode val="edge"/>
              <c:yMode val="edge"/>
              <c:x val="5.0071684587813622E-2"/>
              <c:y val="0"/>
            </c:manualLayout>
          </c:layout>
          <c:overlay val="0"/>
        </c:title>
        <c:numFmt formatCode="#,##0" sourceLinked="0"/>
        <c:majorTickMark val="in"/>
        <c:minorTickMark val="none"/>
        <c:tickLblPos val="nextTo"/>
        <c:spPr>
          <a:ln w="12700">
            <a:solidFill>
              <a:srgbClr val="808080"/>
            </a:solidFill>
            <a:prstDash val="solid"/>
          </a:ln>
        </c:spPr>
        <c:txPr>
          <a:bodyPr/>
          <a:lstStyle/>
          <a:p>
            <a:pPr>
              <a:defRPr sz="800" b="0" i="0">
                <a:solidFill>
                  <a:srgbClr val="000000"/>
                </a:solidFill>
                <a:latin typeface="Arial"/>
                <a:ea typeface="Arial"/>
                <a:cs typeface="Arial"/>
              </a:defRPr>
            </a:pPr>
            <a:endParaRPr lang="en-US"/>
          </a:p>
        </c:txPr>
        <c:crossAx val="358685312"/>
        <c:crosses val="autoZero"/>
        <c:crossBetween val="midCat"/>
      </c:valAx>
      <c:valAx>
        <c:axId val="358689024"/>
        <c:scaling>
          <c:orientation val="minMax"/>
          <c:max val="40"/>
          <c:min val="-5"/>
        </c:scaling>
        <c:delete val="0"/>
        <c:axPos val="r"/>
        <c:title>
          <c:tx>
            <c:rich>
              <a:bodyPr rot="0" vert="horz"/>
              <a:lstStyle/>
              <a:p>
                <a:pPr>
                  <a:defRPr sz="800" b="0" i="0">
                    <a:solidFill>
                      <a:srgbClr val="000000"/>
                    </a:solidFill>
                    <a:latin typeface="Arial"/>
                    <a:ea typeface="Arial"/>
                    <a:cs typeface="Arial"/>
                  </a:defRPr>
                </a:pPr>
                <a:r>
                  <a:rPr lang="en-AU"/>
                  <a:t>% change from baseline</a:t>
                </a:r>
              </a:p>
            </c:rich>
          </c:tx>
          <c:layout>
            <c:manualLayout>
              <c:xMode val="edge"/>
              <c:yMode val="edge"/>
              <c:x val="0.79101899641577056"/>
              <c:y val="1.0079365079365079E-2"/>
            </c:manualLayout>
          </c:layout>
          <c:overlay val="0"/>
        </c:title>
        <c:numFmt formatCode="#,##0" sourceLinked="0"/>
        <c:majorTickMark val="in"/>
        <c:minorTickMark val="none"/>
        <c:tickLblPos val="nextTo"/>
        <c:spPr>
          <a:ln w="12700">
            <a:solidFill>
              <a:srgbClr val="808080"/>
            </a:solidFill>
            <a:prstDash val="solid"/>
          </a:ln>
        </c:spPr>
        <c:txPr>
          <a:bodyPr rot="-60000000" vert="horz"/>
          <a:lstStyle/>
          <a:p>
            <a:pPr>
              <a:defRPr sz="800" b="0" i="0">
                <a:solidFill>
                  <a:srgbClr val="000000"/>
                </a:solidFill>
                <a:latin typeface="Arial"/>
                <a:ea typeface="Arial"/>
                <a:cs typeface="Arial"/>
              </a:defRPr>
            </a:pPr>
            <a:endParaRPr lang="en-US"/>
          </a:p>
        </c:txPr>
        <c:crossAx val="358695296"/>
        <c:crosses val="max"/>
        <c:crossBetween val="midCat"/>
      </c:valAx>
      <c:catAx>
        <c:axId val="358695296"/>
        <c:scaling>
          <c:orientation val="minMax"/>
        </c:scaling>
        <c:delete val="1"/>
        <c:axPos val="t"/>
        <c:numFmt formatCode="General" sourceLinked="1"/>
        <c:majorTickMark val="out"/>
        <c:minorTickMark val="none"/>
        <c:tickLblPos val="nextTo"/>
        <c:crossAx val="358689024"/>
        <c:crosses val="max"/>
        <c:auto val="1"/>
        <c:lblAlgn val="ctr"/>
        <c:lblOffset val="100"/>
        <c:noMultiLvlLbl val="0"/>
      </c:catAx>
      <c:spPr>
        <a:solidFill>
          <a:srgbClr val="FFFFFF"/>
        </a:solidFill>
        <a:ln>
          <a:noFill/>
          <a:round/>
        </a:ln>
        <a:effectLst/>
        <a:extLst>
          <a:ext uri="{91240B29-F687-4F45-9708-019B960494DF}">
            <a14:hiddenLine xmlns:a14="http://schemas.microsoft.com/office/drawing/2010/main">
              <a:noFill/>
              <a:round/>
            </a14:hiddenLine>
          </a:ext>
        </a:extLst>
      </c:spPr>
    </c:plotArea>
    <c:plotVisOnly val="1"/>
    <c:dispBlanksAs val="gap"/>
    <c:showDLblsOverMax val="0"/>
  </c:chart>
  <c:spPr>
    <a:solidFill>
      <a:srgbClr val="FFFFFF"/>
    </a:solidFill>
    <a:ln w="9525" cap="flat" cmpd="sng" algn="ctr">
      <a:noFill/>
      <a:prstDash val="solid"/>
      <a:round/>
    </a:ln>
    <a:effectLst/>
    <a:extLst>
      <a:ext uri="{91240B29-F687-4F45-9708-019B960494DF}">
        <a14:hiddenLine xmlns:a14="http://schemas.microsoft.com/office/drawing/2010/main" w="9525" cap="flat" cmpd="sng" algn="ctr">
          <a:solidFill>
            <a:sysClr val="windowText" lastClr="000000">
              <a:tint val="75000"/>
              <a:shade val="95000"/>
              <a:satMod val="105000"/>
            </a:sysClr>
          </a:solidFill>
          <a:prstDash val="solid"/>
          <a:round/>
        </a14:hiddenLine>
      </a:ext>
    </a:extLst>
  </c:spPr>
  <c:txPr>
    <a:bodyPr/>
    <a:lstStyle/>
    <a:p>
      <a:pPr>
        <a:defRPr sz="1200"/>
      </a:pPr>
      <a:endParaRPr lang="en-US"/>
    </a:p>
  </c:txPr>
  <c:externalData r:id="rId2">
    <c:autoUpdate val="0"/>
  </c:externalData>
  <c:userShapes r:id="rId3"/>
</c:chartSpace>
</file>

<file path=word/drawings/drawing1.xml><?xml version="1.0" encoding="utf-8"?>
<c:userShapes xmlns:c="http://schemas.openxmlformats.org/drawingml/2006/chart">
  <cdr:relSizeAnchor xmlns:cdr="http://schemas.openxmlformats.org/drawingml/2006/chartDrawing">
    <cdr:from>
      <cdr:x>0.32947</cdr:x>
      <cdr:y>0.53421</cdr:y>
    </cdr:from>
    <cdr:to>
      <cdr:x>0.49448</cdr:x>
      <cdr:y>0.62366</cdr:y>
    </cdr:to>
    <cdr:sp macro="" textlink="">
      <cdr:nvSpPr>
        <cdr:cNvPr id="2" name="TextBox 3"/>
        <cdr:cNvSpPr txBox="1"/>
      </cdr:nvSpPr>
      <cdr:spPr>
        <a:xfrm xmlns:a="http://schemas.openxmlformats.org/drawingml/2006/main">
          <a:off x="1660525" y="1346200"/>
          <a:ext cx="831650" cy="225414"/>
        </a:xfrm>
        <a:prstGeom xmlns:a="http://schemas.openxmlformats.org/drawingml/2006/main" prst="rect">
          <a:avLst/>
        </a:prstGeom>
        <a:noFill xmlns:a="http://schemas.openxmlformats.org/drawingml/2006/main"/>
        <a:ln xmlns:a="http://schemas.openxmlformats.org/drawingml/2006/main" w="9525" cmpd="sng">
          <a:no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0" anchor="t"/>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r>
            <a:rPr lang="en-AU" sz="800">
              <a:solidFill>
                <a:sysClr val="windowText" lastClr="000000"/>
              </a:solidFill>
              <a:latin typeface="Arial" panose="020B0604020202020204" pitchFamily="34" charset="0"/>
              <a:cs typeface="Arial" panose="020B0604020202020204" pitchFamily="34" charset="0"/>
            </a:rPr>
            <a:t>10% increase</a:t>
          </a:r>
        </a:p>
      </cdr:txBody>
    </cdr:sp>
  </cdr:relSizeAnchor>
  <cdr:relSizeAnchor xmlns:cdr="http://schemas.openxmlformats.org/drawingml/2006/chartDrawing">
    <cdr:from>
      <cdr:x>0.21797</cdr:x>
      <cdr:y>0.68918</cdr:y>
    </cdr:from>
    <cdr:to>
      <cdr:x>0.38298</cdr:x>
      <cdr:y>0.77863</cdr:y>
    </cdr:to>
    <cdr:sp macro="" textlink="">
      <cdr:nvSpPr>
        <cdr:cNvPr id="3" name="TextBox 3"/>
        <cdr:cNvSpPr txBox="1"/>
      </cdr:nvSpPr>
      <cdr:spPr>
        <a:xfrm xmlns:a="http://schemas.openxmlformats.org/drawingml/2006/main">
          <a:off x="1098550" y="1736725"/>
          <a:ext cx="831650" cy="225414"/>
        </a:xfrm>
        <a:prstGeom xmlns:a="http://schemas.openxmlformats.org/drawingml/2006/main" prst="rect">
          <a:avLst/>
        </a:prstGeom>
        <a:noFill xmlns:a="http://schemas.openxmlformats.org/drawingml/2006/main"/>
        <a:ln xmlns:a="http://schemas.openxmlformats.org/drawingml/2006/main" w="9525" cmpd="sng">
          <a:no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0" anchor="t"/>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r>
            <a:rPr lang="en-AU" sz="800">
              <a:solidFill>
                <a:schemeClr val="tx1">
                  <a:lumMod val="65000"/>
                  <a:lumOff val="35000"/>
                </a:schemeClr>
              </a:solidFill>
              <a:latin typeface="Arial" panose="020B0604020202020204" pitchFamily="34" charset="0"/>
              <a:cs typeface="Arial" panose="020B0604020202020204" pitchFamily="34" charset="0"/>
            </a:rPr>
            <a:t>Baseline</a:t>
          </a:r>
        </a:p>
      </cdr:txBody>
    </cdr:sp>
  </cdr:relSizeAnchor>
  <cdr:relSizeAnchor xmlns:cdr="http://schemas.openxmlformats.org/drawingml/2006/chartDrawing">
    <cdr:from>
      <cdr:x>0.27844</cdr:x>
      <cdr:y>0.28852</cdr:y>
    </cdr:from>
    <cdr:to>
      <cdr:x>0.38239</cdr:x>
      <cdr:y>0.37546</cdr:y>
    </cdr:to>
    <cdr:sp macro="" textlink="">
      <cdr:nvSpPr>
        <cdr:cNvPr id="4" name="TextBox 3"/>
        <cdr:cNvSpPr txBox="1"/>
      </cdr:nvSpPr>
      <cdr:spPr>
        <a:xfrm xmlns:a="http://schemas.openxmlformats.org/drawingml/2006/main">
          <a:off x="1403350" y="727075"/>
          <a:ext cx="523876" cy="219075"/>
        </a:xfrm>
        <a:prstGeom xmlns:a="http://schemas.openxmlformats.org/drawingml/2006/main" prst="rect">
          <a:avLst/>
        </a:prstGeom>
        <a:noFill xmlns:a="http://schemas.openxmlformats.org/drawingml/2006/main"/>
        <a:ln xmlns:a="http://schemas.openxmlformats.org/drawingml/2006/main" w="9525" cmpd="sng">
          <a:no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0" anchor="t"/>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r>
            <a:rPr lang="en-AU" sz="800">
              <a:solidFill>
                <a:srgbClr val="FF0000"/>
              </a:solidFill>
              <a:latin typeface="Arial" panose="020B0604020202020204" pitchFamily="34" charset="0"/>
              <a:cs typeface="Arial" panose="020B0604020202020204" pitchFamily="34" charset="0"/>
            </a:rPr>
            <a:t>Offset</a:t>
          </a:r>
        </a:p>
      </cdr:txBody>
    </cdr:sp>
  </cdr:relSizeAnchor>
  <cdr:relSizeAnchor xmlns:cdr="http://schemas.openxmlformats.org/drawingml/2006/chartDrawing">
    <cdr:from>
      <cdr:x>0.50901</cdr:x>
      <cdr:y>0.12977</cdr:y>
    </cdr:from>
    <cdr:to>
      <cdr:x>0.67402</cdr:x>
      <cdr:y>0.21922</cdr:y>
    </cdr:to>
    <cdr:sp macro="" textlink="">
      <cdr:nvSpPr>
        <cdr:cNvPr id="5" name="TextBox 3"/>
        <cdr:cNvSpPr txBox="1"/>
      </cdr:nvSpPr>
      <cdr:spPr>
        <a:xfrm xmlns:a="http://schemas.openxmlformats.org/drawingml/2006/main">
          <a:off x="2565400" y="327025"/>
          <a:ext cx="831651" cy="225414"/>
        </a:xfrm>
        <a:prstGeom xmlns:a="http://schemas.openxmlformats.org/drawingml/2006/main" prst="rect">
          <a:avLst/>
        </a:prstGeom>
        <a:noFill xmlns:a="http://schemas.openxmlformats.org/drawingml/2006/main"/>
        <a:ln xmlns:a="http://schemas.openxmlformats.org/drawingml/2006/main" w="9525" cmpd="sng">
          <a:no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0" anchor="t"/>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r>
            <a:rPr lang="en-AU" sz="800">
              <a:solidFill>
                <a:srgbClr val="0070C0"/>
              </a:solidFill>
              <a:latin typeface="Arial" panose="020B0604020202020204" pitchFamily="34" charset="0"/>
              <a:cs typeface="Arial" panose="020B0604020202020204" pitchFamily="34" charset="0"/>
            </a:rPr>
            <a:t>Equalisation</a:t>
          </a:r>
        </a:p>
      </cdr:txBody>
    </cdr:sp>
  </cdr:relSizeAnchor>
</c:userShapes>
</file>

<file path=word/drawings/drawing2.xml><?xml version="1.0" encoding="utf-8"?>
<c:userShapes xmlns:c="http://schemas.openxmlformats.org/drawingml/2006/chart">
  <cdr:relSizeAnchor xmlns:cdr="http://schemas.openxmlformats.org/drawingml/2006/chartDrawing">
    <cdr:from>
      <cdr:x>0.64581</cdr:x>
      <cdr:y>0.67028</cdr:y>
    </cdr:from>
    <cdr:to>
      <cdr:x>0.81082</cdr:x>
      <cdr:y>0.75973</cdr:y>
    </cdr:to>
    <cdr:sp macro="" textlink="">
      <cdr:nvSpPr>
        <cdr:cNvPr id="2" name="TextBox 3"/>
        <cdr:cNvSpPr txBox="1"/>
      </cdr:nvSpPr>
      <cdr:spPr>
        <a:xfrm xmlns:a="http://schemas.openxmlformats.org/drawingml/2006/main">
          <a:off x="3603625" y="1689100"/>
          <a:ext cx="920750" cy="225425"/>
        </a:xfrm>
        <a:prstGeom xmlns:a="http://schemas.openxmlformats.org/drawingml/2006/main" prst="rect">
          <a:avLst/>
        </a:prstGeom>
        <a:noFill xmlns:a="http://schemas.openxmlformats.org/drawingml/2006/main"/>
        <a:ln xmlns:a="http://schemas.openxmlformats.org/drawingml/2006/main" w="9525" cmpd="sng">
          <a:no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0" anchor="t"/>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r>
            <a:rPr lang="en-AU" sz="800">
              <a:solidFill>
                <a:srgbClr val="0070C0"/>
              </a:solidFill>
              <a:latin typeface="Arial" panose="020B0604020202020204" pitchFamily="34" charset="0"/>
              <a:cs typeface="Arial" panose="020B0604020202020204" pitchFamily="34" charset="0"/>
            </a:rPr>
            <a:t>Equalisation</a:t>
          </a:r>
        </a:p>
      </cdr:txBody>
    </cdr:sp>
  </cdr:relSizeAnchor>
  <cdr:relSizeAnchor xmlns:cdr="http://schemas.openxmlformats.org/drawingml/2006/chartDrawing">
    <cdr:from>
      <cdr:x>0.79432</cdr:x>
      <cdr:y>0.20915</cdr:y>
    </cdr:from>
    <cdr:to>
      <cdr:x>0.95933</cdr:x>
      <cdr:y>0.2986</cdr:y>
    </cdr:to>
    <cdr:sp macro="" textlink="">
      <cdr:nvSpPr>
        <cdr:cNvPr id="3" name="TextBox 3"/>
        <cdr:cNvSpPr txBox="1"/>
      </cdr:nvSpPr>
      <cdr:spPr>
        <a:xfrm xmlns:a="http://schemas.openxmlformats.org/drawingml/2006/main">
          <a:off x="4432300" y="527050"/>
          <a:ext cx="920750" cy="225425"/>
        </a:xfrm>
        <a:prstGeom xmlns:a="http://schemas.openxmlformats.org/drawingml/2006/main" prst="rect">
          <a:avLst/>
        </a:prstGeom>
        <a:noFill xmlns:a="http://schemas.openxmlformats.org/drawingml/2006/main"/>
        <a:ln xmlns:a="http://schemas.openxmlformats.org/drawingml/2006/main" w="9525" cmpd="sng">
          <a:no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0" anchor="t"/>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r>
            <a:rPr lang="en-AU" sz="800">
              <a:solidFill>
                <a:sysClr val="windowText" lastClr="000000"/>
              </a:solidFill>
              <a:latin typeface="Arial" panose="020B0604020202020204" pitchFamily="34" charset="0"/>
              <a:cs typeface="Arial" panose="020B0604020202020204" pitchFamily="34" charset="0"/>
            </a:rPr>
            <a:t>10% increase</a:t>
          </a:r>
        </a:p>
      </cdr:txBody>
    </cdr:sp>
  </cdr:relSizeAnchor>
  <cdr:relSizeAnchor xmlns:cdr="http://schemas.openxmlformats.org/drawingml/2006/chartDrawing">
    <cdr:from>
      <cdr:x>0.7717</cdr:x>
      <cdr:y>0.40953</cdr:y>
    </cdr:from>
    <cdr:to>
      <cdr:x>0.87565</cdr:x>
      <cdr:y>0.49647</cdr:y>
    </cdr:to>
    <cdr:sp macro="" textlink="">
      <cdr:nvSpPr>
        <cdr:cNvPr id="4" name="TextBox 3"/>
        <cdr:cNvSpPr txBox="1"/>
      </cdr:nvSpPr>
      <cdr:spPr>
        <a:xfrm xmlns:a="http://schemas.openxmlformats.org/drawingml/2006/main">
          <a:off x="3889375" y="1031875"/>
          <a:ext cx="523876" cy="219075"/>
        </a:xfrm>
        <a:prstGeom xmlns:a="http://schemas.openxmlformats.org/drawingml/2006/main" prst="rect">
          <a:avLst/>
        </a:prstGeom>
        <a:noFill xmlns:a="http://schemas.openxmlformats.org/drawingml/2006/main"/>
        <a:ln xmlns:a="http://schemas.openxmlformats.org/drawingml/2006/main" w="9525" cmpd="sng">
          <a:no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0" anchor="t"/>
        <a:lstStyle xmlns:a="http://schemas.openxmlformats.org/drawingml/2006/main"/>
        <a:p xmlns:a="http://schemas.openxmlformats.org/drawingml/2006/main">
          <a:r>
            <a:rPr lang="en-AU" sz="800">
              <a:solidFill>
                <a:srgbClr val="FF0000"/>
              </a:solidFill>
              <a:latin typeface="Arial" panose="020B0604020202020204" pitchFamily="34" charset="0"/>
              <a:cs typeface="Arial" panose="020B0604020202020204" pitchFamily="34" charset="0"/>
            </a:rPr>
            <a:t>Offset</a:t>
          </a:r>
          <a:endParaRPr lang="en-AU">
            <a:solidFill>
              <a:srgbClr val="FF0000"/>
            </a:solidFill>
            <a:latin typeface="Arial" panose="020B0604020202020204" pitchFamily="34" charset="0"/>
            <a:cs typeface="Arial" panose="020B0604020202020204" pitchFamily="34" charset="0"/>
          </a:endParaRPr>
        </a:p>
      </cdr:txBody>
    </cdr:sp>
  </cdr:relSizeAnchor>
</c:userShapes>
</file>

<file path=word/drawings/drawing3.xml><?xml version="1.0" encoding="utf-8"?>
<c:userShapes xmlns:c="http://schemas.openxmlformats.org/drawingml/2006/chart">
  <cdr:relSizeAnchor xmlns:cdr="http://schemas.openxmlformats.org/drawingml/2006/chartDrawing">
    <cdr:from>
      <cdr:x>0.66459</cdr:x>
      <cdr:y>0.50397</cdr:y>
    </cdr:from>
    <cdr:to>
      <cdr:x>0.8296</cdr:x>
      <cdr:y>0.59342</cdr:y>
    </cdr:to>
    <cdr:sp macro="" textlink="">
      <cdr:nvSpPr>
        <cdr:cNvPr id="2" name="TextBox 3"/>
        <cdr:cNvSpPr txBox="1"/>
      </cdr:nvSpPr>
      <cdr:spPr>
        <a:xfrm xmlns:a="http://schemas.openxmlformats.org/drawingml/2006/main">
          <a:off x="3708395" y="1270006"/>
          <a:ext cx="920756" cy="225414"/>
        </a:xfrm>
        <a:prstGeom xmlns:a="http://schemas.openxmlformats.org/drawingml/2006/main" prst="rect">
          <a:avLst/>
        </a:prstGeom>
        <a:noFill xmlns:a="http://schemas.openxmlformats.org/drawingml/2006/main"/>
        <a:ln xmlns:a="http://schemas.openxmlformats.org/drawingml/2006/main" w="9525" cmpd="sng">
          <a:no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0" anchor="t"/>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r>
            <a:rPr lang="en-AU" sz="800">
              <a:solidFill>
                <a:srgbClr val="0070C0"/>
              </a:solidFill>
              <a:latin typeface="Arial" panose="020B0604020202020204" pitchFamily="34" charset="0"/>
              <a:cs typeface="Arial" panose="020B0604020202020204" pitchFamily="34" charset="0"/>
            </a:rPr>
            <a:t>Equalisation</a:t>
          </a:r>
        </a:p>
      </cdr:txBody>
    </cdr:sp>
  </cdr:relSizeAnchor>
  <cdr:relSizeAnchor xmlns:cdr="http://schemas.openxmlformats.org/drawingml/2006/chartDrawing">
    <cdr:from>
      <cdr:x>0.79621</cdr:x>
      <cdr:y>0.22049</cdr:y>
    </cdr:from>
    <cdr:to>
      <cdr:x>0.96122</cdr:x>
      <cdr:y>0.30994</cdr:y>
    </cdr:to>
    <cdr:sp macro="" textlink="">
      <cdr:nvSpPr>
        <cdr:cNvPr id="3" name="TextBox 3"/>
        <cdr:cNvSpPr txBox="1"/>
      </cdr:nvSpPr>
      <cdr:spPr>
        <a:xfrm xmlns:a="http://schemas.openxmlformats.org/drawingml/2006/main">
          <a:off x="4012894" y="555566"/>
          <a:ext cx="831649" cy="225385"/>
        </a:xfrm>
        <a:prstGeom xmlns:a="http://schemas.openxmlformats.org/drawingml/2006/main" prst="rect">
          <a:avLst/>
        </a:prstGeom>
        <a:noFill xmlns:a="http://schemas.openxmlformats.org/drawingml/2006/main"/>
        <a:ln xmlns:a="http://schemas.openxmlformats.org/drawingml/2006/main" w="9525" cmpd="sng">
          <a:no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0" anchor="t"/>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r>
            <a:rPr lang="en-AU" sz="800">
              <a:solidFill>
                <a:sysClr val="windowText" lastClr="000000"/>
              </a:solidFill>
              <a:latin typeface="Arial" panose="020B0604020202020204" pitchFamily="34" charset="0"/>
              <a:cs typeface="Arial" panose="020B0604020202020204" pitchFamily="34" charset="0"/>
            </a:rPr>
            <a:t>10% increase</a:t>
          </a:r>
        </a:p>
      </cdr:txBody>
    </cdr:sp>
  </cdr:relSizeAnchor>
  <cdr:relSizeAnchor xmlns:cdr="http://schemas.openxmlformats.org/drawingml/2006/chartDrawing">
    <cdr:from>
      <cdr:x>0.79432</cdr:x>
      <cdr:y>0.34144</cdr:y>
    </cdr:from>
    <cdr:to>
      <cdr:x>0.8882</cdr:x>
      <cdr:y>0.42837</cdr:y>
    </cdr:to>
    <cdr:sp macro="" textlink="">
      <cdr:nvSpPr>
        <cdr:cNvPr id="4" name="TextBox 3"/>
        <cdr:cNvSpPr txBox="1"/>
      </cdr:nvSpPr>
      <cdr:spPr>
        <a:xfrm xmlns:a="http://schemas.openxmlformats.org/drawingml/2006/main">
          <a:off x="4432300" y="860425"/>
          <a:ext cx="523876" cy="219075"/>
        </a:xfrm>
        <a:prstGeom xmlns:a="http://schemas.openxmlformats.org/drawingml/2006/main" prst="rect">
          <a:avLst/>
        </a:prstGeom>
        <a:noFill xmlns:a="http://schemas.openxmlformats.org/drawingml/2006/main"/>
        <a:ln xmlns:a="http://schemas.openxmlformats.org/drawingml/2006/main" w="9525" cmpd="sng">
          <a:no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0" anchor="t"/>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r>
            <a:rPr lang="en-AU" sz="800">
              <a:solidFill>
                <a:srgbClr val="FF0000"/>
              </a:solidFill>
              <a:latin typeface="Arial" panose="020B0604020202020204" pitchFamily="34" charset="0"/>
              <a:cs typeface="Arial" panose="020B0604020202020204" pitchFamily="34" charset="0"/>
            </a:rPr>
            <a:t>Offset</a:t>
          </a:r>
        </a:p>
      </cdr:txBody>
    </cdr:sp>
  </cdr:relSizeAnchor>
</c:userShapes>
</file>

<file path=word/drawings/drawing4.xml><?xml version="1.0" encoding="utf-8"?>
<c:userShapes xmlns:c="http://schemas.openxmlformats.org/drawingml/2006/chart">
  <cdr:relSizeAnchor xmlns:cdr="http://schemas.openxmlformats.org/drawingml/2006/chartDrawing">
    <cdr:from>
      <cdr:x>0.71068</cdr:x>
      <cdr:y>0.59468</cdr:y>
    </cdr:from>
    <cdr:to>
      <cdr:x>0.87569</cdr:x>
      <cdr:y>0.68413</cdr:y>
    </cdr:to>
    <cdr:sp macro="" textlink="">
      <cdr:nvSpPr>
        <cdr:cNvPr id="2" name="TextBox 3"/>
        <cdr:cNvSpPr txBox="1"/>
      </cdr:nvSpPr>
      <cdr:spPr>
        <a:xfrm xmlns:a="http://schemas.openxmlformats.org/drawingml/2006/main">
          <a:off x="3965570" y="1498606"/>
          <a:ext cx="920756" cy="225414"/>
        </a:xfrm>
        <a:prstGeom xmlns:a="http://schemas.openxmlformats.org/drawingml/2006/main" prst="rect">
          <a:avLst/>
        </a:prstGeom>
        <a:noFill xmlns:a="http://schemas.openxmlformats.org/drawingml/2006/main"/>
        <a:ln xmlns:a="http://schemas.openxmlformats.org/drawingml/2006/main" w="9525" cmpd="sng">
          <a:no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0" anchor="t"/>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r>
            <a:rPr lang="en-AU" sz="800">
              <a:solidFill>
                <a:srgbClr val="0070C0"/>
              </a:solidFill>
              <a:latin typeface="Arial" panose="020B0604020202020204" pitchFamily="34" charset="0"/>
              <a:cs typeface="Arial" panose="020B0604020202020204" pitchFamily="34" charset="0"/>
            </a:rPr>
            <a:t>Equalisation</a:t>
          </a:r>
        </a:p>
      </cdr:txBody>
    </cdr:sp>
  </cdr:relSizeAnchor>
  <cdr:relSizeAnchor xmlns:cdr="http://schemas.openxmlformats.org/drawingml/2006/chartDrawing">
    <cdr:from>
      <cdr:x>0.67824</cdr:x>
      <cdr:y>0.25829</cdr:y>
    </cdr:from>
    <cdr:to>
      <cdr:x>0.84325</cdr:x>
      <cdr:y>0.34774</cdr:y>
    </cdr:to>
    <cdr:sp macro="" textlink="">
      <cdr:nvSpPr>
        <cdr:cNvPr id="3" name="TextBox 3"/>
        <cdr:cNvSpPr txBox="1"/>
      </cdr:nvSpPr>
      <cdr:spPr>
        <a:xfrm xmlns:a="http://schemas.openxmlformats.org/drawingml/2006/main">
          <a:off x="3784606" y="650883"/>
          <a:ext cx="920755" cy="225414"/>
        </a:xfrm>
        <a:prstGeom xmlns:a="http://schemas.openxmlformats.org/drawingml/2006/main" prst="rect">
          <a:avLst/>
        </a:prstGeom>
        <a:noFill xmlns:a="http://schemas.openxmlformats.org/drawingml/2006/main"/>
        <a:ln xmlns:a="http://schemas.openxmlformats.org/drawingml/2006/main" w="9525" cmpd="sng">
          <a:no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0" anchor="t"/>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r>
            <a:rPr lang="en-AU" sz="800">
              <a:solidFill>
                <a:sysClr val="windowText" lastClr="000000"/>
              </a:solidFill>
              <a:latin typeface="Arial" panose="020B0604020202020204" pitchFamily="34" charset="0"/>
              <a:cs typeface="Arial" panose="020B0604020202020204" pitchFamily="34" charset="0"/>
            </a:rPr>
            <a:t>10% increase</a:t>
          </a:r>
        </a:p>
      </cdr:txBody>
    </cdr:sp>
  </cdr:relSizeAnchor>
  <cdr:relSizeAnchor xmlns:cdr="http://schemas.openxmlformats.org/drawingml/2006/chartDrawing">
    <cdr:from>
      <cdr:x>0.62533</cdr:x>
      <cdr:y>0.07686</cdr:y>
    </cdr:from>
    <cdr:to>
      <cdr:x>0.71921</cdr:x>
      <cdr:y>0.16379</cdr:y>
    </cdr:to>
    <cdr:sp macro="" textlink="">
      <cdr:nvSpPr>
        <cdr:cNvPr id="5" name="TextBox 1"/>
        <cdr:cNvSpPr txBox="1"/>
      </cdr:nvSpPr>
      <cdr:spPr>
        <a:xfrm xmlns:a="http://schemas.openxmlformats.org/drawingml/2006/main">
          <a:off x="3489325" y="193675"/>
          <a:ext cx="523876" cy="219075"/>
        </a:xfrm>
        <a:prstGeom xmlns:a="http://schemas.openxmlformats.org/drawingml/2006/main" prst="rect">
          <a:avLst/>
        </a:prstGeom>
        <a:noFill xmlns:a="http://schemas.openxmlformats.org/drawingml/2006/main"/>
        <a:ln xmlns:a="http://schemas.openxmlformats.org/drawingml/2006/main" w="9525" cmpd="sng">
          <a:no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0" anchor="t"/>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r>
            <a:rPr lang="en-AU" sz="800">
              <a:solidFill>
                <a:srgbClr val="FF0000"/>
              </a:solidFill>
              <a:latin typeface="Arial" panose="020B0604020202020204" pitchFamily="34" charset="0"/>
              <a:cs typeface="Arial" panose="020B0604020202020204" pitchFamily="34" charset="0"/>
            </a:rPr>
            <a:t>Offset</a:t>
          </a:r>
        </a:p>
      </cdr:txBody>
    </cdr:sp>
  </cdr:relSizeAnchor>
</c:userShapes>
</file>

<file path=word/drawings/drawing5.xml><?xml version="1.0" encoding="utf-8"?>
<c:userShapes xmlns:c="http://schemas.openxmlformats.org/drawingml/2006/chart">
  <cdr:relSizeAnchor xmlns:cdr="http://schemas.openxmlformats.org/drawingml/2006/chartDrawing">
    <cdr:from>
      <cdr:x>0.61563</cdr:x>
      <cdr:y>0.05039</cdr:y>
    </cdr:from>
    <cdr:to>
      <cdr:x>0.78064</cdr:x>
      <cdr:y>0.13984</cdr:y>
    </cdr:to>
    <cdr:sp macro="" textlink="">
      <cdr:nvSpPr>
        <cdr:cNvPr id="2" name="TextBox 3"/>
        <cdr:cNvSpPr txBox="1"/>
      </cdr:nvSpPr>
      <cdr:spPr>
        <a:xfrm xmlns:a="http://schemas.openxmlformats.org/drawingml/2006/main">
          <a:off x="3102790" y="126993"/>
          <a:ext cx="831651" cy="225414"/>
        </a:xfrm>
        <a:prstGeom xmlns:a="http://schemas.openxmlformats.org/drawingml/2006/main" prst="rect">
          <a:avLst/>
        </a:prstGeom>
        <a:noFill xmlns:a="http://schemas.openxmlformats.org/drawingml/2006/main"/>
        <a:ln xmlns:a="http://schemas.openxmlformats.org/drawingml/2006/main" w="9525" cmpd="sng">
          <a:no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0" anchor="t"/>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r>
            <a:rPr lang="en-AU" sz="800">
              <a:solidFill>
                <a:srgbClr val="0070C0"/>
              </a:solidFill>
              <a:latin typeface="Arial" panose="020B0604020202020204" pitchFamily="34" charset="0"/>
              <a:cs typeface="Arial" panose="020B0604020202020204" pitchFamily="34" charset="0"/>
            </a:rPr>
            <a:t>Equalisation</a:t>
          </a:r>
        </a:p>
      </cdr:txBody>
    </cdr:sp>
  </cdr:relSizeAnchor>
  <cdr:relSizeAnchor xmlns:cdr="http://schemas.openxmlformats.org/drawingml/2006/chartDrawing">
    <cdr:from>
      <cdr:x>0.64922</cdr:x>
      <cdr:y>0.59469</cdr:y>
    </cdr:from>
    <cdr:to>
      <cdr:x>0.81423</cdr:x>
      <cdr:y>0.68414</cdr:y>
    </cdr:to>
    <cdr:sp macro="" textlink="">
      <cdr:nvSpPr>
        <cdr:cNvPr id="3" name="TextBox 3"/>
        <cdr:cNvSpPr txBox="1"/>
      </cdr:nvSpPr>
      <cdr:spPr>
        <a:xfrm xmlns:a="http://schemas.openxmlformats.org/drawingml/2006/main">
          <a:off x="3622654" y="1498616"/>
          <a:ext cx="920756" cy="225414"/>
        </a:xfrm>
        <a:prstGeom xmlns:a="http://schemas.openxmlformats.org/drawingml/2006/main" prst="rect">
          <a:avLst/>
        </a:prstGeom>
        <a:noFill xmlns:a="http://schemas.openxmlformats.org/drawingml/2006/main"/>
        <a:ln xmlns:a="http://schemas.openxmlformats.org/drawingml/2006/main" w="9525" cmpd="sng">
          <a:no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0" anchor="t"/>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r>
            <a:rPr lang="en-AU" sz="800">
              <a:solidFill>
                <a:sysClr val="windowText" lastClr="000000"/>
              </a:solidFill>
              <a:latin typeface="Arial" panose="020B0604020202020204" pitchFamily="34" charset="0"/>
              <a:cs typeface="Arial" panose="020B0604020202020204" pitchFamily="34" charset="0"/>
            </a:rPr>
            <a:t>10% increase</a:t>
          </a:r>
        </a:p>
      </cdr:txBody>
    </cdr:sp>
  </cdr:relSizeAnchor>
  <cdr:relSizeAnchor xmlns:cdr="http://schemas.openxmlformats.org/drawingml/2006/chartDrawing">
    <cdr:from>
      <cdr:x>0.72434</cdr:x>
      <cdr:y>0.36412</cdr:y>
    </cdr:from>
    <cdr:to>
      <cdr:x>0.81822</cdr:x>
      <cdr:y>0.45105</cdr:y>
    </cdr:to>
    <cdr:sp macro="" textlink="">
      <cdr:nvSpPr>
        <cdr:cNvPr id="5" name="TextBox 1"/>
        <cdr:cNvSpPr txBox="1"/>
      </cdr:nvSpPr>
      <cdr:spPr>
        <a:xfrm xmlns:a="http://schemas.openxmlformats.org/drawingml/2006/main">
          <a:off x="4041791" y="917587"/>
          <a:ext cx="523851" cy="219064"/>
        </a:xfrm>
        <a:prstGeom xmlns:a="http://schemas.openxmlformats.org/drawingml/2006/main" prst="rect">
          <a:avLst/>
        </a:prstGeom>
        <a:noFill xmlns:a="http://schemas.openxmlformats.org/drawingml/2006/main"/>
        <a:ln xmlns:a="http://schemas.openxmlformats.org/drawingml/2006/main" w="9525" cmpd="sng">
          <a:no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0" anchor="t"/>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r>
            <a:rPr lang="en-AU" sz="800">
              <a:solidFill>
                <a:srgbClr val="FF0000"/>
              </a:solidFill>
              <a:latin typeface="Arial" panose="020B0604020202020204" pitchFamily="34" charset="0"/>
              <a:cs typeface="Arial" panose="020B0604020202020204" pitchFamily="34" charset="0"/>
            </a:rPr>
            <a:t>Offset</a:t>
          </a:r>
        </a:p>
      </cdr:txBody>
    </cdr:sp>
  </cdr:relSizeAnchor>
</c:userShapes>
</file>

<file path=word/theme/theme1.xml><?xml version="1.0" encoding="utf-8"?>
<a:theme xmlns:a="http://schemas.openxmlformats.org/drawingml/2006/main" name="Corporate">
  <a:themeElements>
    <a:clrScheme name="Corporate">
      <a:dk1>
        <a:sysClr val="windowText" lastClr="000000"/>
      </a:dk1>
      <a:lt1>
        <a:sysClr val="window" lastClr="FFFFFF"/>
      </a:lt1>
      <a:dk2>
        <a:srgbClr val="16325C"/>
      </a:dk2>
      <a:lt2>
        <a:srgbClr val="004A80"/>
      </a:lt2>
      <a:accent1>
        <a:srgbClr val="0074BD"/>
      </a:accent1>
      <a:accent2>
        <a:srgbClr val="00ABBD"/>
      </a:accent2>
      <a:accent3>
        <a:srgbClr val="128E6D"/>
      </a:accent3>
      <a:accent4>
        <a:srgbClr val="C8DD6B"/>
      </a:accent4>
      <a:accent5>
        <a:srgbClr val="404A8F"/>
      </a:accent5>
      <a:accent6>
        <a:srgbClr val="F06252"/>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91F4B1-C464-492C-AAFA-399BB8533B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1692</Words>
  <Characters>9647</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2019-10-09T00:41:00Z</dcterms:created>
  <dcterms:modified xsi:type="dcterms:W3CDTF">2019-10-09T00:45:00Z</dcterms:modified>
</cp:coreProperties>
</file>