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85029" w14:textId="77777777" w:rsidR="00E92C91" w:rsidRDefault="00E92C91" w:rsidP="00E92C91">
      <w:pPr>
        <w:pStyle w:val="CoverInfoNote"/>
      </w:pPr>
      <w:bookmarkStart w:id="0" w:name="_GoBack"/>
      <w:bookmarkEnd w:id="0"/>
      <w:r w:rsidRPr="00F70A9F">
        <w:t>INFORMATION</w:t>
      </w:r>
      <w:r>
        <w:t xml:space="preserve"> NOTE</w:t>
      </w:r>
      <w:r>
        <w:rPr>
          <w:rStyle w:val="FootnoteReference"/>
        </w:rPr>
        <w:footnoteReference w:id="2"/>
      </w:r>
    </w:p>
    <w:p w14:paraId="0BC8018D" w14:textId="77777777" w:rsidR="00E92C91" w:rsidRDefault="00E92C91" w:rsidP="00E92C91">
      <w:pPr>
        <w:pStyle w:val="Covertitle"/>
      </w:pPr>
      <w:r>
        <w:t>Accumulation of superannuation across a lifetime</w:t>
      </w:r>
    </w:p>
    <w:p w14:paraId="12F02ABC" w14:textId="7DFCBDA4" w:rsidR="00E92C91" w:rsidRDefault="00E92C91" w:rsidP="00E92C91">
      <w:pPr>
        <w:rPr>
          <w:rFonts w:ascii="Calibri Light" w:hAnsi="Calibri Light"/>
          <w:color w:val="16325C"/>
          <w:sz w:val="22"/>
        </w:rPr>
      </w:pPr>
      <w:r w:rsidRPr="00CB6487">
        <w:rPr>
          <w:rFonts w:ascii="Calibri Light" w:hAnsi="Calibri Light"/>
          <w:color w:val="16325C"/>
          <w:sz w:val="22"/>
        </w:rPr>
        <w:t xml:space="preserve">This is the </w:t>
      </w:r>
      <w:r w:rsidR="00507FAD" w:rsidRPr="00CB6487">
        <w:rPr>
          <w:rFonts w:ascii="Calibri Light" w:hAnsi="Calibri Light"/>
          <w:color w:val="16325C"/>
          <w:sz w:val="22"/>
        </w:rPr>
        <w:t>third</w:t>
      </w:r>
      <w:r w:rsidRPr="00CB6487">
        <w:rPr>
          <w:rFonts w:ascii="Calibri Light" w:hAnsi="Calibri Light"/>
          <w:color w:val="16325C"/>
          <w:sz w:val="22"/>
        </w:rPr>
        <w:t xml:space="preserve"> in a series of information notes to showcase</w:t>
      </w:r>
      <w:r w:rsidR="00507FAD" w:rsidRPr="00CB6487">
        <w:rPr>
          <w:rFonts w:ascii="Calibri Light" w:hAnsi="Calibri Light"/>
          <w:color w:val="16325C"/>
          <w:sz w:val="22"/>
        </w:rPr>
        <w:t xml:space="preserve"> </w:t>
      </w:r>
      <w:r w:rsidRPr="00CB6487">
        <w:rPr>
          <w:rFonts w:ascii="Calibri Light" w:hAnsi="Calibri Light"/>
          <w:color w:val="16325C"/>
          <w:sz w:val="22"/>
        </w:rPr>
        <w:t xml:space="preserve">results of Treasury’s </w:t>
      </w:r>
      <w:r w:rsidRPr="0068633C">
        <w:rPr>
          <w:rFonts w:ascii="Calibri Light" w:hAnsi="Calibri Light"/>
          <w:color w:val="16325C"/>
          <w:sz w:val="22"/>
        </w:rPr>
        <w:t>new dynamic microsimulation Model of Australian Retirement Incomes and Assets (MARIA)</w:t>
      </w:r>
      <w:r w:rsidRPr="0068633C">
        <w:rPr>
          <w:rStyle w:val="FootnoteReference"/>
          <w:rFonts w:ascii="Calibri Light" w:hAnsi="Calibri Light"/>
          <w:color w:val="16325C"/>
          <w:sz w:val="22"/>
        </w:rPr>
        <w:footnoteReference w:id="3"/>
      </w:r>
      <w:r w:rsidRPr="0068633C">
        <w:rPr>
          <w:rFonts w:ascii="Calibri Light" w:hAnsi="Calibri Light"/>
          <w:color w:val="16325C"/>
          <w:sz w:val="22"/>
        </w:rPr>
        <w:t xml:space="preserve">. </w:t>
      </w:r>
    </w:p>
    <w:p w14:paraId="22A41DBB" w14:textId="2A4CE030" w:rsidR="00E92C91" w:rsidRDefault="00E92C91" w:rsidP="00E92C91">
      <w:r w:rsidRPr="0068633C">
        <w:rPr>
          <w:rFonts w:ascii="Calibri Light" w:hAnsi="Calibri Light"/>
          <w:color w:val="16325C"/>
          <w:sz w:val="22"/>
        </w:rPr>
        <w:t xml:space="preserve">This note </w:t>
      </w:r>
      <w:r w:rsidR="00833857">
        <w:rPr>
          <w:rFonts w:ascii="Calibri Light" w:hAnsi="Calibri Light"/>
          <w:color w:val="16325C"/>
          <w:sz w:val="22"/>
        </w:rPr>
        <w:t xml:space="preserve">analyses </w:t>
      </w:r>
      <w:r w:rsidRPr="0068633C">
        <w:rPr>
          <w:rFonts w:ascii="Calibri Light" w:hAnsi="Calibri Light"/>
          <w:color w:val="16325C"/>
          <w:sz w:val="22"/>
        </w:rPr>
        <w:t>how Australian median superannuation balances are expected to change over time.</w:t>
      </w:r>
      <w:r>
        <w:t xml:space="preserve"> </w:t>
      </w:r>
    </w:p>
    <w:p w14:paraId="0D154197" w14:textId="62A0CD9D" w:rsidR="00E92C91" w:rsidRPr="0068633C" w:rsidRDefault="00E92C91" w:rsidP="00E92C91">
      <w:pPr>
        <w:rPr>
          <w:rFonts w:ascii="Calibri Light" w:hAnsi="Calibri Light"/>
          <w:color w:val="16325C"/>
          <w:sz w:val="22"/>
        </w:rPr>
      </w:pPr>
      <w:r w:rsidRPr="0068633C">
        <w:rPr>
          <w:rFonts w:ascii="Calibri Light" w:hAnsi="Calibri Light"/>
          <w:color w:val="16325C"/>
          <w:sz w:val="22"/>
        </w:rPr>
        <w:t xml:space="preserve">We project superannuation balances over the next forty years for Australians </w:t>
      </w:r>
      <w:r w:rsidR="009F054F">
        <w:rPr>
          <w:rFonts w:ascii="Calibri Light" w:hAnsi="Calibri Light"/>
          <w:color w:val="16325C"/>
          <w:sz w:val="22"/>
        </w:rPr>
        <w:t>of</w:t>
      </w:r>
      <w:r w:rsidR="009F054F" w:rsidRPr="0068633C">
        <w:rPr>
          <w:rFonts w:ascii="Calibri Light" w:hAnsi="Calibri Light"/>
          <w:color w:val="16325C"/>
          <w:sz w:val="22"/>
        </w:rPr>
        <w:t xml:space="preserve"> </w:t>
      </w:r>
      <w:r w:rsidRPr="0068633C">
        <w:rPr>
          <w:rFonts w:ascii="Calibri Light" w:hAnsi="Calibri Light"/>
          <w:color w:val="16325C"/>
          <w:sz w:val="22"/>
        </w:rPr>
        <w:t>different income</w:t>
      </w:r>
      <w:r w:rsidR="009F054F">
        <w:rPr>
          <w:rFonts w:ascii="Calibri Light" w:hAnsi="Calibri Light"/>
          <w:color w:val="16325C"/>
          <w:sz w:val="22"/>
        </w:rPr>
        <w:t>s and ages</w:t>
      </w:r>
      <w:r w:rsidRPr="0068633C">
        <w:rPr>
          <w:rFonts w:ascii="Calibri Light" w:hAnsi="Calibri Light"/>
          <w:color w:val="16325C"/>
          <w:sz w:val="22"/>
        </w:rPr>
        <w:t xml:space="preserve">. The </w:t>
      </w:r>
      <w:r w:rsidR="0027325F">
        <w:rPr>
          <w:rFonts w:ascii="Calibri Light" w:hAnsi="Calibri Light"/>
          <w:color w:val="16325C"/>
          <w:sz w:val="22"/>
        </w:rPr>
        <w:t>analysis</w:t>
      </w:r>
      <w:r w:rsidR="0027325F" w:rsidRPr="0068633C">
        <w:rPr>
          <w:rFonts w:ascii="Calibri Light" w:hAnsi="Calibri Light"/>
          <w:color w:val="16325C"/>
          <w:sz w:val="22"/>
        </w:rPr>
        <w:t xml:space="preserve"> </w:t>
      </w:r>
      <w:r w:rsidRPr="0068633C">
        <w:rPr>
          <w:rFonts w:ascii="Calibri Light" w:hAnsi="Calibri Light"/>
          <w:color w:val="16325C"/>
          <w:sz w:val="22"/>
        </w:rPr>
        <w:t>show</w:t>
      </w:r>
      <w:r w:rsidR="0027325F">
        <w:rPr>
          <w:rFonts w:ascii="Calibri Light" w:hAnsi="Calibri Light"/>
          <w:color w:val="16325C"/>
          <w:sz w:val="22"/>
        </w:rPr>
        <w:t>s</w:t>
      </w:r>
      <w:r w:rsidRPr="0068633C">
        <w:rPr>
          <w:rFonts w:ascii="Calibri Light" w:hAnsi="Calibri Light"/>
          <w:color w:val="16325C"/>
          <w:sz w:val="22"/>
        </w:rPr>
        <w:t xml:space="preserve"> that superannuation balances are projected to increase for all Australians</w:t>
      </w:r>
      <w:r w:rsidR="008221E5">
        <w:rPr>
          <w:rFonts w:ascii="Calibri Light" w:hAnsi="Calibri Light"/>
          <w:color w:val="16325C"/>
          <w:sz w:val="22"/>
        </w:rPr>
        <w:t>,</w:t>
      </w:r>
      <w:r w:rsidRPr="0068633C">
        <w:rPr>
          <w:rFonts w:ascii="Calibri Light" w:hAnsi="Calibri Light"/>
          <w:color w:val="16325C"/>
          <w:sz w:val="22"/>
        </w:rPr>
        <w:t xml:space="preserve"> and that younger Australians and </w:t>
      </w:r>
      <w:r w:rsidR="009F054F">
        <w:rPr>
          <w:rFonts w:ascii="Calibri Light" w:hAnsi="Calibri Light"/>
          <w:color w:val="16325C"/>
          <w:sz w:val="22"/>
        </w:rPr>
        <w:t>higher income</w:t>
      </w:r>
      <w:r w:rsidRPr="0068633C">
        <w:rPr>
          <w:rFonts w:ascii="Calibri Light" w:hAnsi="Calibri Light"/>
          <w:color w:val="16325C"/>
          <w:sz w:val="22"/>
        </w:rPr>
        <w:t xml:space="preserve"> Australians will benefit most from the m</w:t>
      </w:r>
      <w:r w:rsidR="009F054F">
        <w:rPr>
          <w:rFonts w:ascii="Calibri Light" w:hAnsi="Calibri Light"/>
          <w:color w:val="16325C"/>
          <w:sz w:val="22"/>
        </w:rPr>
        <w:t>atur</w:t>
      </w:r>
      <w:r w:rsidRPr="0068633C">
        <w:rPr>
          <w:rFonts w:ascii="Calibri Light" w:hAnsi="Calibri Light"/>
          <w:color w:val="16325C"/>
          <w:sz w:val="22"/>
        </w:rPr>
        <w:t>ing superannuation system.</w:t>
      </w:r>
    </w:p>
    <w:p w14:paraId="29DDA985" w14:textId="0E9B08CB" w:rsidR="00E92C91" w:rsidRDefault="00E92C91" w:rsidP="00E92C91"/>
    <w:p w14:paraId="37BD1D6C" w14:textId="77777777" w:rsidR="00E92C91" w:rsidRDefault="00E92C91" w:rsidP="00E92C91">
      <w:pPr>
        <w:sectPr w:rsidR="00E92C91" w:rsidSect="00947A7B">
          <w:headerReference w:type="default" r:id="rId13"/>
          <w:pgSz w:w="11906" w:h="16838"/>
          <w:pgMar w:top="5670" w:right="851" w:bottom="1134" w:left="851" w:header="709" w:footer="709" w:gutter="0"/>
          <w:cols w:space="708"/>
          <w:docGrid w:linePitch="360"/>
        </w:sectPr>
      </w:pPr>
    </w:p>
    <w:p w14:paraId="3DD0FDAA" w14:textId="327840C4" w:rsidR="004434F9" w:rsidRDefault="004434F9"/>
    <w:tbl>
      <w:tblPr>
        <w:tblW w:w="0" w:type="auto"/>
        <w:tblLayout w:type="fixed"/>
        <w:tblCellMar>
          <w:top w:w="113" w:type="dxa"/>
          <w:bottom w:w="113" w:type="dxa"/>
        </w:tblCellMar>
        <w:tblLook w:val="04A0" w:firstRow="1" w:lastRow="0" w:firstColumn="1" w:lastColumn="0" w:noHBand="0" w:noVBand="1"/>
      </w:tblPr>
      <w:tblGrid>
        <w:gridCol w:w="1701"/>
        <w:gridCol w:w="8503"/>
      </w:tblGrid>
      <w:tr w:rsidR="00A54F3C" w:rsidRPr="0068633C" w14:paraId="563B9A4A" w14:textId="77777777" w:rsidTr="00FC63A4">
        <w:tc>
          <w:tcPr>
            <w:tcW w:w="1701" w:type="dxa"/>
            <w:shd w:val="clear" w:color="auto" w:fill="auto"/>
          </w:tcPr>
          <w:p w14:paraId="6D1E845C" w14:textId="09633410" w:rsidR="00E92C91" w:rsidRPr="0068633C" w:rsidRDefault="00E92C91" w:rsidP="00947A7B">
            <w:pPr>
              <w:pStyle w:val="Subtitle"/>
            </w:pPr>
          </w:p>
          <w:p w14:paraId="46C8AC3E" w14:textId="77777777" w:rsidR="00E92C91" w:rsidRPr="0068633C" w:rsidRDefault="00E92C91" w:rsidP="00947A7B">
            <w:pPr>
              <w:pStyle w:val="Subtitle"/>
            </w:pPr>
          </w:p>
          <w:p w14:paraId="1B8492E1" w14:textId="2600898A" w:rsidR="00E92C91" w:rsidRDefault="00E92C91" w:rsidP="00947A7B">
            <w:pPr>
              <w:pStyle w:val="Subtitle"/>
            </w:pPr>
          </w:p>
          <w:p w14:paraId="7DA939C9" w14:textId="19588E3E" w:rsidR="00A31B47" w:rsidRDefault="00A31B47" w:rsidP="00947A7B">
            <w:pPr>
              <w:pStyle w:val="Subtitle"/>
            </w:pPr>
          </w:p>
          <w:p w14:paraId="75559FE9" w14:textId="75602442" w:rsidR="00A31B47" w:rsidRDefault="00A31B47" w:rsidP="00947A7B">
            <w:pPr>
              <w:pStyle w:val="Subtitle"/>
            </w:pPr>
          </w:p>
          <w:p w14:paraId="045BE633" w14:textId="477356DC" w:rsidR="00A31B47" w:rsidRDefault="00A31B47" w:rsidP="00947A7B">
            <w:pPr>
              <w:pStyle w:val="Subtitle"/>
            </w:pPr>
          </w:p>
          <w:p w14:paraId="2ED81CBA" w14:textId="69CB3554" w:rsidR="00A31B47" w:rsidRDefault="00A31B47" w:rsidP="00947A7B">
            <w:pPr>
              <w:pStyle w:val="Subtitle"/>
            </w:pPr>
          </w:p>
          <w:p w14:paraId="33C9C3B7" w14:textId="009718C2" w:rsidR="00A31B47" w:rsidRDefault="00A31B47" w:rsidP="00947A7B">
            <w:pPr>
              <w:pStyle w:val="Subtitle"/>
            </w:pPr>
          </w:p>
          <w:p w14:paraId="3F9D8CCA" w14:textId="2FC67715" w:rsidR="00A31B47" w:rsidRDefault="00A31B47" w:rsidP="00947A7B">
            <w:pPr>
              <w:pStyle w:val="Subtitle"/>
            </w:pPr>
          </w:p>
          <w:p w14:paraId="6BD320C4" w14:textId="5319ED36" w:rsidR="00A31B47" w:rsidRDefault="00A31B47" w:rsidP="00947A7B">
            <w:pPr>
              <w:pStyle w:val="Subtitle"/>
            </w:pPr>
          </w:p>
          <w:p w14:paraId="24AE1732" w14:textId="01C03333" w:rsidR="00A31B47" w:rsidRDefault="00A31B47" w:rsidP="00947A7B">
            <w:pPr>
              <w:pStyle w:val="Subtitle"/>
            </w:pPr>
          </w:p>
          <w:p w14:paraId="4578DA35" w14:textId="4EEF3F7B" w:rsidR="00A31B47" w:rsidRDefault="00A31B47" w:rsidP="00947A7B">
            <w:pPr>
              <w:pStyle w:val="Subtitle"/>
            </w:pPr>
          </w:p>
          <w:p w14:paraId="4B632A40" w14:textId="4873AA75" w:rsidR="00A31B47" w:rsidRDefault="00A31B47" w:rsidP="00947A7B">
            <w:pPr>
              <w:pStyle w:val="Subtitle"/>
            </w:pPr>
          </w:p>
          <w:p w14:paraId="185F1B0E" w14:textId="4C891FFE" w:rsidR="00A31B47" w:rsidRDefault="00A31B47" w:rsidP="00947A7B">
            <w:pPr>
              <w:pStyle w:val="Subtitle"/>
            </w:pPr>
          </w:p>
          <w:p w14:paraId="439D2672" w14:textId="119D719B" w:rsidR="00A31B47" w:rsidRDefault="00A31B47" w:rsidP="00947A7B">
            <w:pPr>
              <w:pStyle w:val="Subtitle"/>
            </w:pPr>
          </w:p>
          <w:p w14:paraId="601C1229" w14:textId="3AD77FC3" w:rsidR="00A31B47" w:rsidRDefault="00A31B47" w:rsidP="00947A7B">
            <w:pPr>
              <w:pStyle w:val="Subtitle"/>
            </w:pPr>
          </w:p>
          <w:p w14:paraId="784D3D65" w14:textId="4FAB5A01" w:rsidR="00A31B47" w:rsidRDefault="00A31B47" w:rsidP="00947A7B">
            <w:pPr>
              <w:pStyle w:val="Subtitle"/>
            </w:pPr>
          </w:p>
          <w:p w14:paraId="7BA8C801" w14:textId="6C42419C" w:rsidR="00A31B47" w:rsidRDefault="00A31B47" w:rsidP="00947A7B">
            <w:pPr>
              <w:pStyle w:val="Subtitle"/>
            </w:pPr>
          </w:p>
          <w:p w14:paraId="44DBE6B9" w14:textId="5FED9690" w:rsidR="00A31B47" w:rsidRDefault="00A31B47" w:rsidP="00947A7B">
            <w:pPr>
              <w:pStyle w:val="Subtitle"/>
            </w:pPr>
          </w:p>
          <w:p w14:paraId="38B5F598" w14:textId="6E246E50" w:rsidR="00A31B47" w:rsidRDefault="00A31B47" w:rsidP="00947A7B">
            <w:pPr>
              <w:pStyle w:val="Subtitle"/>
            </w:pPr>
          </w:p>
          <w:p w14:paraId="06A8EEA0" w14:textId="2E244E29" w:rsidR="00A31B47" w:rsidRDefault="00A31B47" w:rsidP="00947A7B">
            <w:pPr>
              <w:pStyle w:val="Subtitle"/>
            </w:pPr>
          </w:p>
          <w:p w14:paraId="41D73963" w14:textId="20C7D267" w:rsidR="00A31B47" w:rsidRDefault="00A31B47" w:rsidP="00947A7B">
            <w:pPr>
              <w:pStyle w:val="Subtitle"/>
            </w:pPr>
          </w:p>
          <w:p w14:paraId="2CDF7643" w14:textId="1E5D2301" w:rsidR="00A31B47" w:rsidRDefault="00A31B47" w:rsidP="00947A7B">
            <w:pPr>
              <w:pStyle w:val="Subtitle"/>
            </w:pPr>
          </w:p>
          <w:p w14:paraId="7614927C" w14:textId="2804B3F1" w:rsidR="00A31B47" w:rsidRDefault="00A31B47" w:rsidP="00947A7B">
            <w:pPr>
              <w:pStyle w:val="Subtitle"/>
            </w:pPr>
          </w:p>
          <w:p w14:paraId="5777FB2B" w14:textId="4FCA42E8" w:rsidR="00A31B47" w:rsidRDefault="00A31B47" w:rsidP="00947A7B">
            <w:pPr>
              <w:pStyle w:val="Subtitle"/>
            </w:pPr>
          </w:p>
          <w:p w14:paraId="1D759EA4" w14:textId="1400BA0D" w:rsidR="00A31B47" w:rsidRDefault="00A31B47" w:rsidP="00947A7B">
            <w:pPr>
              <w:pStyle w:val="Subtitle"/>
            </w:pPr>
          </w:p>
          <w:p w14:paraId="7AEE325A" w14:textId="42C16FC1" w:rsidR="00A31B47" w:rsidRDefault="00A31B47" w:rsidP="00947A7B">
            <w:pPr>
              <w:pStyle w:val="Subtitle"/>
            </w:pPr>
          </w:p>
          <w:p w14:paraId="11E90BC5" w14:textId="09F6167B" w:rsidR="00A31B47" w:rsidRDefault="00A31B47" w:rsidP="00947A7B">
            <w:pPr>
              <w:pStyle w:val="Subtitle"/>
            </w:pPr>
          </w:p>
          <w:p w14:paraId="40C92B53" w14:textId="754C797F" w:rsidR="00A31B47" w:rsidRDefault="00A31B47" w:rsidP="00947A7B">
            <w:pPr>
              <w:pStyle w:val="Subtitle"/>
            </w:pPr>
          </w:p>
          <w:p w14:paraId="11DE06A2" w14:textId="75420165" w:rsidR="00A31B47" w:rsidRDefault="00A31B47" w:rsidP="00947A7B">
            <w:pPr>
              <w:pStyle w:val="Subtitle"/>
            </w:pPr>
          </w:p>
          <w:p w14:paraId="003C7688" w14:textId="3D25E681" w:rsidR="00A31B47" w:rsidRDefault="00A31B47" w:rsidP="00947A7B">
            <w:pPr>
              <w:pStyle w:val="Subtitle"/>
            </w:pPr>
          </w:p>
          <w:p w14:paraId="7208AD74" w14:textId="32E66E7A" w:rsidR="00A31B47" w:rsidRDefault="00A31B47" w:rsidP="00947A7B">
            <w:pPr>
              <w:pStyle w:val="Subtitle"/>
            </w:pPr>
          </w:p>
          <w:p w14:paraId="4D291922" w14:textId="2D73D9BC" w:rsidR="00A31B47" w:rsidRDefault="00A31B47" w:rsidP="00947A7B">
            <w:pPr>
              <w:pStyle w:val="Subtitle"/>
            </w:pPr>
          </w:p>
          <w:p w14:paraId="03D1C4BA" w14:textId="2325B626" w:rsidR="00A31B47" w:rsidRPr="0068633C" w:rsidRDefault="00A31B47" w:rsidP="00A31B47">
            <w:pPr>
              <w:pStyle w:val="Subtitle"/>
              <w:jc w:val="left"/>
            </w:pPr>
          </w:p>
          <w:p w14:paraId="7396A177" w14:textId="77777777" w:rsidR="00CB4736" w:rsidRDefault="00CB4736" w:rsidP="00A54F3C">
            <w:pPr>
              <w:pStyle w:val="Subtitle"/>
            </w:pPr>
          </w:p>
          <w:p w14:paraId="55E3E9E8" w14:textId="77777777" w:rsidR="007E4CD8" w:rsidRPr="0068633C" w:rsidRDefault="007E4CD8" w:rsidP="007E4CD8">
            <w:pPr>
              <w:pStyle w:val="Subtitle"/>
            </w:pPr>
          </w:p>
          <w:p w14:paraId="1E48A9B1" w14:textId="7FD4B999" w:rsidR="00F043CD" w:rsidRDefault="00F043CD" w:rsidP="007E4CD8">
            <w:pPr>
              <w:pStyle w:val="Subtitle"/>
              <w:spacing w:after="0"/>
              <w:jc w:val="left"/>
            </w:pPr>
          </w:p>
          <w:p w14:paraId="480378BC" w14:textId="53E53253" w:rsidR="00E92C91" w:rsidRPr="0068633C" w:rsidRDefault="007E4CD8" w:rsidP="007E4CD8">
            <w:pPr>
              <w:pStyle w:val="Subtitle"/>
            </w:pPr>
            <w:r w:rsidRPr="0068633C">
              <w:t xml:space="preserve"> </w:t>
            </w:r>
            <w:r w:rsidR="00E92C91" w:rsidRPr="0068633C">
              <w:t xml:space="preserve">A maturing superannuation system </w:t>
            </w:r>
            <w:r w:rsidR="00A54F3C">
              <w:t>is projected to</w:t>
            </w:r>
            <w:r w:rsidR="00E92C91" w:rsidRPr="0068633C">
              <w:t xml:space="preserve"> lead to increased median superannuation balances for all ages</w:t>
            </w:r>
          </w:p>
        </w:tc>
        <w:tc>
          <w:tcPr>
            <w:tcW w:w="8503" w:type="dxa"/>
            <w:shd w:val="clear" w:color="auto" w:fill="auto"/>
          </w:tcPr>
          <w:p w14:paraId="483BAA93" w14:textId="77777777" w:rsidR="00E92C91" w:rsidRDefault="00E92C91" w:rsidP="00947A7B">
            <w:pPr>
              <w:pStyle w:val="Heading1"/>
            </w:pPr>
            <w:r>
              <w:lastRenderedPageBreak/>
              <w:t>About MARIA</w:t>
            </w:r>
            <w:r>
              <w:rPr>
                <w:rStyle w:val="FootnoteReference"/>
              </w:rPr>
              <w:footnoteReference w:id="4"/>
            </w:r>
          </w:p>
          <w:p w14:paraId="1B8B2C06" w14:textId="77777777" w:rsidR="004434F9" w:rsidRDefault="004434F9" w:rsidP="004434F9">
            <w:r>
              <w:t xml:space="preserve">The Model of Australian Retirement Incomes and Assets (MARIA) is a long-term dynamic microsimulation model of Australia’s retirement income system. It simulates the characteristics of each individual for every year for which the model is run, based on their characteristics in the previous year. This method produces a </w:t>
            </w:r>
            <w:proofErr w:type="spellStart"/>
            <w:r>
              <w:t>lifepath</w:t>
            </w:r>
            <w:proofErr w:type="spellEnd"/>
            <w:r>
              <w:t xml:space="preserve"> for each individual and thereby seeks to capture the diversity of Australian lifetimes and how they are expected to change in the future. The dynamic aspect is crucial for modelling Australia’s retirement income system as the characteristics of future retirees are likely to differ from current retirees as the superannuation system matures. </w:t>
            </w:r>
          </w:p>
          <w:p w14:paraId="20CD9D46" w14:textId="53966F13" w:rsidR="004434F9" w:rsidRDefault="004434F9" w:rsidP="004434F9">
            <w:r>
              <w:t>There are a range of circumstances that can affect the retirement incomes of individuals. These include: their family composition</w:t>
            </w:r>
            <w:r w:rsidR="004A57AF">
              <w:t xml:space="preserve"> including whether they have a partner</w:t>
            </w:r>
            <w:r>
              <w:t xml:space="preserve">; how much time they spend in the workforce and how much they get paid; how much they save for their retirement; </w:t>
            </w:r>
            <w:r w:rsidR="004A57AF">
              <w:t xml:space="preserve">if they own a home and </w:t>
            </w:r>
            <w:r>
              <w:t xml:space="preserve">the impact of disability or illness. Simulating detailed distributions of retirement income and assets in the long-term requires predicting all of these factors for each of the individuals in MARIA. </w:t>
            </w:r>
          </w:p>
          <w:p w14:paraId="3FE91559" w14:textId="4DCD45A6" w:rsidR="00611C6B" w:rsidRPr="00D1377F" w:rsidRDefault="00611C6B" w:rsidP="00611C6B">
            <w:r w:rsidRPr="00D1377F">
              <w:t>MARIA begins with</w:t>
            </w:r>
            <w:r>
              <w:t xml:space="preserve"> 2013-14</w:t>
            </w:r>
            <w:r w:rsidRPr="00D1377F">
              <w:t xml:space="preserve"> base data which captures the Australian population aged 25 and over at a set point in time. The model is run on a representative sample of this complete data set. MARIA then uses Treasury analysis and projections – the ‘input parameters’ – to model the </w:t>
            </w:r>
            <w:proofErr w:type="spellStart"/>
            <w:r w:rsidRPr="00D1377F">
              <w:t>lifepaths</w:t>
            </w:r>
            <w:proofErr w:type="spellEnd"/>
            <w:r w:rsidRPr="00D1377F">
              <w:t xml:space="preserve"> (including employment status, superannuation contributions and balance) of these individuals from working life to retirement and death. Each year, new records are introduced to represent new 25 year olds in the population. While income from work and the accumulation of superannuation of superannuation is modelled in detail, at present, MARIA imputes savings outside superannuation (including home ownership) at the point of retirement based on characteristics including age, education level, work experience</w:t>
            </w:r>
            <w:r w:rsidR="008221E5">
              <w:t xml:space="preserve"> and</w:t>
            </w:r>
            <w:r w:rsidR="00664409">
              <w:t xml:space="preserve"> </w:t>
            </w:r>
            <w:r w:rsidRPr="00D1377F">
              <w:t xml:space="preserve">superannuation balance. </w:t>
            </w:r>
          </w:p>
          <w:p w14:paraId="7418ADD7" w14:textId="77777777" w:rsidR="00611C6B" w:rsidRDefault="001F09AD" w:rsidP="004434F9">
            <w:r w:rsidRPr="00E22F2E">
              <w:t xml:space="preserve">MARIA’s long-run assumptions for indexation and economic growth are important to interpreting the analysis in this information note. MARIA assumes long-run inflation growth is 2 ½ per cent, by nominal Gross Domestic Product (GDP) growth is around 5 ¼ per cent and wages growth is around 4 per cent. </w:t>
            </w:r>
          </w:p>
          <w:p w14:paraId="64D14758" w14:textId="63E9D724" w:rsidR="004434F9" w:rsidRDefault="00611C6B" w:rsidP="004434F9">
            <w:r w:rsidRPr="00884B69">
              <w:t>Investment returns, fees, insurance and drawdown assumptions are based on historical data. Investment returns before fees are assumed to be 7 ½ per cent in the accumulation phase and 6 ½ per cent in the retirement phase. This reflects a shift to a more conservative investment strategy post retirement. A</w:t>
            </w:r>
            <w:r w:rsidR="00BD1E27">
              <w:t>nnual fees are calculated as $74</w:t>
            </w:r>
            <w:r w:rsidRPr="00884B69">
              <w:t xml:space="preserve"> (indexed to Average Weekly Earnings (AWE)) plus 0.85 per cent of the account balance,</w:t>
            </w:r>
            <w:r w:rsidR="00BD1E27">
              <w:t xml:space="preserve"> and insurance premiums are $214</w:t>
            </w:r>
            <w:r w:rsidRPr="00884B69">
              <w:t xml:space="preserve"> (indexed to AWE). </w:t>
            </w:r>
            <w:r w:rsidR="00A36310">
              <w:t xml:space="preserve">Drawdowns assumptions are based on observed drawdown rates for individuals from tax administration data. </w:t>
            </w:r>
          </w:p>
          <w:p w14:paraId="4BAAF4A7" w14:textId="2595A4F4" w:rsidR="004434F9" w:rsidRDefault="004434F9" w:rsidP="004434F9">
            <w:r w:rsidRPr="00302E25">
              <w:t xml:space="preserve">MARIA projects </w:t>
            </w:r>
            <w:r>
              <w:t>defined contribution accounts, including voluntary contributions made to these accounts, at an individual level. The model does not model superannuation funds themselves, or any assets held by funds to support</w:t>
            </w:r>
            <w:r w:rsidRPr="00302E25">
              <w:t xml:space="preserve"> defined benefits</w:t>
            </w:r>
            <w:r>
              <w:t xml:space="preserve"> or for</w:t>
            </w:r>
            <w:r w:rsidRPr="00302E25">
              <w:t xml:space="preserve"> regulatory capital</w:t>
            </w:r>
            <w:r>
              <w:t xml:space="preserve"> purposes.</w:t>
            </w:r>
            <w:r w:rsidRPr="00302E25">
              <w:t xml:space="preserve"> </w:t>
            </w:r>
          </w:p>
          <w:p w14:paraId="6AF4EAEB" w14:textId="77777777" w:rsidR="00611C6B" w:rsidRPr="00D1377F" w:rsidRDefault="00611C6B" w:rsidP="00611C6B">
            <w:r w:rsidRPr="00D1377F">
              <w:t xml:space="preserve">Modelling in MARIA is undertaken in nominal dollars. The choice of most useful deflator to present modelling results in today’s dollars depends on the context of use. The analysis in this paper seeks to compare the impact of a maturing superannuation system on different age cohorts, and for this reason nominal estimates have been deflated by </w:t>
            </w:r>
            <w:r>
              <w:t>AWE</w:t>
            </w:r>
            <w:r w:rsidRPr="00D1377F">
              <w:t xml:space="preserve"> to 2019 dollars. This ensures differences in outcomes reflect differences in policy or income distribution rather than productivity growth. In other situations deflating </w:t>
            </w:r>
            <w:r>
              <w:t>outcomes</w:t>
            </w:r>
            <w:r w:rsidRPr="00D1377F">
              <w:t xml:space="preserve"> by </w:t>
            </w:r>
            <w:r>
              <w:t>GDP</w:t>
            </w:r>
            <w:r w:rsidRPr="00D1377F">
              <w:t xml:space="preserve"> or </w:t>
            </w:r>
            <w:r>
              <w:t>the CPI</w:t>
            </w:r>
            <w:r w:rsidRPr="00D1377F">
              <w:t xml:space="preserve"> would be more useful.   </w:t>
            </w:r>
          </w:p>
          <w:p w14:paraId="0C32AA2D" w14:textId="1418C9B6" w:rsidR="008E0C09" w:rsidRDefault="001F09AD" w:rsidP="008E0C09">
            <w:r>
              <w:t>All dates for</w:t>
            </w:r>
            <w:r w:rsidR="008E0C09">
              <w:t xml:space="preserve"> MARIA output years </w:t>
            </w:r>
            <w:r>
              <w:t>are</w:t>
            </w:r>
            <w:r w:rsidR="008E0C09">
              <w:t xml:space="preserve"> financial years ending in the year stated</w:t>
            </w:r>
            <w:r w:rsidR="00E546FB">
              <w:t xml:space="preserve"> </w:t>
            </w:r>
            <w:r w:rsidR="008E0C09">
              <w:t>e.g. 2020 represents 2019-20.</w:t>
            </w:r>
          </w:p>
          <w:p w14:paraId="4B13690A" w14:textId="756749E8" w:rsidR="00E546FB" w:rsidRDefault="00E546FB" w:rsidP="004434F9"/>
          <w:p w14:paraId="168B5181" w14:textId="77777777" w:rsidR="00611C6B" w:rsidRDefault="00611C6B" w:rsidP="004434F9"/>
          <w:p w14:paraId="55C871F3" w14:textId="1AC57236" w:rsidR="00E92C91" w:rsidRPr="0068633C" w:rsidRDefault="00E92C91" w:rsidP="00947A7B">
            <w:pPr>
              <w:pStyle w:val="Heading1"/>
            </w:pPr>
            <w:r w:rsidRPr="0068633C">
              <w:lastRenderedPageBreak/>
              <w:t xml:space="preserve">A maturing superannuation system will lead to increased </w:t>
            </w:r>
            <w:r w:rsidR="00A54F3C">
              <w:t xml:space="preserve">median </w:t>
            </w:r>
            <w:r w:rsidRPr="0068633C">
              <w:t>superannuation balances for all age groups</w:t>
            </w:r>
          </w:p>
          <w:p w14:paraId="05C86341" w14:textId="77777777" w:rsidR="00E92C91" w:rsidRPr="0068633C" w:rsidRDefault="00E92C91" w:rsidP="00947A7B"/>
          <w:p w14:paraId="73945E45" w14:textId="7D0A60B2" w:rsidR="00E92C91" w:rsidRPr="0068633C" w:rsidRDefault="00E92C91" w:rsidP="00947A7B">
            <w:r w:rsidRPr="0068633C">
              <w:t xml:space="preserve">The Government first introduced Australia’s mandatory superannuation system in 1992, </w:t>
            </w:r>
            <w:r>
              <w:t>to help</w:t>
            </w:r>
            <w:r w:rsidRPr="0068633C">
              <w:t xml:space="preserve"> Australians support their retirement with superannuation contributions over their working life. The Superannuation Guarantee rate (mandatory </w:t>
            </w:r>
            <w:r w:rsidR="00952A12">
              <w:t xml:space="preserve">superannuation </w:t>
            </w:r>
            <w:r w:rsidRPr="0068633C">
              <w:t>contributions rate) has increased from the initial 3</w:t>
            </w:r>
            <w:r>
              <w:t xml:space="preserve"> per cent</w:t>
            </w:r>
            <w:r w:rsidRPr="0068633C">
              <w:t xml:space="preserve"> of employees’ wage to 9.5</w:t>
            </w:r>
            <w:r>
              <w:t xml:space="preserve"> per cent</w:t>
            </w:r>
            <w:r w:rsidRPr="0068633C">
              <w:t xml:space="preserve"> today. </w:t>
            </w:r>
            <w:r w:rsidR="0059284D">
              <w:t>It is legislated to gradually increase to 12 per cent between 2021 and 2025.</w:t>
            </w:r>
          </w:p>
          <w:p w14:paraId="1DF17CF9" w14:textId="3B1EB7C2" w:rsidR="00E92C91" w:rsidRPr="0068633C" w:rsidRDefault="00380A2C" w:rsidP="00947A7B">
            <w:r>
              <w:t>The</w:t>
            </w:r>
            <w:r w:rsidR="00E92C91" w:rsidRPr="0068633C">
              <w:t xml:space="preserve"> superannuation system is ‘maturing’ over time as Australians spend more of their working life with mandatory superannuation (and with higher Superannuation Guarantee rates). </w:t>
            </w:r>
          </w:p>
          <w:p w14:paraId="54541254" w14:textId="3370770D" w:rsidR="00E92C91" w:rsidRPr="0068633C" w:rsidRDefault="00380A2C" w:rsidP="00947A7B">
            <w:r>
              <w:t xml:space="preserve">MARIA can be used to assess how superannuation balances of the Australian population will grow as the system matures over their lifetimes. </w:t>
            </w:r>
            <w:r w:rsidR="005A00B3">
              <w:t>Chart 1 shows</w:t>
            </w:r>
            <w:r w:rsidR="00E92C91">
              <w:t xml:space="preserve"> the</w:t>
            </w:r>
            <w:r w:rsidR="00E92C91" w:rsidRPr="0068633C">
              <w:t xml:space="preserve"> </w:t>
            </w:r>
            <w:r w:rsidR="00023E85">
              <w:t xml:space="preserve">projected </w:t>
            </w:r>
            <w:r w:rsidR="00E92C91">
              <w:t>median</w:t>
            </w:r>
            <w:r w:rsidR="00E92C91" w:rsidRPr="0068633C">
              <w:t xml:space="preserve"> superannuation balances of different age groups </w:t>
            </w:r>
            <w:r w:rsidR="00AE0E78">
              <w:t>over</w:t>
            </w:r>
            <w:r w:rsidR="00E92C91" w:rsidRPr="0068633C">
              <w:t xml:space="preserve"> the next forty years. </w:t>
            </w:r>
          </w:p>
          <w:p w14:paraId="3850115C" w14:textId="77777777" w:rsidR="00E92C91" w:rsidRPr="004E0D9F" w:rsidRDefault="00E92C91" w:rsidP="00947A7B">
            <w:pPr>
              <w:pStyle w:val="Heading4"/>
              <w:rPr>
                <w:rFonts w:asciiTheme="minorHAnsi" w:hAnsiTheme="minorHAnsi" w:cstheme="minorHAnsi"/>
                <w:color w:val="2E74B5" w:themeColor="accent1" w:themeShade="BF"/>
                <w:lang w:val="en-US"/>
              </w:rPr>
            </w:pPr>
            <w:r w:rsidRPr="004E0D9F">
              <w:rPr>
                <w:rFonts w:asciiTheme="minorHAnsi" w:hAnsiTheme="minorHAnsi" w:cstheme="minorHAnsi"/>
                <w:color w:val="2E74B5" w:themeColor="accent1" w:themeShade="BF"/>
              </w:rPr>
              <w:t xml:space="preserve">Chart 1: </w:t>
            </w:r>
            <w:r w:rsidRPr="004E0D9F">
              <w:rPr>
                <w:rFonts w:asciiTheme="minorHAnsi" w:hAnsiTheme="minorHAnsi" w:cstheme="minorHAnsi"/>
                <w:color w:val="2E74B5" w:themeColor="accent1" w:themeShade="BF"/>
                <w:lang w:val="en-US"/>
              </w:rPr>
              <w:t>Median superannuation balances from 2020 to 2060, by age group (2019 dollars, AWE deflated)</w:t>
            </w:r>
          </w:p>
          <w:p w14:paraId="151F4119" w14:textId="356D25D9" w:rsidR="00A03147" w:rsidRDefault="00A03147" w:rsidP="00947A7B">
            <w:r>
              <w:rPr>
                <w:noProof/>
                <w:lang w:eastAsia="en-AU"/>
              </w:rPr>
              <w:drawing>
                <wp:inline distT="0" distB="0" distL="0" distR="0" wp14:anchorId="024EDC42" wp14:editId="7BC4B513">
                  <wp:extent cx="5191125" cy="3331112"/>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9414" cy="3336431"/>
                          </a:xfrm>
                          <a:prstGeom prst="rect">
                            <a:avLst/>
                          </a:prstGeom>
                          <a:noFill/>
                        </pic:spPr>
                      </pic:pic>
                    </a:graphicData>
                  </a:graphic>
                </wp:inline>
              </w:drawing>
            </w:r>
          </w:p>
          <w:p w14:paraId="67CB49C1" w14:textId="6ADF5726" w:rsidR="00E92C91" w:rsidRPr="0068633C" w:rsidRDefault="003B560E" w:rsidP="00947A7B">
            <w:r>
              <w:t>S</w:t>
            </w:r>
            <w:r w:rsidR="00E92C91" w:rsidRPr="0068633C">
              <w:t xml:space="preserve">uperannuation </w:t>
            </w:r>
            <w:r w:rsidR="00E92C91">
              <w:t xml:space="preserve">balances </w:t>
            </w:r>
            <w:r>
              <w:t xml:space="preserve">are typically accumulated </w:t>
            </w:r>
            <w:r w:rsidR="00380A2C">
              <w:t>throughout</w:t>
            </w:r>
            <w:r>
              <w:t xml:space="preserve"> </w:t>
            </w:r>
            <w:r w:rsidR="00E92C91" w:rsidRPr="0068633C">
              <w:t>working life</w:t>
            </w:r>
            <w:r>
              <w:t xml:space="preserve">, peaking </w:t>
            </w:r>
            <w:r w:rsidR="00BE6F69">
              <w:t xml:space="preserve">near </w:t>
            </w:r>
            <w:r>
              <w:t xml:space="preserve">retirement and then </w:t>
            </w:r>
            <w:r w:rsidR="00E92C91" w:rsidRPr="0068633C">
              <w:t xml:space="preserve">drawn down </w:t>
            </w:r>
            <w:r w:rsidR="00161966">
              <w:t xml:space="preserve">as income </w:t>
            </w:r>
            <w:r w:rsidR="00E92C91" w:rsidRPr="0068633C">
              <w:t xml:space="preserve">in </w:t>
            </w:r>
            <w:r>
              <w:t>later life</w:t>
            </w:r>
            <w:r w:rsidR="00E92C91" w:rsidRPr="0068633C">
              <w:t>.</w:t>
            </w:r>
            <w:r w:rsidR="009E3452">
              <w:t xml:space="preserve"> This trend is clear in </w:t>
            </w:r>
            <w:r w:rsidR="0071697F">
              <w:t>C</w:t>
            </w:r>
            <w:r w:rsidR="009E3452">
              <w:t>hart</w:t>
            </w:r>
            <w:r w:rsidR="0071697F">
              <w:t xml:space="preserve"> 1</w:t>
            </w:r>
            <w:r w:rsidR="009E3452">
              <w:t xml:space="preserve"> above.</w:t>
            </w:r>
          </w:p>
          <w:p w14:paraId="3B1C9646" w14:textId="60D09323" w:rsidR="00E92C91" w:rsidRPr="0068633C" w:rsidRDefault="00BE6F69" w:rsidP="00947A7B">
            <w:r>
              <w:t xml:space="preserve">Chart 1 also shows </w:t>
            </w:r>
            <w:r w:rsidR="00E92C91" w:rsidRPr="0068633C">
              <w:t xml:space="preserve">that all age groups </w:t>
            </w:r>
            <w:r w:rsidR="003B560E">
              <w:t>are projected to</w:t>
            </w:r>
            <w:r w:rsidR="003B560E" w:rsidRPr="0068633C">
              <w:t xml:space="preserve"> </w:t>
            </w:r>
            <w:r w:rsidR="00E92C91" w:rsidRPr="0068633C">
              <w:t xml:space="preserve">have higher balances in the future, but that the balances of older age groups will increase more than </w:t>
            </w:r>
            <w:r w:rsidR="003264E8">
              <w:t>younger</w:t>
            </w:r>
            <w:r w:rsidR="00E92C91" w:rsidRPr="0068633C">
              <w:t xml:space="preserve"> age groups. While the balances for 55-64 and 65-74 age </w:t>
            </w:r>
            <w:r w:rsidR="00E70B9E">
              <w:t>groups</w:t>
            </w:r>
            <w:r w:rsidR="00E92C91" w:rsidRPr="0068633C">
              <w:t xml:space="preserve"> will </w:t>
            </w:r>
            <w:r w:rsidR="00BF0C84">
              <w:t>more than</w:t>
            </w:r>
            <w:r w:rsidR="00E92C91" w:rsidRPr="0068633C">
              <w:t xml:space="preserve"> double from 2020 to 2060, 25-34 year olds’ balances will be </w:t>
            </w:r>
            <w:r w:rsidR="00077C7B">
              <w:t xml:space="preserve">only </w:t>
            </w:r>
            <w:r w:rsidR="00D72692">
              <w:t xml:space="preserve">15 </w:t>
            </w:r>
            <w:r w:rsidR="00E92C91">
              <w:t>per cent</w:t>
            </w:r>
            <w:r w:rsidR="00E92C91" w:rsidRPr="0068633C">
              <w:t xml:space="preserve"> higher </w:t>
            </w:r>
            <w:r w:rsidR="00077C7B">
              <w:t>after</w:t>
            </w:r>
            <w:r w:rsidR="00077C7B" w:rsidRPr="0068633C">
              <w:t xml:space="preserve"> </w:t>
            </w:r>
            <w:r w:rsidR="00E92C91" w:rsidRPr="0068633C">
              <w:t>the same period.</w:t>
            </w:r>
          </w:p>
          <w:p w14:paraId="5FE271E8" w14:textId="2AE61E35" w:rsidR="00F043CD" w:rsidRDefault="00BE6F69" w:rsidP="00F043CD">
            <w:r>
              <w:t>T</w:t>
            </w:r>
            <w:r w:rsidR="003B560E">
              <w:t xml:space="preserve">hose aged under 35 </w:t>
            </w:r>
            <w:r w:rsidR="009C1741">
              <w:t xml:space="preserve">today </w:t>
            </w:r>
            <w:r w:rsidR="003B560E">
              <w:t xml:space="preserve">have already </w:t>
            </w:r>
            <w:r w:rsidR="0014342B">
              <w:t>spent most of their</w:t>
            </w:r>
            <w:r w:rsidR="0030047C">
              <w:t xml:space="preserve"> </w:t>
            </w:r>
            <w:r w:rsidR="003B560E">
              <w:t>working life in a super</w:t>
            </w:r>
            <w:r w:rsidR="00DE4279">
              <w:t>annuation</w:t>
            </w:r>
            <w:r w:rsidR="003B560E">
              <w:t xml:space="preserve"> system with </w:t>
            </w:r>
            <w:r w:rsidR="00CA59E6">
              <w:t>a</w:t>
            </w:r>
            <w:r w:rsidR="003B560E">
              <w:t xml:space="preserve"> superannuation guarantee </w:t>
            </w:r>
            <w:r w:rsidR="00CA59E6">
              <w:t>rate of at least 9 per cent</w:t>
            </w:r>
            <w:r w:rsidR="003B560E">
              <w:t xml:space="preserve">. However, those aged </w:t>
            </w:r>
            <w:r w:rsidR="001251F1">
              <w:t xml:space="preserve">55 </w:t>
            </w:r>
            <w:r w:rsidR="003B560E">
              <w:t xml:space="preserve">and over today have spent </w:t>
            </w:r>
            <w:r w:rsidR="001251F1">
              <w:t xml:space="preserve">at least some part </w:t>
            </w:r>
            <w:r w:rsidR="003B560E">
              <w:t xml:space="preserve">of their career without </w:t>
            </w:r>
            <w:r w:rsidR="004C5D86">
              <w:t xml:space="preserve">a </w:t>
            </w:r>
            <w:r w:rsidR="003B560E">
              <w:t xml:space="preserve">mandatory superannuation system. </w:t>
            </w:r>
            <w:r w:rsidR="00CB4736">
              <w:t xml:space="preserve">The median balance of </w:t>
            </w:r>
            <w:r w:rsidR="005B74AE">
              <w:t xml:space="preserve">people </w:t>
            </w:r>
            <w:r w:rsidR="00CB4736">
              <w:t>in older age groups will rise significantly as those 55 and over in 2060 will have contributed to superannuation all of their working life.</w:t>
            </w:r>
            <w:r w:rsidR="003B560E">
              <w:t xml:space="preserve">  </w:t>
            </w:r>
          </w:p>
          <w:p w14:paraId="52BDCBAD" w14:textId="50C28643" w:rsidR="00E92C91" w:rsidRPr="0068633C" w:rsidRDefault="00CB4736" w:rsidP="005B74AE">
            <w:r>
              <w:t xml:space="preserve">Furthermore, </w:t>
            </w:r>
            <w:r w:rsidR="00E70B9E">
              <w:t xml:space="preserve">over their lifetimes, </w:t>
            </w:r>
            <w:r w:rsidR="005B74AE">
              <w:t>people</w:t>
            </w:r>
            <w:r w:rsidR="00E70B9E">
              <w:t xml:space="preserve"> in </w:t>
            </w:r>
            <w:r w:rsidR="001F035A">
              <w:t xml:space="preserve">younger </w:t>
            </w:r>
            <w:r w:rsidR="00E70B9E">
              <w:t>age groups</w:t>
            </w:r>
            <w:r w:rsidR="001F035A">
              <w:t xml:space="preserve"> will</w:t>
            </w:r>
            <w:r w:rsidR="00E92C91" w:rsidRPr="0068633C">
              <w:t xml:space="preserve"> </w:t>
            </w:r>
            <w:r w:rsidR="001F035A" w:rsidRPr="0068633C">
              <w:t>experienc</w:t>
            </w:r>
            <w:r w:rsidR="001F035A">
              <w:t>e</w:t>
            </w:r>
            <w:r w:rsidR="001F035A" w:rsidRPr="0068633C">
              <w:t xml:space="preserve"> </w:t>
            </w:r>
            <w:r w:rsidR="00E92C91" w:rsidRPr="0068633C">
              <w:t xml:space="preserve">the </w:t>
            </w:r>
            <w:r w:rsidR="001F035A">
              <w:t xml:space="preserve">benefits of </w:t>
            </w:r>
            <w:r w:rsidR="00E92C91" w:rsidRPr="0068633C">
              <w:t>compound</w:t>
            </w:r>
            <w:r w:rsidR="001F035A">
              <w:t xml:space="preserve"> returns</w:t>
            </w:r>
            <w:r w:rsidR="00CE22C0">
              <w:t xml:space="preserve"> on their early career earnings, helping them</w:t>
            </w:r>
            <w:r w:rsidR="0059284D">
              <w:t xml:space="preserve"> to</w:t>
            </w:r>
            <w:r w:rsidR="001F035A">
              <w:t xml:space="preserve"> accumulate higher balances</w:t>
            </w:r>
            <w:r w:rsidR="00F043CD">
              <w:t xml:space="preserve"> than the older population today</w:t>
            </w:r>
            <w:r w:rsidR="001F035A">
              <w:rPr>
                <w:rStyle w:val="FootnoteReference"/>
              </w:rPr>
              <w:footnoteReference w:id="5"/>
            </w:r>
            <w:r w:rsidR="00F043CD">
              <w:t>.</w:t>
            </w:r>
          </w:p>
        </w:tc>
      </w:tr>
      <w:tr w:rsidR="00A54F3C" w:rsidRPr="0068633C" w14:paraId="0F1B0109" w14:textId="77777777" w:rsidTr="00E97710">
        <w:tc>
          <w:tcPr>
            <w:tcW w:w="1701" w:type="dxa"/>
            <w:shd w:val="clear" w:color="auto" w:fill="auto"/>
          </w:tcPr>
          <w:p w14:paraId="479AFF0B" w14:textId="77777777" w:rsidR="00E92C91" w:rsidRPr="0068633C" w:rsidRDefault="00E92C91" w:rsidP="00947A7B">
            <w:pPr>
              <w:pStyle w:val="Subtitle"/>
            </w:pPr>
          </w:p>
          <w:p w14:paraId="203733FF" w14:textId="77777777" w:rsidR="00E92C91" w:rsidRPr="0068633C" w:rsidRDefault="00E92C91" w:rsidP="00947A7B">
            <w:pPr>
              <w:pStyle w:val="Subtitle"/>
            </w:pPr>
          </w:p>
          <w:p w14:paraId="267D9DDC" w14:textId="6BE0198B" w:rsidR="00E92C91" w:rsidRPr="0068633C" w:rsidRDefault="00E92C91" w:rsidP="00947A7B">
            <w:pPr>
              <w:pStyle w:val="Subtitle"/>
            </w:pPr>
            <w:r w:rsidRPr="0068633C">
              <w:t xml:space="preserve">Future generations are projected to have higher balances than current generations </w:t>
            </w:r>
          </w:p>
        </w:tc>
        <w:tc>
          <w:tcPr>
            <w:tcW w:w="8503" w:type="dxa"/>
            <w:shd w:val="clear" w:color="auto" w:fill="auto"/>
          </w:tcPr>
          <w:p w14:paraId="3C1DD837" w14:textId="1DCB8C9F" w:rsidR="00E92C91" w:rsidRPr="0068633C" w:rsidRDefault="00E92C91" w:rsidP="00947A7B">
            <w:pPr>
              <w:pStyle w:val="Heading1"/>
            </w:pPr>
            <w:r w:rsidRPr="0068633C">
              <w:t>A closer look at outcomes for different age cohorts</w:t>
            </w:r>
          </w:p>
          <w:p w14:paraId="5FFC8C69" w14:textId="77777777" w:rsidR="00E92C91" w:rsidRPr="0068633C" w:rsidRDefault="00E92C91" w:rsidP="00947A7B"/>
          <w:p w14:paraId="494EF331" w14:textId="772311A5" w:rsidR="008B4183" w:rsidRDefault="00E92C91" w:rsidP="00CA3B9C">
            <w:r w:rsidRPr="0068633C">
              <w:t xml:space="preserve">We can also use MARIA </w:t>
            </w:r>
            <w:r w:rsidR="00481C85">
              <w:t xml:space="preserve">to </w:t>
            </w:r>
            <w:r w:rsidR="00CB4736">
              <w:t>examine</w:t>
            </w:r>
            <w:r w:rsidRPr="0068633C">
              <w:t xml:space="preserve"> </w:t>
            </w:r>
            <w:r w:rsidR="00B233F4">
              <w:t xml:space="preserve">how </w:t>
            </w:r>
            <w:r w:rsidR="00CB4736">
              <w:t xml:space="preserve">retirement income </w:t>
            </w:r>
            <w:r w:rsidRPr="0068633C">
              <w:t xml:space="preserve">outcomes </w:t>
            </w:r>
            <w:r w:rsidR="00403337">
              <w:t>will change</w:t>
            </w:r>
            <w:r w:rsidRPr="0068633C">
              <w:t xml:space="preserve"> for individuals born in different </w:t>
            </w:r>
            <w:r w:rsidR="00EC6AF3">
              <w:t>age cohorts</w:t>
            </w:r>
            <w:r w:rsidRPr="0068633C">
              <w:t xml:space="preserve">. </w:t>
            </w:r>
          </w:p>
          <w:p w14:paraId="76A372CE" w14:textId="1B00E90C" w:rsidR="00E92C91" w:rsidRPr="0068633C" w:rsidRDefault="00E92C91" w:rsidP="00947A7B">
            <w:r w:rsidRPr="0068633C">
              <w:t xml:space="preserve">Chart 2 compares superannuation balances of individuals who are born in different decades to show how balances are projected to change over time. </w:t>
            </w:r>
            <w:r w:rsidR="008B4183" w:rsidRPr="0068633C">
              <w:t xml:space="preserve">Median superannuation balances are projected to increase across all </w:t>
            </w:r>
            <w:r w:rsidR="008B4183">
              <w:t>age</w:t>
            </w:r>
            <w:r w:rsidR="008B4183" w:rsidRPr="0068633C">
              <w:t xml:space="preserve"> </w:t>
            </w:r>
            <w:r w:rsidR="00EC6AF3">
              <w:t xml:space="preserve">cohorts </w:t>
            </w:r>
            <w:r w:rsidR="008B4183">
              <w:t>up</w:t>
            </w:r>
            <w:r w:rsidR="008B4183" w:rsidRPr="0068633C">
              <w:t xml:space="preserve"> to </w:t>
            </w:r>
            <w:r w:rsidR="003E01B3">
              <w:t>age 65</w:t>
            </w:r>
            <w:r w:rsidR="008B4183" w:rsidRPr="0068633C">
              <w:t xml:space="preserve"> before decreasing. By comparing balances at a certain age, we can see that those born in more </w:t>
            </w:r>
            <w:r w:rsidR="00403337">
              <w:t>recently</w:t>
            </w:r>
            <w:r w:rsidR="008B4183" w:rsidRPr="0068633C">
              <w:t xml:space="preserve"> (displayed in the </w:t>
            </w:r>
            <w:r w:rsidR="008B4183">
              <w:t>lighter</w:t>
            </w:r>
            <w:r w:rsidR="008B4183" w:rsidRPr="0068633C">
              <w:t xml:space="preserve"> </w:t>
            </w:r>
            <w:r w:rsidR="008B4183">
              <w:t>shades</w:t>
            </w:r>
            <w:r w:rsidR="008B4183" w:rsidRPr="0068633C">
              <w:t xml:space="preserve">) will have higher balances than those born </w:t>
            </w:r>
            <w:r w:rsidR="00403337">
              <w:t>less recently</w:t>
            </w:r>
            <w:r w:rsidR="008B4183" w:rsidRPr="0068633C">
              <w:t xml:space="preserve"> (displayed in </w:t>
            </w:r>
            <w:r w:rsidR="008B4183">
              <w:t>darker</w:t>
            </w:r>
            <w:r w:rsidR="008B4183" w:rsidRPr="0068633C">
              <w:t xml:space="preserve"> </w:t>
            </w:r>
            <w:r w:rsidR="008B4183">
              <w:t>shades</w:t>
            </w:r>
            <w:r w:rsidR="008B4183" w:rsidRPr="0068633C">
              <w:t xml:space="preserve">). </w:t>
            </w:r>
            <w:r w:rsidR="003E01B3">
              <w:t>For example, the median balance of the age cohort born in 1970 peaks at around $</w:t>
            </w:r>
            <w:r w:rsidR="002749C6">
              <w:t>326</w:t>
            </w:r>
            <w:r w:rsidR="003E01B3">
              <w:t>,000 at age 65 while the median balance of the age cohort born in 1990 peak</w:t>
            </w:r>
            <w:r w:rsidR="00294120">
              <w:t>s</w:t>
            </w:r>
            <w:r w:rsidR="003E01B3">
              <w:t xml:space="preserve"> at around $</w:t>
            </w:r>
            <w:r w:rsidR="002749C6">
              <w:t>446</w:t>
            </w:r>
            <w:r w:rsidR="003E01B3">
              <w:t>,000.</w:t>
            </w:r>
          </w:p>
          <w:p w14:paraId="5F6F08C7" w14:textId="3B639C26" w:rsidR="00B8173A" w:rsidRPr="004E0D9F" w:rsidRDefault="00E92C91" w:rsidP="00F12E5E">
            <w:pPr>
              <w:pStyle w:val="Heading4"/>
              <w:rPr>
                <w:rFonts w:asciiTheme="minorHAnsi" w:hAnsiTheme="minorHAnsi" w:cstheme="minorHAnsi"/>
                <w:color w:val="2E74B5" w:themeColor="accent1" w:themeShade="BF"/>
              </w:rPr>
            </w:pPr>
            <w:r w:rsidRPr="004E0D9F">
              <w:rPr>
                <w:rFonts w:asciiTheme="minorHAnsi" w:hAnsiTheme="minorHAnsi" w:cstheme="minorHAnsi"/>
                <w:color w:val="2E74B5" w:themeColor="accent1" w:themeShade="BF"/>
              </w:rPr>
              <w:t xml:space="preserve">Chart 2: </w:t>
            </w:r>
            <w:r w:rsidR="00E70B9E" w:rsidRPr="004E0D9F">
              <w:rPr>
                <w:rFonts w:asciiTheme="minorHAnsi" w:hAnsiTheme="minorHAnsi" w:cstheme="minorHAnsi"/>
                <w:color w:val="2E74B5" w:themeColor="accent1" w:themeShade="BF"/>
              </w:rPr>
              <w:t>Superannuation b</w:t>
            </w:r>
            <w:r w:rsidRPr="004E0D9F">
              <w:rPr>
                <w:rFonts w:asciiTheme="minorHAnsi" w:hAnsiTheme="minorHAnsi" w:cstheme="minorHAnsi"/>
                <w:color w:val="2E74B5" w:themeColor="accent1" w:themeShade="BF"/>
              </w:rPr>
              <w:t xml:space="preserve">alances over lifetime by birth year </w:t>
            </w:r>
            <w:r w:rsidRPr="004E0D9F">
              <w:rPr>
                <w:rFonts w:asciiTheme="minorHAnsi" w:hAnsiTheme="minorHAnsi" w:cstheme="minorHAnsi"/>
                <w:color w:val="2E74B5" w:themeColor="accent1" w:themeShade="BF"/>
                <w:lang w:val="en-US"/>
              </w:rPr>
              <w:t>(2019 dollars, AWE deflated)</w:t>
            </w:r>
          </w:p>
          <w:p w14:paraId="6FFDB2BA" w14:textId="2A8E4D07" w:rsidR="00680528" w:rsidRDefault="00680528" w:rsidP="00947A7B">
            <w:r>
              <w:rPr>
                <w:noProof/>
                <w:lang w:eastAsia="en-AU"/>
              </w:rPr>
              <w:drawing>
                <wp:inline distT="0" distB="0" distL="0" distR="0" wp14:anchorId="5C149D6F" wp14:editId="5B0650EB">
                  <wp:extent cx="5276850" cy="38388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142" cy="3846364"/>
                          </a:xfrm>
                          <a:prstGeom prst="rect">
                            <a:avLst/>
                          </a:prstGeom>
                          <a:noFill/>
                        </pic:spPr>
                      </pic:pic>
                    </a:graphicData>
                  </a:graphic>
                </wp:inline>
              </w:drawing>
            </w:r>
          </w:p>
          <w:p w14:paraId="0A379CD2" w14:textId="55EC942F" w:rsidR="00193989" w:rsidRDefault="006D16B1" w:rsidP="00947A7B">
            <w:r>
              <w:t xml:space="preserve">Again, </w:t>
            </w:r>
            <w:r w:rsidR="00A941CE">
              <w:t xml:space="preserve">over time, </w:t>
            </w:r>
            <w:r>
              <w:t xml:space="preserve">balances </w:t>
            </w:r>
            <w:r w:rsidR="004A7F42">
              <w:t>at</w:t>
            </w:r>
            <w:r>
              <w:t xml:space="preserve"> older ages are expected </w:t>
            </w:r>
            <w:r w:rsidR="004A7F42">
              <w:t>to increase</w:t>
            </w:r>
            <w:r>
              <w:t xml:space="preserve"> more than balances </w:t>
            </w:r>
            <w:r w:rsidR="004A7F42">
              <w:t>at</w:t>
            </w:r>
            <w:r>
              <w:t xml:space="preserve"> younger ages.</w:t>
            </w:r>
            <w:r w:rsidR="004A7F42">
              <w:t xml:space="preserve"> </w:t>
            </w:r>
            <w:r w:rsidR="00B451F0">
              <w:t>65</w:t>
            </w:r>
            <w:r w:rsidR="00B451F0" w:rsidRPr="0068633C">
              <w:t xml:space="preserve"> year olds born in </w:t>
            </w:r>
            <w:r w:rsidR="00B451F0">
              <w:t xml:space="preserve">1990 are projected to </w:t>
            </w:r>
            <w:r w:rsidR="00B451F0" w:rsidRPr="00A60262">
              <w:t xml:space="preserve">have balances </w:t>
            </w:r>
            <w:r w:rsidR="00B451F0">
              <w:t>around $</w:t>
            </w:r>
            <w:r w:rsidR="004F3D23">
              <w:t>120</w:t>
            </w:r>
            <w:r w:rsidR="00B451F0">
              <w:t>,000</w:t>
            </w:r>
            <w:r w:rsidR="00B451F0" w:rsidRPr="00A60262">
              <w:t xml:space="preserve"> higher than </w:t>
            </w:r>
            <w:r w:rsidR="00B451F0">
              <w:t>65</w:t>
            </w:r>
            <w:r w:rsidR="00B451F0" w:rsidRPr="0068633C">
              <w:t xml:space="preserve"> </w:t>
            </w:r>
            <w:r w:rsidR="00B451F0" w:rsidRPr="00A60262">
              <w:t xml:space="preserve">year olds born in </w:t>
            </w:r>
            <w:r w:rsidR="00B451F0">
              <w:t>1970</w:t>
            </w:r>
            <w:r w:rsidR="00B451F0" w:rsidRPr="00A60262">
              <w:t xml:space="preserve">, while </w:t>
            </w:r>
            <w:r w:rsidR="00B451F0">
              <w:t>50</w:t>
            </w:r>
            <w:r w:rsidR="00B451F0" w:rsidRPr="00A60262">
              <w:t xml:space="preserve"> year olds born in </w:t>
            </w:r>
            <w:r w:rsidR="00B451F0">
              <w:t xml:space="preserve">1990 </w:t>
            </w:r>
            <w:r w:rsidR="00B451F0" w:rsidRPr="00A60262">
              <w:t xml:space="preserve">are projected to have balances </w:t>
            </w:r>
            <w:r w:rsidR="00B451F0">
              <w:t>around $</w:t>
            </w:r>
            <w:r w:rsidR="004F3D23">
              <w:t>93</w:t>
            </w:r>
            <w:r w:rsidR="00B451F0">
              <w:t>,500</w:t>
            </w:r>
            <w:r w:rsidR="00B451F0" w:rsidRPr="00A60262">
              <w:t xml:space="preserve"> higher than </w:t>
            </w:r>
            <w:r w:rsidR="004F3D23">
              <w:t>50</w:t>
            </w:r>
            <w:r w:rsidR="00B451F0" w:rsidRPr="00A60262">
              <w:t xml:space="preserve"> year olds born in </w:t>
            </w:r>
            <w:r w:rsidR="00B451F0">
              <w:t>1970</w:t>
            </w:r>
            <w:r w:rsidR="00B451F0" w:rsidRPr="00A60262">
              <w:t>.</w:t>
            </w:r>
            <w:r w:rsidR="004F3D23">
              <w:t xml:space="preserve"> </w:t>
            </w:r>
            <w:r w:rsidR="00193989">
              <w:t xml:space="preserve">These results </w:t>
            </w:r>
            <w:r w:rsidR="001E040A">
              <w:t>highlight</w:t>
            </w:r>
            <w:r w:rsidR="00193989">
              <w:t xml:space="preserve"> </w:t>
            </w:r>
            <w:r w:rsidR="001E040A">
              <w:t xml:space="preserve">the maturing superannuation system’s boost to balances over the next forty years. </w:t>
            </w:r>
          </w:p>
          <w:p w14:paraId="3DA1255E" w14:textId="77777777" w:rsidR="00E92C91" w:rsidRPr="0068633C" w:rsidRDefault="00E92C91" w:rsidP="00947A7B"/>
          <w:p w14:paraId="2EB80DB1" w14:textId="073F5A18" w:rsidR="00E92C91" w:rsidRDefault="00E92C91" w:rsidP="00947A7B"/>
          <w:p w14:paraId="24700FE1" w14:textId="51D7D771" w:rsidR="00A54F3C" w:rsidRDefault="00A54F3C" w:rsidP="00947A7B"/>
          <w:p w14:paraId="1A8ED36D" w14:textId="77777777" w:rsidR="00E92C91" w:rsidRDefault="00E92C91" w:rsidP="00947A7B"/>
          <w:p w14:paraId="4E23B0B5" w14:textId="77777777" w:rsidR="00F043CD" w:rsidRDefault="00F043CD" w:rsidP="00947A7B"/>
          <w:p w14:paraId="13CF465D" w14:textId="77777777" w:rsidR="00F043CD" w:rsidRDefault="00F043CD" w:rsidP="00947A7B"/>
          <w:p w14:paraId="65F1FA44" w14:textId="7C2E35B4" w:rsidR="00F043CD" w:rsidRPr="0068633C" w:rsidRDefault="00F043CD" w:rsidP="00947A7B"/>
        </w:tc>
      </w:tr>
      <w:tr w:rsidR="00A54F3C" w:rsidRPr="0068633C" w14:paraId="7F337D1F" w14:textId="77777777" w:rsidTr="00A31B47">
        <w:tc>
          <w:tcPr>
            <w:tcW w:w="1701" w:type="dxa"/>
            <w:shd w:val="clear" w:color="auto" w:fill="auto"/>
          </w:tcPr>
          <w:p w14:paraId="1A037330" w14:textId="77777777" w:rsidR="00E92C91" w:rsidRPr="0068633C" w:rsidRDefault="00E92C91" w:rsidP="00947A7B">
            <w:pPr>
              <w:pStyle w:val="Subtitle"/>
              <w:jc w:val="left"/>
            </w:pPr>
          </w:p>
        </w:tc>
        <w:tc>
          <w:tcPr>
            <w:tcW w:w="8503" w:type="dxa"/>
            <w:shd w:val="clear" w:color="auto" w:fill="auto"/>
          </w:tcPr>
          <w:p w14:paraId="3ED7FDE1" w14:textId="3ECE3768" w:rsidR="00E92C91" w:rsidRPr="0068633C" w:rsidRDefault="00A31B47" w:rsidP="00A31B47">
            <w:pPr>
              <w:pStyle w:val="Heading1"/>
            </w:pPr>
            <w:r>
              <w:t xml:space="preserve">The balances of higher income </w:t>
            </w:r>
            <w:r w:rsidR="00E92C91" w:rsidRPr="0068633C">
              <w:t xml:space="preserve">Australians will </w:t>
            </w:r>
            <w:r w:rsidR="00E92C91">
              <w:t>grow</w:t>
            </w:r>
            <w:r w:rsidR="00E92C91" w:rsidRPr="0068633C">
              <w:t xml:space="preserve"> more than </w:t>
            </w:r>
            <w:r>
              <w:t xml:space="preserve">lower income </w:t>
            </w:r>
            <w:r w:rsidR="00E92C91" w:rsidRPr="0068633C">
              <w:t xml:space="preserve">Australians </w:t>
            </w:r>
          </w:p>
        </w:tc>
      </w:tr>
      <w:tr w:rsidR="00A54F3C" w:rsidRPr="0068633C" w14:paraId="707E5EC5" w14:textId="77777777" w:rsidTr="00A31B47">
        <w:trPr>
          <w:trHeight w:val="13069"/>
        </w:trPr>
        <w:tc>
          <w:tcPr>
            <w:tcW w:w="1701" w:type="dxa"/>
            <w:shd w:val="clear" w:color="auto" w:fill="auto"/>
          </w:tcPr>
          <w:p w14:paraId="75540D0A" w14:textId="4B2DAB94" w:rsidR="00E92C91" w:rsidRPr="0068633C" w:rsidRDefault="00E92C91" w:rsidP="00A31B47">
            <w:pPr>
              <w:pStyle w:val="Subtitle"/>
            </w:pPr>
            <w:r w:rsidRPr="0068633C">
              <w:t xml:space="preserve">The superannuation balances of </w:t>
            </w:r>
            <w:r w:rsidR="00A31B47">
              <w:t>high income</w:t>
            </w:r>
            <w:r w:rsidRPr="0068633C">
              <w:t xml:space="preserve"> Australians are</w:t>
            </w:r>
            <w:r w:rsidR="007E4CD8">
              <w:t xml:space="preserve"> generally </w:t>
            </w:r>
            <w:r w:rsidRPr="0068633C">
              <w:t xml:space="preserve"> projected to increase more than those of </w:t>
            </w:r>
            <w:r w:rsidR="00A31B47">
              <w:t>low income</w:t>
            </w:r>
            <w:r w:rsidRPr="0068633C">
              <w:t xml:space="preserve"> Australians </w:t>
            </w:r>
          </w:p>
        </w:tc>
        <w:tc>
          <w:tcPr>
            <w:tcW w:w="8503" w:type="dxa"/>
            <w:shd w:val="clear" w:color="auto" w:fill="auto"/>
          </w:tcPr>
          <w:p w14:paraId="65E5FD20" w14:textId="24703EE2" w:rsidR="00A3698E" w:rsidRDefault="00E92C91" w:rsidP="00947A7B">
            <w:r w:rsidRPr="0068633C">
              <w:t xml:space="preserve">Finally, we can use MARIA to project how balances will change for </w:t>
            </w:r>
            <w:r w:rsidR="00A54F3C">
              <w:t>low and high</w:t>
            </w:r>
            <w:r w:rsidRPr="0068633C">
              <w:t xml:space="preserve"> </w:t>
            </w:r>
            <w:r w:rsidR="008B4183">
              <w:t>income</w:t>
            </w:r>
            <w:r w:rsidR="008B4183" w:rsidRPr="0068633C">
              <w:t xml:space="preserve"> </w:t>
            </w:r>
            <w:r w:rsidRPr="0068633C">
              <w:t xml:space="preserve">individuals born in different decades. </w:t>
            </w:r>
          </w:p>
          <w:p w14:paraId="01292119" w14:textId="59EB5D6F" w:rsidR="00F746EC" w:rsidRDefault="00F746EC" w:rsidP="00947A7B">
            <w:r>
              <w:t xml:space="preserve">Chart 3 shows low and high income individuals in different birth cohorts for selected ages from </w:t>
            </w:r>
            <w:r w:rsidR="00C175DF">
              <w:t>30</w:t>
            </w:r>
            <w:r>
              <w:t xml:space="preserve"> to 75</w:t>
            </w:r>
            <w:r w:rsidR="009C32D6">
              <w:t xml:space="preserve">, using percentile of superannuation balance to proxy for lifetime </w:t>
            </w:r>
            <w:r w:rsidR="00A0388C">
              <w:t>earnings</w:t>
            </w:r>
            <w:r w:rsidR="009C32D6">
              <w:t xml:space="preserve">. </w:t>
            </w:r>
            <w:r w:rsidR="00A211D3">
              <w:t>T</w:t>
            </w:r>
            <w:r>
              <w:t>he 10</w:t>
            </w:r>
            <w:r w:rsidRPr="00605205">
              <w:rPr>
                <w:vertAlign w:val="superscript"/>
              </w:rPr>
              <w:t>th</w:t>
            </w:r>
            <w:r>
              <w:t xml:space="preserve"> percentile (</w:t>
            </w:r>
            <w:r w:rsidR="00C175DF">
              <w:t>green</w:t>
            </w:r>
            <w:r>
              <w:t>)</w:t>
            </w:r>
            <w:r w:rsidR="00A211D3">
              <w:t xml:space="preserve"> is </w:t>
            </w:r>
            <w:r w:rsidR="00D72692">
              <w:t>used as a proxy</w:t>
            </w:r>
            <w:r w:rsidR="00A211D3">
              <w:t xml:space="preserve"> for low income earners,</w:t>
            </w:r>
            <w:r>
              <w:t xml:space="preserve"> while </w:t>
            </w:r>
            <w:r w:rsidR="00A211D3">
              <w:t>the 90</w:t>
            </w:r>
            <w:r w:rsidR="00A211D3" w:rsidRPr="00583CFD">
              <w:rPr>
                <w:vertAlign w:val="superscript"/>
              </w:rPr>
              <w:t>th</w:t>
            </w:r>
            <w:r w:rsidR="00A211D3">
              <w:t xml:space="preserve"> percentile (</w:t>
            </w:r>
            <w:r w:rsidR="00C175DF">
              <w:t>orange</w:t>
            </w:r>
            <w:r w:rsidR="00A211D3">
              <w:t xml:space="preserve">) </w:t>
            </w:r>
            <w:r w:rsidR="00D72692">
              <w:t xml:space="preserve">is used as a proxy for </w:t>
            </w:r>
            <w:r>
              <w:t xml:space="preserve">high income </w:t>
            </w:r>
            <w:r w:rsidR="00A211D3">
              <w:t xml:space="preserve">earners. </w:t>
            </w:r>
          </w:p>
          <w:p w14:paraId="24EEBF57" w14:textId="61826A4B" w:rsidR="00EE056B" w:rsidRPr="004E0D9F" w:rsidRDefault="00E70B9E" w:rsidP="00C175DF">
            <w:pPr>
              <w:pStyle w:val="Heading4"/>
              <w:rPr>
                <w:rFonts w:asciiTheme="minorHAnsi" w:hAnsiTheme="minorHAnsi" w:cstheme="minorHAnsi"/>
                <w:color w:val="2E74B5" w:themeColor="accent1" w:themeShade="BF"/>
              </w:rPr>
            </w:pPr>
            <w:r w:rsidRPr="004E0D9F">
              <w:rPr>
                <w:rFonts w:asciiTheme="minorHAnsi" w:hAnsiTheme="minorHAnsi" w:cstheme="minorHAnsi"/>
                <w:color w:val="2E74B5" w:themeColor="accent1" w:themeShade="BF"/>
              </w:rPr>
              <w:t>Chart 3: Superannuation b</w:t>
            </w:r>
            <w:r w:rsidR="00E92C91" w:rsidRPr="004E0D9F">
              <w:rPr>
                <w:rFonts w:asciiTheme="minorHAnsi" w:hAnsiTheme="minorHAnsi" w:cstheme="minorHAnsi"/>
                <w:color w:val="2E74B5" w:themeColor="accent1" w:themeShade="BF"/>
              </w:rPr>
              <w:t xml:space="preserve">alances over lifetime </w:t>
            </w:r>
            <w:r w:rsidR="00A3698E" w:rsidRPr="004E0D9F">
              <w:rPr>
                <w:rFonts w:asciiTheme="minorHAnsi" w:hAnsiTheme="minorHAnsi" w:cstheme="minorHAnsi"/>
                <w:color w:val="2E74B5" w:themeColor="accent1" w:themeShade="BF"/>
              </w:rPr>
              <w:t xml:space="preserve">for </w:t>
            </w:r>
            <w:r w:rsidR="00B92F89" w:rsidRPr="004E0D9F">
              <w:rPr>
                <w:rFonts w:asciiTheme="minorHAnsi" w:hAnsiTheme="minorHAnsi" w:cstheme="minorHAnsi"/>
                <w:color w:val="2E74B5" w:themeColor="accent1" w:themeShade="BF"/>
              </w:rPr>
              <w:t xml:space="preserve">low and high income </w:t>
            </w:r>
            <w:r w:rsidR="00A3698E" w:rsidRPr="004E0D9F">
              <w:rPr>
                <w:rFonts w:asciiTheme="minorHAnsi" w:hAnsiTheme="minorHAnsi" w:cstheme="minorHAnsi"/>
                <w:color w:val="2E74B5" w:themeColor="accent1" w:themeShade="BF"/>
              </w:rPr>
              <w:t xml:space="preserve">individuals </w:t>
            </w:r>
            <w:r w:rsidR="00E92C91" w:rsidRPr="004E0D9F">
              <w:rPr>
                <w:rFonts w:asciiTheme="minorHAnsi" w:hAnsiTheme="minorHAnsi" w:cstheme="minorHAnsi"/>
                <w:color w:val="2E74B5" w:themeColor="accent1" w:themeShade="BF"/>
                <w:lang w:val="en-US"/>
              </w:rPr>
              <w:t>(2</w:t>
            </w:r>
            <w:r w:rsidR="00B92F89" w:rsidRPr="004E0D9F">
              <w:rPr>
                <w:rFonts w:asciiTheme="minorHAnsi" w:hAnsiTheme="minorHAnsi" w:cstheme="minorHAnsi"/>
                <w:color w:val="2E74B5" w:themeColor="accent1" w:themeShade="BF"/>
                <w:lang w:val="en-US"/>
              </w:rPr>
              <w:t>019</w:t>
            </w:r>
            <w:r w:rsidR="008221E5" w:rsidRPr="004E0D9F">
              <w:rPr>
                <w:rFonts w:asciiTheme="minorHAnsi" w:hAnsiTheme="minorHAnsi" w:cstheme="minorHAnsi"/>
                <w:color w:val="2E74B5" w:themeColor="accent1" w:themeShade="BF"/>
                <w:lang w:val="en-US"/>
              </w:rPr>
              <w:t> </w:t>
            </w:r>
            <w:r w:rsidR="00B92F89" w:rsidRPr="004E0D9F">
              <w:rPr>
                <w:rFonts w:asciiTheme="minorHAnsi" w:hAnsiTheme="minorHAnsi" w:cstheme="minorHAnsi"/>
                <w:color w:val="2E74B5" w:themeColor="accent1" w:themeShade="BF"/>
                <w:lang w:val="en-US"/>
              </w:rPr>
              <w:t>dollars,</w:t>
            </w:r>
            <w:r w:rsidR="008221E5" w:rsidRPr="004E0D9F">
              <w:rPr>
                <w:rFonts w:asciiTheme="minorHAnsi" w:hAnsiTheme="minorHAnsi" w:cstheme="minorHAnsi"/>
                <w:color w:val="2E74B5" w:themeColor="accent1" w:themeShade="BF"/>
                <w:lang w:val="en-US"/>
              </w:rPr>
              <w:t> </w:t>
            </w:r>
            <w:r w:rsidR="00B92F89" w:rsidRPr="004E0D9F">
              <w:rPr>
                <w:rFonts w:asciiTheme="minorHAnsi" w:hAnsiTheme="minorHAnsi" w:cstheme="minorHAnsi"/>
                <w:color w:val="2E74B5" w:themeColor="accent1" w:themeShade="BF"/>
                <w:lang w:val="en-US"/>
              </w:rPr>
              <w:t>AWE </w:t>
            </w:r>
            <w:r w:rsidR="00E92C91" w:rsidRPr="004E0D9F">
              <w:rPr>
                <w:rFonts w:asciiTheme="minorHAnsi" w:hAnsiTheme="minorHAnsi" w:cstheme="minorHAnsi"/>
                <w:color w:val="2E74B5" w:themeColor="accent1" w:themeShade="BF"/>
                <w:lang w:val="en-US"/>
              </w:rPr>
              <w:t>deflated)</w:t>
            </w:r>
          </w:p>
          <w:p w14:paraId="2AABF528" w14:textId="651B2D0E" w:rsidR="0007583C" w:rsidRDefault="0007583C" w:rsidP="00947A7B">
            <w:pPr>
              <w:pStyle w:val="Chartheading"/>
              <w:rPr>
                <w:rFonts w:ascii="Calibri" w:hAnsi="Calibri"/>
                <w:color w:val="auto"/>
                <w:sz w:val="20"/>
              </w:rPr>
            </w:pPr>
            <w:r>
              <w:rPr>
                <w:rFonts w:ascii="Calibri" w:hAnsi="Calibri"/>
                <w:noProof/>
                <w:color w:val="auto"/>
                <w:sz w:val="20"/>
                <w:lang w:eastAsia="en-AU"/>
              </w:rPr>
              <w:drawing>
                <wp:inline distT="0" distB="0" distL="0" distR="0" wp14:anchorId="59A4E31A" wp14:editId="0DACC204">
                  <wp:extent cx="5175005" cy="3884371"/>
                  <wp:effectExtent l="0" t="0" r="698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00846" cy="3903767"/>
                          </a:xfrm>
                          <a:prstGeom prst="rect">
                            <a:avLst/>
                          </a:prstGeom>
                          <a:noFill/>
                        </pic:spPr>
                      </pic:pic>
                    </a:graphicData>
                  </a:graphic>
                </wp:inline>
              </w:drawing>
            </w:r>
          </w:p>
          <w:p w14:paraId="0B20851C" w14:textId="540A5000" w:rsidR="00235DAC" w:rsidRDefault="00235DAC" w:rsidP="00947A7B">
            <w:pPr>
              <w:pStyle w:val="Chartheading"/>
              <w:rPr>
                <w:rFonts w:ascii="Calibri" w:hAnsi="Calibri"/>
                <w:color w:val="auto"/>
                <w:sz w:val="20"/>
              </w:rPr>
            </w:pPr>
            <w:r>
              <w:rPr>
                <w:rFonts w:ascii="Calibri" w:hAnsi="Calibri"/>
                <w:color w:val="auto"/>
                <w:sz w:val="20"/>
              </w:rPr>
              <w:t xml:space="preserve">The gap in contributions </w:t>
            </w:r>
            <w:r w:rsidRPr="0068633C">
              <w:rPr>
                <w:rFonts w:ascii="Calibri" w:hAnsi="Calibri"/>
                <w:color w:val="auto"/>
                <w:sz w:val="20"/>
              </w:rPr>
              <w:t xml:space="preserve">between </w:t>
            </w:r>
            <w:r>
              <w:rPr>
                <w:rFonts w:ascii="Calibri" w:hAnsi="Calibri"/>
                <w:color w:val="auto"/>
                <w:sz w:val="20"/>
              </w:rPr>
              <w:t xml:space="preserve">low and high </w:t>
            </w:r>
            <w:r w:rsidR="00A0388C">
              <w:rPr>
                <w:rFonts w:ascii="Calibri" w:hAnsi="Calibri"/>
                <w:color w:val="auto"/>
                <w:sz w:val="20"/>
              </w:rPr>
              <w:t>earning</w:t>
            </w:r>
            <w:r w:rsidR="00A0388C" w:rsidRPr="0068633C">
              <w:rPr>
                <w:rFonts w:ascii="Calibri" w:hAnsi="Calibri"/>
                <w:color w:val="auto"/>
                <w:sz w:val="20"/>
              </w:rPr>
              <w:t xml:space="preserve"> </w:t>
            </w:r>
            <w:r w:rsidRPr="0068633C">
              <w:rPr>
                <w:rFonts w:ascii="Calibri" w:hAnsi="Calibri"/>
                <w:color w:val="auto"/>
                <w:sz w:val="20"/>
              </w:rPr>
              <w:t>cohorts</w:t>
            </w:r>
            <w:r>
              <w:rPr>
                <w:rFonts w:ascii="Calibri" w:hAnsi="Calibri"/>
                <w:color w:val="auto"/>
                <w:sz w:val="20"/>
              </w:rPr>
              <w:t xml:space="preserve"> accumulates over a lifetime, resulting in an increasing </w:t>
            </w:r>
            <w:r w:rsidR="00A0388C">
              <w:rPr>
                <w:rFonts w:ascii="Calibri" w:hAnsi="Calibri"/>
                <w:color w:val="auto"/>
                <w:sz w:val="20"/>
              </w:rPr>
              <w:t xml:space="preserve">gap in </w:t>
            </w:r>
            <w:r>
              <w:rPr>
                <w:rFonts w:ascii="Calibri" w:hAnsi="Calibri"/>
                <w:color w:val="auto"/>
                <w:sz w:val="20"/>
              </w:rPr>
              <w:t>balance</w:t>
            </w:r>
            <w:r w:rsidR="00A0388C">
              <w:rPr>
                <w:rFonts w:ascii="Calibri" w:hAnsi="Calibri"/>
                <w:color w:val="auto"/>
                <w:sz w:val="20"/>
              </w:rPr>
              <w:t>s</w:t>
            </w:r>
            <w:r>
              <w:rPr>
                <w:rFonts w:ascii="Calibri" w:hAnsi="Calibri"/>
                <w:color w:val="auto"/>
                <w:sz w:val="20"/>
              </w:rPr>
              <w:t xml:space="preserve"> as the </w:t>
            </w:r>
            <w:proofErr w:type="gramStart"/>
            <w:r>
              <w:rPr>
                <w:rFonts w:ascii="Calibri" w:hAnsi="Calibri"/>
                <w:color w:val="auto"/>
                <w:sz w:val="20"/>
              </w:rPr>
              <w:t>cohorts</w:t>
            </w:r>
            <w:proofErr w:type="gramEnd"/>
            <w:r>
              <w:rPr>
                <w:rFonts w:ascii="Calibri" w:hAnsi="Calibri"/>
                <w:color w:val="auto"/>
                <w:sz w:val="20"/>
              </w:rPr>
              <w:t xml:space="preserve"> age.</w:t>
            </w:r>
          </w:p>
          <w:p w14:paraId="4DECA5FF" w14:textId="6334B64E" w:rsidR="00E92C91" w:rsidRPr="007B7BDF" w:rsidRDefault="00E92C91" w:rsidP="00947A7B">
            <w:pPr>
              <w:pStyle w:val="Chartheading"/>
              <w:rPr>
                <w:rFonts w:ascii="Calibri" w:hAnsi="Calibri"/>
                <w:color w:val="auto"/>
                <w:sz w:val="20"/>
              </w:rPr>
            </w:pPr>
            <w:r w:rsidRPr="00EF0D8C">
              <w:rPr>
                <w:rFonts w:ascii="Calibri" w:hAnsi="Calibri"/>
                <w:color w:val="auto"/>
                <w:sz w:val="20"/>
              </w:rPr>
              <w:t>On average</w:t>
            </w:r>
            <w:r w:rsidR="00721717">
              <w:rPr>
                <w:rFonts w:ascii="Calibri" w:hAnsi="Calibri"/>
                <w:color w:val="auto"/>
                <w:sz w:val="20"/>
              </w:rPr>
              <w:t xml:space="preserve"> across </w:t>
            </w:r>
            <w:r w:rsidR="00C37C33">
              <w:rPr>
                <w:rFonts w:ascii="Calibri" w:hAnsi="Calibri"/>
                <w:color w:val="auto"/>
                <w:sz w:val="20"/>
              </w:rPr>
              <w:t xml:space="preserve">birth </w:t>
            </w:r>
            <w:r w:rsidR="00721717">
              <w:rPr>
                <w:rFonts w:ascii="Calibri" w:hAnsi="Calibri"/>
                <w:color w:val="auto"/>
                <w:sz w:val="20"/>
              </w:rPr>
              <w:t>cohorts</w:t>
            </w:r>
            <w:r w:rsidRPr="00EF0D8C">
              <w:rPr>
                <w:rFonts w:ascii="Calibri" w:hAnsi="Calibri"/>
                <w:color w:val="auto"/>
                <w:sz w:val="20"/>
              </w:rPr>
              <w:t xml:space="preserve">, </w:t>
            </w:r>
            <w:r w:rsidR="00431782">
              <w:rPr>
                <w:rFonts w:ascii="Calibri" w:hAnsi="Calibri"/>
                <w:color w:val="auto"/>
                <w:sz w:val="20"/>
              </w:rPr>
              <w:t xml:space="preserve">the balance of a </w:t>
            </w:r>
            <w:r w:rsidR="00E12E2B">
              <w:rPr>
                <w:rFonts w:ascii="Calibri" w:hAnsi="Calibri"/>
                <w:color w:val="auto"/>
                <w:sz w:val="20"/>
              </w:rPr>
              <w:t xml:space="preserve">high </w:t>
            </w:r>
            <w:r w:rsidR="00A0388C">
              <w:rPr>
                <w:rFonts w:ascii="Calibri" w:hAnsi="Calibri"/>
                <w:color w:val="auto"/>
                <w:sz w:val="20"/>
              </w:rPr>
              <w:t>earning</w:t>
            </w:r>
            <w:r w:rsidR="00A0388C" w:rsidDel="00A0388C">
              <w:rPr>
                <w:rFonts w:ascii="Calibri" w:hAnsi="Calibri"/>
                <w:color w:val="auto"/>
                <w:sz w:val="20"/>
              </w:rPr>
              <w:t xml:space="preserve"> </w:t>
            </w:r>
            <w:r w:rsidR="007B7BDF">
              <w:rPr>
                <w:rFonts w:ascii="Calibri" w:hAnsi="Calibri"/>
                <w:color w:val="auto"/>
                <w:sz w:val="20"/>
              </w:rPr>
              <w:t>40</w:t>
            </w:r>
            <w:r w:rsidRPr="00EF0D8C">
              <w:rPr>
                <w:rFonts w:ascii="Calibri" w:hAnsi="Calibri"/>
                <w:color w:val="auto"/>
                <w:sz w:val="20"/>
              </w:rPr>
              <w:t xml:space="preserve"> year old </w:t>
            </w:r>
            <w:r w:rsidRPr="007C272F">
              <w:rPr>
                <w:rFonts w:ascii="Calibri" w:hAnsi="Calibri"/>
                <w:color w:val="auto"/>
                <w:sz w:val="20"/>
              </w:rPr>
              <w:t xml:space="preserve">is </w:t>
            </w:r>
            <w:r w:rsidR="007B7BDF">
              <w:rPr>
                <w:rFonts w:ascii="Calibri" w:hAnsi="Calibri"/>
                <w:color w:val="auto"/>
                <w:sz w:val="20"/>
              </w:rPr>
              <w:t>nine</w:t>
            </w:r>
            <w:r w:rsidRPr="007C272F">
              <w:rPr>
                <w:rFonts w:ascii="Calibri" w:hAnsi="Calibri"/>
                <w:color w:val="auto"/>
                <w:sz w:val="20"/>
              </w:rPr>
              <w:t xml:space="preserve"> times higher than </w:t>
            </w:r>
            <w:r w:rsidR="00431782" w:rsidRPr="007C272F">
              <w:rPr>
                <w:rFonts w:ascii="Calibri" w:hAnsi="Calibri"/>
                <w:color w:val="auto"/>
                <w:sz w:val="20"/>
              </w:rPr>
              <w:t xml:space="preserve">that of a </w:t>
            </w:r>
            <w:r w:rsidR="00E12E2B">
              <w:rPr>
                <w:rFonts w:ascii="Calibri" w:hAnsi="Calibri"/>
                <w:color w:val="auto"/>
                <w:sz w:val="20"/>
              </w:rPr>
              <w:t xml:space="preserve">low </w:t>
            </w:r>
            <w:r w:rsidR="00A0388C">
              <w:rPr>
                <w:rFonts w:ascii="Calibri" w:hAnsi="Calibri"/>
                <w:color w:val="auto"/>
                <w:sz w:val="20"/>
              </w:rPr>
              <w:t>earning</w:t>
            </w:r>
            <w:r w:rsidR="00A0388C" w:rsidRPr="007C272F" w:rsidDel="00A0388C">
              <w:rPr>
                <w:rFonts w:ascii="Calibri" w:hAnsi="Calibri"/>
                <w:color w:val="auto"/>
                <w:sz w:val="20"/>
              </w:rPr>
              <w:t xml:space="preserve"> </w:t>
            </w:r>
            <w:r w:rsidR="007B7BDF">
              <w:rPr>
                <w:rFonts w:ascii="Calibri" w:hAnsi="Calibri"/>
                <w:color w:val="auto"/>
                <w:sz w:val="20"/>
              </w:rPr>
              <w:t>40</w:t>
            </w:r>
            <w:r w:rsidR="00431782" w:rsidRPr="007C272F">
              <w:rPr>
                <w:rFonts w:ascii="Calibri" w:hAnsi="Calibri"/>
                <w:color w:val="auto"/>
                <w:sz w:val="20"/>
              </w:rPr>
              <w:t xml:space="preserve"> year old</w:t>
            </w:r>
            <w:r w:rsidRPr="007C272F">
              <w:rPr>
                <w:rFonts w:ascii="Calibri" w:hAnsi="Calibri"/>
                <w:color w:val="auto"/>
                <w:sz w:val="20"/>
              </w:rPr>
              <w:t xml:space="preserve">, while a </w:t>
            </w:r>
            <w:r w:rsidR="00431782" w:rsidRPr="007C272F">
              <w:rPr>
                <w:rFonts w:ascii="Calibri" w:hAnsi="Calibri"/>
                <w:color w:val="auto"/>
                <w:sz w:val="20"/>
              </w:rPr>
              <w:t xml:space="preserve">high </w:t>
            </w:r>
            <w:r w:rsidR="00A0388C">
              <w:rPr>
                <w:rFonts w:ascii="Calibri" w:hAnsi="Calibri"/>
                <w:color w:val="auto"/>
                <w:sz w:val="20"/>
              </w:rPr>
              <w:t>earning</w:t>
            </w:r>
            <w:r w:rsidR="00A0388C" w:rsidRPr="007C272F" w:rsidDel="00A0388C">
              <w:rPr>
                <w:rFonts w:ascii="Calibri" w:hAnsi="Calibri"/>
                <w:color w:val="auto"/>
                <w:sz w:val="20"/>
              </w:rPr>
              <w:t xml:space="preserve"> </w:t>
            </w:r>
            <w:r w:rsidRPr="007C272F">
              <w:rPr>
                <w:rFonts w:ascii="Calibri" w:hAnsi="Calibri"/>
                <w:color w:val="auto"/>
                <w:sz w:val="20"/>
              </w:rPr>
              <w:t xml:space="preserve">70 year old </w:t>
            </w:r>
            <w:r w:rsidR="00A31B47" w:rsidRPr="007C272F">
              <w:rPr>
                <w:rFonts w:ascii="Calibri" w:hAnsi="Calibri"/>
                <w:color w:val="auto"/>
                <w:sz w:val="20"/>
              </w:rPr>
              <w:t xml:space="preserve">has a balance </w:t>
            </w:r>
            <w:r w:rsidR="004847FD">
              <w:rPr>
                <w:rFonts w:ascii="Calibri" w:hAnsi="Calibri"/>
                <w:color w:val="auto"/>
                <w:sz w:val="20"/>
              </w:rPr>
              <w:t>21</w:t>
            </w:r>
            <w:r w:rsidRPr="007C272F">
              <w:rPr>
                <w:rFonts w:ascii="Calibri" w:hAnsi="Calibri"/>
                <w:color w:val="auto"/>
                <w:sz w:val="20"/>
              </w:rPr>
              <w:t xml:space="preserve"> times higher</w:t>
            </w:r>
            <w:r w:rsidR="00A31B47" w:rsidRPr="007C272F">
              <w:rPr>
                <w:rFonts w:ascii="Calibri" w:hAnsi="Calibri"/>
                <w:color w:val="auto"/>
                <w:sz w:val="20"/>
              </w:rPr>
              <w:t xml:space="preserve"> than</w:t>
            </w:r>
            <w:r w:rsidR="00A31B47">
              <w:rPr>
                <w:rFonts w:ascii="Calibri" w:hAnsi="Calibri"/>
                <w:color w:val="auto"/>
                <w:sz w:val="20"/>
              </w:rPr>
              <w:t xml:space="preserve"> a low </w:t>
            </w:r>
            <w:r w:rsidR="00A0388C" w:rsidRPr="007B7BDF">
              <w:rPr>
                <w:rFonts w:ascii="Calibri" w:hAnsi="Calibri"/>
                <w:color w:val="auto"/>
                <w:sz w:val="20"/>
              </w:rPr>
              <w:t>earning</w:t>
            </w:r>
            <w:r w:rsidR="00A0388C" w:rsidRPr="007B7BDF" w:rsidDel="00A0388C">
              <w:rPr>
                <w:rFonts w:ascii="Calibri" w:hAnsi="Calibri"/>
                <w:color w:val="auto"/>
                <w:sz w:val="20"/>
              </w:rPr>
              <w:t xml:space="preserve"> </w:t>
            </w:r>
            <w:r w:rsidR="00A31B47" w:rsidRPr="007B7BDF">
              <w:rPr>
                <w:rFonts w:ascii="Calibri" w:hAnsi="Calibri"/>
                <w:color w:val="auto"/>
                <w:sz w:val="20"/>
              </w:rPr>
              <w:t>70 year old</w:t>
            </w:r>
            <w:r w:rsidRPr="007B7BDF">
              <w:rPr>
                <w:rFonts w:ascii="Calibri" w:hAnsi="Calibri"/>
                <w:color w:val="auto"/>
                <w:sz w:val="20"/>
              </w:rPr>
              <w:t xml:space="preserve">. </w:t>
            </w:r>
            <w:r w:rsidR="007B7BDF" w:rsidRPr="007B7BDF">
              <w:rPr>
                <w:rFonts w:ascii="Calibri" w:hAnsi="Calibri"/>
                <w:color w:val="auto"/>
                <w:sz w:val="20"/>
              </w:rPr>
              <w:t xml:space="preserve">The median balances of low earning cohorts decline at an earlier age (age 60) than those in high earning cohorts (age 70). This </w:t>
            </w:r>
            <w:r w:rsidR="008221E5">
              <w:rPr>
                <w:rFonts w:ascii="Calibri" w:hAnsi="Calibri"/>
                <w:color w:val="auto"/>
                <w:sz w:val="20"/>
              </w:rPr>
              <w:t>indicates</w:t>
            </w:r>
            <w:r w:rsidR="001A200A">
              <w:rPr>
                <w:rFonts w:ascii="Calibri" w:hAnsi="Calibri"/>
                <w:color w:val="auto"/>
                <w:sz w:val="20"/>
              </w:rPr>
              <w:t xml:space="preserve"> that </w:t>
            </w:r>
            <w:r w:rsidR="007B7BDF" w:rsidRPr="007B7BDF">
              <w:rPr>
                <w:rFonts w:ascii="Calibri" w:hAnsi="Calibri"/>
                <w:color w:val="auto"/>
                <w:sz w:val="20"/>
              </w:rPr>
              <w:t xml:space="preserve">low earnings cohorts are more </w:t>
            </w:r>
            <w:r w:rsidR="001A200A">
              <w:rPr>
                <w:rFonts w:ascii="Calibri" w:hAnsi="Calibri"/>
                <w:color w:val="auto"/>
                <w:sz w:val="20"/>
              </w:rPr>
              <w:t>likely to have to draw down higher proportions of their balances to support their consumption needs in retirement</w:t>
            </w:r>
            <w:r w:rsidR="007B7BDF" w:rsidRPr="007B7BDF">
              <w:rPr>
                <w:rFonts w:ascii="Calibri" w:hAnsi="Calibri"/>
                <w:color w:val="auto"/>
                <w:sz w:val="20"/>
              </w:rPr>
              <w:t>.</w:t>
            </w:r>
            <w:r w:rsidR="001A200A">
              <w:rPr>
                <w:rFonts w:ascii="Calibri" w:hAnsi="Calibri"/>
                <w:color w:val="auto"/>
                <w:sz w:val="20"/>
              </w:rPr>
              <w:t xml:space="preserve"> </w:t>
            </w:r>
          </w:p>
          <w:p w14:paraId="0AA91290" w14:textId="113A4CDC" w:rsidR="00E92C91" w:rsidRPr="0068633C" w:rsidRDefault="00516F63" w:rsidP="00947A7B">
            <w:pPr>
              <w:pStyle w:val="Chartheading"/>
              <w:rPr>
                <w:rFonts w:ascii="Calibri" w:hAnsi="Calibri"/>
                <w:color w:val="auto"/>
                <w:sz w:val="20"/>
              </w:rPr>
            </w:pPr>
            <w:r w:rsidRPr="007B7BDF">
              <w:rPr>
                <w:rFonts w:ascii="Calibri" w:hAnsi="Calibri"/>
                <w:color w:val="auto"/>
                <w:sz w:val="20"/>
              </w:rPr>
              <w:t>In dollar terms, t</w:t>
            </w:r>
            <w:r w:rsidR="00E92C91" w:rsidRPr="007B7BDF">
              <w:rPr>
                <w:rFonts w:ascii="Calibri" w:hAnsi="Calibri"/>
                <w:color w:val="auto"/>
                <w:sz w:val="20"/>
              </w:rPr>
              <w:t xml:space="preserve">he </w:t>
            </w:r>
            <w:r w:rsidR="00431782" w:rsidRPr="007B7BDF">
              <w:rPr>
                <w:rFonts w:ascii="Calibri" w:hAnsi="Calibri"/>
                <w:color w:val="auto"/>
                <w:sz w:val="20"/>
              </w:rPr>
              <w:t>gap</w:t>
            </w:r>
            <w:r w:rsidR="00E92C91" w:rsidRPr="007B7BDF">
              <w:rPr>
                <w:rFonts w:ascii="Calibri" w:hAnsi="Calibri"/>
                <w:color w:val="auto"/>
                <w:sz w:val="20"/>
              </w:rPr>
              <w:t xml:space="preserve"> between </w:t>
            </w:r>
            <w:r w:rsidR="009C32D6" w:rsidRPr="007B7BDF">
              <w:rPr>
                <w:rFonts w:ascii="Calibri" w:hAnsi="Calibri"/>
                <w:color w:val="auto"/>
                <w:sz w:val="20"/>
              </w:rPr>
              <w:t>low and high</w:t>
            </w:r>
            <w:r w:rsidR="009C32D6">
              <w:rPr>
                <w:rFonts w:ascii="Calibri" w:hAnsi="Calibri"/>
                <w:color w:val="auto"/>
                <w:sz w:val="20"/>
              </w:rPr>
              <w:t xml:space="preserve"> </w:t>
            </w:r>
            <w:r w:rsidR="00A0388C">
              <w:rPr>
                <w:rFonts w:ascii="Calibri" w:hAnsi="Calibri"/>
                <w:color w:val="auto"/>
                <w:sz w:val="20"/>
              </w:rPr>
              <w:t>earning</w:t>
            </w:r>
            <w:r w:rsidR="00A0388C" w:rsidRPr="00042BD3" w:rsidDel="00A0388C">
              <w:rPr>
                <w:rFonts w:ascii="Calibri" w:hAnsi="Calibri"/>
                <w:color w:val="auto"/>
                <w:sz w:val="20"/>
              </w:rPr>
              <w:t xml:space="preserve"> </w:t>
            </w:r>
            <w:r w:rsidR="009C32D6">
              <w:rPr>
                <w:rFonts w:ascii="Calibri" w:hAnsi="Calibri"/>
                <w:color w:val="auto"/>
                <w:sz w:val="20"/>
              </w:rPr>
              <w:t xml:space="preserve">individuals </w:t>
            </w:r>
            <w:r w:rsidR="00E92C91" w:rsidRPr="00042BD3">
              <w:rPr>
                <w:rFonts w:ascii="Calibri" w:hAnsi="Calibri"/>
                <w:color w:val="auto"/>
                <w:sz w:val="20"/>
              </w:rPr>
              <w:t xml:space="preserve">is projected to </w:t>
            </w:r>
            <w:r w:rsidR="00431782" w:rsidRPr="00042BD3">
              <w:rPr>
                <w:rFonts w:ascii="Calibri" w:hAnsi="Calibri"/>
                <w:color w:val="auto"/>
                <w:sz w:val="20"/>
              </w:rPr>
              <w:t>grow</w:t>
            </w:r>
            <w:r>
              <w:rPr>
                <w:rFonts w:ascii="Calibri" w:hAnsi="Calibri"/>
                <w:color w:val="auto"/>
                <w:sz w:val="20"/>
              </w:rPr>
              <w:t xml:space="preserve"> </w:t>
            </w:r>
            <w:r w:rsidR="009D5536">
              <w:rPr>
                <w:rFonts w:ascii="Calibri" w:hAnsi="Calibri"/>
                <w:color w:val="auto"/>
                <w:sz w:val="20"/>
              </w:rPr>
              <w:t xml:space="preserve">in the future </w:t>
            </w:r>
            <w:r w:rsidR="00750B40">
              <w:rPr>
                <w:rFonts w:ascii="Calibri" w:hAnsi="Calibri"/>
                <w:color w:val="auto"/>
                <w:sz w:val="20"/>
              </w:rPr>
              <w:t>at</w:t>
            </w:r>
            <w:r w:rsidR="00E92C91" w:rsidRPr="00042BD3">
              <w:rPr>
                <w:rFonts w:ascii="Calibri" w:hAnsi="Calibri"/>
                <w:color w:val="auto"/>
                <w:sz w:val="20"/>
              </w:rPr>
              <w:t xml:space="preserve"> ages</w:t>
            </w:r>
            <w:r w:rsidR="00FF7161">
              <w:rPr>
                <w:rFonts w:ascii="Calibri" w:hAnsi="Calibri"/>
                <w:color w:val="auto"/>
                <w:sz w:val="20"/>
              </w:rPr>
              <w:t xml:space="preserve"> 40 and over</w:t>
            </w:r>
            <w:r w:rsidR="00E92C91" w:rsidRPr="00042BD3">
              <w:rPr>
                <w:rFonts w:ascii="Calibri" w:hAnsi="Calibri"/>
                <w:color w:val="auto"/>
                <w:sz w:val="20"/>
              </w:rPr>
              <w:t xml:space="preserve">. </w:t>
            </w:r>
            <w:r w:rsidR="00167FD5" w:rsidRPr="00042BD3">
              <w:rPr>
                <w:rFonts w:ascii="Calibri" w:hAnsi="Calibri"/>
                <w:color w:val="auto"/>
                <w:sz w:val="20"/>
              </w:rPr>
              <w:t>T</w:t>
            </w:r>
            <w:r w:rsidR="00E92C91" w:rsidRPr="00042BD3">
              <w:rPr>
                <w:rFonts w:ascii="Calibri" w:hAnsi="Calibri"/>
                <w:color w:val="auto"/>
                <w:sz w:val="20"/>
              </w:rPr>
              <w:t xml:space="preserve">he gap is rising from </w:t>
            </w:r>
            <w:r w:rsidR="00007A12">
              <w:rPr>
                <w:rFonts w:ascii="Calibri" w:hAnsi="Calibri"/>
                <w:color w:val="auto"/>
                <w:sz w:val="20"/>
              </w:rPr>
              <w:t xml:space="preserve">around </w:t>
            </w:r>
            <w:r w:rsidR="00E92C91" w:rsidRPr="00042BD3">
              <w:rPr>
                <w:rFonts w:ascii="Calibri" w:hAnsi="Calibri"/>
                <w:color w:val="auto"/>
                <w:sz w:val="20"/>
              </w:rPr>
              <w:t>$1</w:t>
            </w:r>
            <w:r w:rsidR="004847FD">
              <w:rPr>
                <w:rFonts w:ascii="Calibri" w:hAnsi="Calibri"/>
                <w:color w:val="auto"/>
                <w:sz w:val="20"/>
              </w:rPr>
              <w:t>80</w:t>
            </w:r>
            <w:r w:rsidR="00E92C91" w:rsidRPr="00042BD3">
              <w:rPr>
                <w:rFonts w:ascii="Calibri" w:hAnsi="Calibri"/>
                <w:color w:val="auto"/>
                <w:sz w:val="20"/>
              </w:rPr>
              <w:t xml:space="preserve">,000 for today’s </w:t>
            </w:r>
            <w:r w:rsidR="00964DD6" w:rsidRPr="00042BD3">
              <w:rPr>
                <w:rFonts w:ascii="Calibri" w:hAnsi="Calibri"/>
                <w:color w:val="auto"/>
                <w:sz w:val="20"/>
              </w:rPr>
              <w:t>40</w:t>
            </w:r>
            <w:r w:rsidR="00E92C91" w:rsidRPr="00042BD3">
              <w:rPr>
                <w:rFonts w:ascii="Calibri" w:hAnsi="Calibri"/>
                <w:color w:val="auto"/>
                <w:sz w:val="20"/>
              </w:rPr>
              <w:t xml:space="preserve"> year olds </w:t>
            </w:r>
            <w:r w:rsidR="00B8771A">
              <w:rPr>
                <w:rFonts w:ascii="Calibri" w:hAnsi="Calibri"/>
                <w:color w:val="auto"/>
                <w:sz w:val="20"/>
              </w:rPr>
              <w:t xml:space="preserve">(born in 1980) </w:t>
            </w:r>
            <w:r w:rsidR="00E92C91" w:rsidRPr="00042BD3">
              <w:rPr>
                <w:rFonts w:ascii="Calibri" w:hAnsi="Calibri"/>
                <w:color w:val="auto"/>
                <w:sz w:val="20"/>
              </w:rPr>
              <w:t xml:space="preserve">to </w:t>
            </w:r>
            <w:r w:rsidR="00007A12">
              <w:rPr>
                <w:rFonts w:ascii="Calibri" w:hAnsi="Calibri"/>
                <w:color w:val="auto"/>
                <w:sz w:val="20"/>
              </w:rPr>
              <w:t xml:space="preserve">around </w:t>
            </w:r>
            <w:r w:rsidR="00E92C91" w:rsidRPr="00042BD3">
              <w:rPr>
                <w:rFonts w:ascii="Calibri" w:hAnsi="Calibri"/>
                <w:color w:val="auto"/>
                <w:sz w:val="20"/>
              </w:rPr>
              <w:t>$</w:t>
            </w:r>
            <w:r w:rsidR="00964DD6" w:rsidRPr="00042BD3">
              <w:rPr>
                <w:rFonts w:ascii="Calibri" w:hAnsi="Calibri"/>
                <w:color w:val="auto"/>
                <w:sz w:val="20"/>
              </w:rPr>
              <w:t>20</w:t>
            </w:r>
            <w:r w:rsidR="004847FD">
              <w:rPr>
                <w:rFonts w:ascii="Calibri" w:hAnsi="Calibri"/>
                <w:color w:val="auto"/>
                <w:sz w:val="20"/>
              </w:rPr>
              <w:t>0</w:t>
            </w:r>
            <w:r w:rsidR="00E92C91" w:rsidRPr="00042BD3">
              <w:rPr>
                <w:rFonts w:ascii="Calibri" w:hAnsi="Calibri"/>
                <w:color w:val="auto"/>
                <w:sz w:val="20"/>
              </w:rPr>
              <w:t>,000 for</w:t>
            </w:r>
            <w:r w:rsidR="00CC54DA">
              <w:rPr>
                <w:rFonts w:ascii="Calibri" w:hAnsi="Calibri"/>
                <w:color w:val="auto"/>
                <w:sz w:val="20"/>
              </w:rPr>
              <w:t xml:space="preserve"> 40 year olds in thirty years’ time (born in 2010)</w:t>
            </w:r>
            <w:r w:rsidR="00E92C91" w:rsidRPr="00042BD3">
              <w:rPr>
                <w:rFonts w:ascii="Calibri" w:hAnsi="Calibri"/>
                <w:color w:val="auto"/>
                <w:sz w:val="20"/>
              </w:rPr>
              <w:t xml:space="preserve">. The gap for 70 year olds is projected to rise from </w:t>
            </w:r>
            <w:r w:rsidR="00007A12">
              <w:rPr>
                <w:rFonts w:ascii="Calibri" w:hAnsi="Calibri"/>
                <w:color w:val="auto"/>
                <w:sz w:val="20"/>
              </w:rPr>
              <w:t xml:space="preserve">around </w:t>
            </w:r>
            <w:r w:rsidR="00754D7E" w:rsidRPr="00042BD3">
              <w:rPr>
                <w:rFonts w:ascii="Calibri" w:hAnsi="Calibri"/>
                <w:color w:val="auto"/>
                <w:sz w:val="20"/>
              </w:rPr>
              <w:t>$</w:t>
            </w:r>
            <w:r w:rsidR="00E01ECB">
              <w:rPr>
                <w:rFonts w:ascii="Calibri" w:hAnsi="Calibri"/>
                <w:color w:val="auto"/>
                <w:sz w:val="20"/>
              </w:rPr>
              <w:t>847</w:t>
            </w:r>
            <w:r w:rsidR="00E92C91" w:rsidRPr="00042BD3">
              <w:rPr>
                <w:rFonts w:ascii="Calibri" w:hAnsi="Calibri"/>
                <w:color w:val="auto"/>
                <w:sz w:val="20"/>
              </w:rPr>
              <w:t xml:space="preserve">,000 for today’s 70 year olds </w:t>
            </w:r>
            <w:r w:rsidR="00B8771A">
              <w:rPr>
                <w:rFonts w:ascii="Calibri" w:hAnsi="Calibri"/>
                <w:color w:val="auto"/>
                <w:sz w:val="20"/>
              </w:rPr>
              <w:t xml:space="preserve">(born in 1950) </w:t>
            </w:r>
            <w:r w:rsidR="00E92C91" w:rsidRPr="00042BD3">
              <w:rPr>
                <w:rFonts w:ascii="Calibri" w:hAnsi="Calibri"/>
                <w:color w:val="auto"/>
                <w:sz w:val="20"/>
              </w:rPr>
              <w:t xml:space="preserve">to </w:t>
            </w:r>
            <w:r w:rsidR="00007A12">
              <w:rPr>
                <w:rFonts w:ascii="Calibri" w:hAnsi="Calibri"/>
                <w:color w:val="auto"/>
                <w:sz w:val="20"/>
              </w:rPr>
              <w:t xml:space="preserve">around </w:t>
            </w:r>
            <w:r w:rsidR="00754D7E" w:rsidRPr="00042BD3">
              <w:rPr>
                <w:rFonts w:ascii="Calibri" w:hAnsi="Calibri"/>
                <w:color w:val="auto"/>
                <w:sz w:val="20"/>
              </w:rPr>
              <w:t>$</w:t>
            </w:r>
            <w:r w:rsidR="004847FD">
              <w:rPr>
                <w:rFonts w:ascii="Calibri" w:hAnsi="Calibri"/>
                <w:color w:val="auto"/>
                <w:sz w:val="20"/>
              </w:rPr>
              <w:t>959</w:t>
            </w:r>
            <w:r w:rsidR="00754D7E" w:rsidRPr="00042BD3">
              <w:rPr>
                <w:rFonts w:ascii="Calibri" w:hAnsi="Calibri"/>
                <w:color w:val="auto"/>
                <w:sz w:val="20"/>
              </w:rPr>
              <w:t>,000</w:t>
            </w:r>
            <w:r w:rsidR="00E92C91" w:rsidRPr="00042BD3">
              <w:rPr>
                <w:rFonts w:ascii="Calibri" w:hAnsi="Calibri"/>
                <w:color w:val="auto"/>
                <w:sz w:val="20"/>
              </w:rPr>
              <w:t xml:space="preserve"> for 70 year olds</w:t>
            </w:r>
            <w:r w:rsidR="00CC54DA">
              <w:rPr>
                <w:rFonts w:ascii="Calibri" w:hAnsi="Calibri"/>
                <w:color w:val="auto"/>
                <w:sz w:val="20"/>
              </w:rPr>
              <w:t xml:space="preserve"> in thirty years’ time</w:t>
            </w:r>
            <w:r w:rsidR="00E92C91" w:rsidRPr="00042BD3">
              <w:rPr>
                <w:rFonts w:ascii="Calibri" w:hAnsi="Calibri"/>
                <w:color w:val="auto"/>
                <w:sz w:val="20"/>
              </w:rPr>
              <w:t xml:space="preserve"> </w:t>
            </w:r>
            <w:r w:rsidR="00CC54DA">
              <w:rPr>
                <w:rFonts w:ascii="Calibri" w:hAnsi="Calibri"/>
                <w:color w:val="auto"/>
                <w:sz w:val="20"/>
              </w:rPr>
              <w:t>(</w:t>
            </w:r>
            <w:r w:rsidR="00E92C91" w:rsidRPr="00042BD3">
              <w:rPr>
                <w:rFonts w:ascii="Calibri" w:hAnsi="Calibri"/>
                <w:color w:val="auto"/>
                <w:sz w:val="20"/>
              </w:rPr>
              <w:t>born in 1980</w:t>
            </w:r>
            <w:r w:rsidR="00CC54DA">
              <w:rPr>
                <w:rFonts w:ascii="Calibri" w:hAnsi="Calibri"/>
                <w:color w:val="auto"/>
                <w:sz w:val="20"/>
              </w:rPr>
              <w:t>)</w:t>
            </w:r>
            <w:r w:rsidR="00E92C91" w:rsidRPr="00042BD3">
              <w:rPr>
                <w:rFonts w:ascii="Calibri" w:hAnsi="Calibri"/>
                <w:color w:val="auto"/>
                <w:sz w:val="20"/>
              </w:rPr>
              <w:t>.</w:t>
            </w:r>
            <w:r w:rsidR="00E92C91">
              <w:rPr>
                <w:rFonts w:ascii="Calibri" w:hAnsi="Calibri"/>
                <w:color w:val="auto"/>
                <w:sz w:val="20"/>
              </w:rPr>
              <w:t xml:space="preserve"> </w:t>
            </w:r>
          </w:p>
          <w:p w14:paraId="46B9CC0A" w14:textId="467D990E" w:rsidR="00042BD3" w:rsidRDefault="009170F0" w:rsidP="00750B40">
            <w:pPr>
              <w:pStyle w:val="Chartheading"/>
              <w:rPr>
                <w:rFonts w:ascii="Calibri" w:hAnsi="Calibri"/>
                <w:color w:val="auto"/>
                <w:sz w:val="20"/>
              </w:rPr>
            </w:pPr>
            <w:r>
              <w:rPr>
                <w:rFonts w:ascii="Calibri" w:hAnsi="Calibri"/>
                <w:color w:val="auto"/>
                <w:sz w:val="20"/>
              </w:rPr>
              <w:t xml:space="preserve">The growth in the gap between low and </w:t>
            </w:r>
            <w:r w:rsidRPr="000304EC">
              <w:rPr>
                <w:rFonts w:ascii="Calibri" w:hAnsi="Calibri"/>
                <w:color w:val="auto"/>
                <w:sz w:val="20"/>
              </w:rPr>
              <w:t xml:space="preserve">high </w:t>
            </w:r>
            <w:r w:rsidR="00A0388C">
              <w:rPr>
                <w:rFonts w:ascii="Calibri" w:hAnsi="Calibri"/>
                <w:color w:val="auto"/>
                <w:sz w:val="20"/>
              </w:rPr>
              <w:t>earning</w:t>
            </w:r>
            <w:r w:rsidRPr="000304EC">
              <w:rPr>
                <w:rFonts w:ascii="Calibri" w:hAnsi="Calibri"/>
                <w:color w:val="auto"/>
                <w:sz w:val="20"/>
              </w:rPr>
              <w:t xml:space="preserve"> Australians may be driven by </w:t>
            </w:r>
            <w:r w:rsidR="00956D52">
              <w:rPr>
                <w:rFonts w:ascii="Calibri" w:hAnsi="Calibri"/>
                <w:color w:val="auto"/>
                <w:sz w:val="20"/>
              </w:rPr>
              <w:t xml:space="preserve">more recent birth cohorts benefitting from </w:t>
            </w:r>
            <w:r w:rsidR="00750B40">
              <w:rPr>
                <w:rFonts w:ascii="Calibri" w:hAnsi="Calibri"/>
                <w:color w:val="auto"/>
                <w:sz w:val="20"/>
              </w:rPr>
              <w:t xml:space="preserve">higher levels of </w:t>
            </w:r>
            <w:r w:rsidR="00956D52">
              <w:rPr>
                <w:rFonts w:ascii="Calibri" w:hAnsi="Calibri"/>
                <w:color w:val="auto"/>
                <w:sz w:val="20"/>
              </w:rPr>
              <w:t xml:space="preserve">compulsory </w:t>
            </w:r>
            <w:r w:rsidRPr="000304EC">
              <w:rPr>
                <w:rFonts w:ascii="Calibri" w:hAnsi="Calibri"/>
                <w:color w:val="auto"/>
                <w:sz w:val="20"/>
              </w:rPr>
              <w:t>superannuation early in</w:t>
            </w:r>
            <w:r w:rsidR="00956D52">
              <w:rPr>
                <w:rFonts w:ascii="Calibri" w:hAnsi="Calibri"/>
                <w:color w:val="auto"/>
                <w:sz w:val="20"/>
              </w:rPr>
              <w:t xml:space="preserve"> careers</w:t>
            </w:r>
            <w:r w:rsidR="00750B40">
              <w:rPr>
                <w:rFonts w:ascii="Calibri" w:hAnsi="Calibri"/>
                <w:color w:val="auto"/>
                <w:sz w:val="20"/>
              </w:rPr>
              <w:t xml:space="preserve">, and the subsequent compound earnings on these contributions. </w:t>
            </w:r>
            <w:r w:rsidR="00E466C9">
              <w:rPr>
                <w:rFonts w:ascii="Calibri" w:hAnsi="Calibri"/>
                <w:color w:val="auto"/>
                <w:sz w:val="20"/>
              </w:rPr>
              <w:t xml:space="preserve">Additionally, </w:t>
            </w:r>
            <w:r w:rsidR="00750B40">
              <w:rPr>
                <w:rFonts w:ascii="Calibri" w:hAnsi="Calibri"/>
                <w:color w:val="auto"/>
                <w:sz w:val="20"/>
              </w:rPr>
              <w:t xml:space="preserve">any </w:t>
            </w:r>
            <w:r w:rsidR="00B05507">
              <w:rPr>
                <w:rFonts w:ascii="Calibri" w:hAnsi="Calibri"/>
                <w:color w:val="auto"/>
                <w:sz w:val="20"/>
              </w:rPr>
              <w:t xml:space="preserve">fixed </w:t>
            </w:r>
            <w:r w:rsidR="00750B40">
              <w:rPr>
                <w:rFonts w:ascii="Calibri" w:hAnsi="Calibri"/>
                <w:color w:val="auto"/>
                <w:sz w:val="20"/>
              </w:rPr>
              <w:t>account management</w:t>
            </w:r>
            <w:r w:rsidR="00B05507" w:rsidRPr="009170F0">
              <w:rPr>
                <w:rFonts w:ascii="Calibri" w:hAnsi="Calibri"/>
                <w:color w:val="auto"/>
                <w:sz w:val="20"/>
              </w:rPr>
              <w:t xml:space="preserve"> fees</w:t>
            </w:r>
            <w:r w:rsidRPr="009170F0">
              <w:rPr>
                <w:rFonts w:ascii="Calibri" w:hAnsi="Calibri"/>
                <w:color w:val="auto"/>
                <w:sz w:val="20"/>
              </w:rPr>
              <w:t xml:space="preserve"> </w:t>
            </w:r>
            <w:r w:rsidR="00750B40">
              <w:rPr>
                <w:rFonts w:ascii="Calibri" w:hAnsi="Calibri"/>
                <w:color w:val="auto"/>
                <w:sz w:val="20"/>
              </w:rPr>
              <w:t xml:space="preserve">and insurance premiums have </w:t>
            </w:r>
            <w:r w:rsidRPr="009170F0">
              <w:rPr>
                <w:rFonts w:ascii="Calibri" w:hAnsi="Calibri"/>
                <w:color w:val="auto"/>
                <w:sz w:val="20"/>
              </w:rPr>
              <w:t>a proportiona</w:t>
            </w:r>
            <w:r w:rsidR="00750B40">
              <w:rPr>
                <w:rFonts w:ascii="Calibri" w:hAnsi="Calibri"/>
                <w:color w:val="auto"/>
                <w:sz w:val="20"/>
              </w:rPr>
              <w:t>l</w:t>
            </w:r>
            <w:r>
              <w:rPr>
                <w:rFonts w:ascii="Calibri" w:hAnsi="Calibri"/>
                <w:color w:val="auto"/>
                <w:sz w:val="20"/>
              </w:rPr>
              <w:t>ly greater impact on low</w:t>
            </w:r>
            <w:r w:rsidRPr="009170F0">
              <w:rPr>
                <w:rFonts w:ascii="Calibri" w:hAnsi="Calibri"/>
                <w:color w:val="auto"/>
                <w:sz w:val="20"/>
              </w:rPr>
              <w:t xml:space="preserve"> balance superannuation accounts than higher </w:t>
            </w:r>
            <w:r>
              <w:rPr>
                <w:rFonts w:ascii="Calibri" w:hAnsi="Calibri"/>
                <w:color w:val="auto"/>
                <w:sz w:val="20"/>
              </w:rPr>
              <w:t xml:space="preserve">balance </w:t>
            </w:r>
            <w:r w:rsidRPr="009170F0">
              <w:rPr>
                <w:rFonts w:ascii="Calibri" w:hAnsi="Calibri"/>
                <w:color w:val="auto"/>
                <w:sz w:val="20"/>
              </w:rPr>
              <w:t xml:space="preserve">superannuation accounts. </w:t>
            </w:r>
          </w:p>
          <w:p w14:paraId="43FA9259" w14:textId="0B362879" w:rsidR="00042BD3" w:rsidRDefault="004B3A7E" w:rsidP="00042BD3">
            <w:pPr>
              <w:pStyle w:val="Chartheading"/>
              <w:rPr>
                <w:rFonts w:ascii="Calibri" w:hAnsi="Calibri"/>
                <w:color w:val="auto"/>
                <w:sz w:val="20"/>
              </w:rPr>
            </w:pPr>
            <w:r>
              <w:rPr>
                <w:rFonts w:ascii="Calibri" w:hAnsi="Calibri"/>
                <w:color w:val="auto"/>
                <w:sz w:val="20"/>
              </w:rPr>
              <w:lastRenderedPageBreak/>
              <w:t>However, the gap is expected to stabilise as they system matures. The 2000 and 2010 birth cohorts are expected to have near identical distribution of balances across their life paths, as both will enter the workforce with the superannuation guarantee system mature.</w:t>
            </w:r>
          </w:p>
          <w:p w14:paraId="36B10F9D" w14:textId="77777777" w:rsidR="0040192B" w:rsidRPr="00042BD3" w:rsidRDefault="0040192B" w:rsidP="00042BD3">
            <w:pPr>
              <w:pStyle w:val="Chartheading"/>
              <w:rPr>
                <w:rFonts w:ascii="Calibri" w:hAnsi="Calibri"/>
                <w:color w:val="auto"/>
                <w:sz w:val="20"/>
              </w:rPr>
            </w:pPr>
          </w:p>
          <w:p w14:paraId="2D5A16BC" w14:textId="73C259A8" w:rsidR="00E92C91" w:rsidRDefault="00E92C91" w:rsidP="00947A7B">
            <w:pPr>
              <w:pStyle w:val="Heading1"/>
            </w:pPr>
            <w:r w:rsidRPr="0068633C">
              <w:t xml:space="preserve">Summary </w:t>
            </w:r>
          </w:p>
          <w:p w14:paraId="01F67460" w14:textId="77777777" w:rsidR="00664409" w:rsidRPr="00664409" w:rsidRDefault="00664409" w:rsidP="00664409"/>
          <w:p w14:paraId="1643ABAB" w14:textId="7842C039" w:rsidR="00F12F2A" w:rsidRDefault="00E92C91" w:rsidP="00CA3B9C">
            <w:pPr>
              <w:pStyle w:val="Bullet"/>
            </w:pPr>
            <w:r w:rsidRPr="0068633C">
              <w:t>MARIA</w:t>
            </w:r>
            <w:r w:rsidR="00A545B5">
              <w:t xml:space="preserve"> </w:t>
            </w:r>
            <w:r w:rsidRPr="0068633C">
              <w:t xml:space="preserve">provides useful insights on how the distribution of superannuation balances will change </w:t>
            </w:r>
            <w:r w:rsidR="00A50100">
              <w:t>over</w:t>
            </w:r>
            <w:r w:rsidRPr="0068633C">
              <w:t xml:space="preserve"> the next forty years. </w:t>
            </w:r>
          </w:p>
          <w:p w14:paraId="7BA00E90" w14:textId="43BD88B1" w:rsidR="00294120" w:rsidRDefault="00677BEF" w:rsidP="00947A7B">
            <w:pPr>
              <w:pStyle w:val="Bullet"/>
            </w:pPr>
            <w:r>
              <w:t xml:space="preserve">People aged under 35 today have benefited from a largely mature superannuation </w:t>
            </w:r>
            <w:r w:rsidR="00117D6D">
              <w:t>system</w:t>
            </w:r>
            <w:r>
              <w:t xml:space="preserve"> for their entire working career. </w:t>
            </w:r>
            <w:r w:rsidR="00481C85">
              <w:t>Over their life, people aged under 35 today</w:t>
            </w:r>
            <w:r w:rsidR="00F12F2A">
              <w:t xml:space="preserve"> will accumulate much higher balances than those aged </w:t>
            </w:r>
            <w:r w:rsidR="00481C85">
              <w:t>55</w:t>
            </w:r>
            <w:r w:rsidR="00F12F2A">
              <w:t xml:space="preserve"> and over today. </w:t>
            </w:r>
            <w:r w:rsidR="00294120">
              <w:t xml:space="preserve">However, </w:t>
            </w:r>
            <w:r w:rsidR="00FF574E">
              <w:t>increases to balances are projected to be larger for those born between 1970 and 1990 than</w:t>
            </w:r>
            <w:r w:rsidR="00294120">
              <w:t xml:space="preserve"> </w:t>
            </w:r>
            <w:r w:rsidR="00FF574E">
              <w:t>for those born after 1990.</w:t>
            </w:r>
          </w:p>
          <w:p w14:paraId="22675040" w14:textId="19319830" w:rsidR="00B016EB" w:rsidRPr="0068633C" w:rsidRDefault="00B016EB" w:rsidP="00A0388C">
            <w:pPr>
              <w:pStyle w:val="Bullet"/>
            </w:pPr>
            <w:r>
              <w:t>Over the next forty years, t</w:t>
            </w:r>
            <w:r w:rsidRPr="0068633C">
              <w:t xml:space="preserve">he gap between the superannuation balances of low and high </w:t>
            </w:r>
            <w:r w:rsidR="00A0388C">
              <w:t>earning</w:t>
            </w:r>
            <w:r w:rsidR="00A0388C" w:rsidRPr="0068633C">
              <w:t xml:space="preserve"> </w:t>
            </w:r>
            <w:r>
              <w:t>individuals</w:t>
            </w:r>
            <w:r w:rsidRPr="0068633C">
              <w:t xml:space="preserve"> is projected to </w:t>
            </w:r>
            <w:r>
              <w:t>grow</w:t>
            </w:r>
            <w:r w:rsidR="002D144F">
              <w:t xml:space="preserve"> at all ages 40 and over</w:t>
            </w:r>
            <w:r w:rsidRPr="0068633C">
              <w:t>.</w:t>
            </w:r>
            <w:r>
              <w:t xml:space="preserve"> </w:t>
            </w:r>
            <w:r w:rsidR="002D144F">
              <w:t>This may be because</w:t>
            </w:r>
            <w:r w:rsidR="00B816A6">
              <w:t>, over a lifetime,</w:t>
            </w:r>
            <w:r w:rsidR="002D144F">
              <w:t xml:space="preserve"> the superannuation system boosts the balances of high </w:t>
            </w:r>
            <w:r w:rsidR="00A50100">
              <w:t>income</w:t>
            </w:r>
            <w:r w:rsidR="002D144F">
              <w:t xml:space="preserve"> young people more than the balances of low </w:t>
            </w:r>
            <w:r w:rsidR="00A50100">
              <w:t>income</w:t>
            </w:r>
            <w:r w:rsidR="002D144F">
              <w:t xml:space="preserve"> young people. </w:t>
            </w:r>
          </w:p>
        </w:tc>
      </w:tr>
    </w:tbl>
    <w:p w14:paraId="3B069C42" w14:textId="77777777" w:rsidR="00E92C91" w:rsidRDefault="00E92C91" w:rsidP="00E92C91"/>
    <w:p w14:paraId="07A57103" w14:textId="77777777" w:rsidR="00655874" w:rsidRDefault="00655874"/>
    <w:sectPr w:rsidR="00655874" w:rsidSect="00947A7B">
      <w:headerReference w:type="default" r:id="rId17"/>
      <w:footerReference w:type="default" r:id="rId18"/>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B8598" w14:textId="77777777" w:rsidR="00A8115A" w:rsidRDefault="00A8115A" w:rsidP="00E92C91">
      <w:pPr>
        <w:spacing w:after="0"/>
      </w:pPr>
      <w:r>
        <w:separator/>
      </w:r>
    </w:p>
  </w:endnote>
  <w:endnote w:type="continuationSeparator" w:id="0">
    <w:p w14:paraId="2E1BA523" w14:textId="77777777" w:rsidR="00A8115A" w:rsidRDefault="00A8115A" w:rsidP="00E92C91">
      <w:pPr>
        <w:spacing w:after="0"/>
      </w:pPr>
      <w:r>
        <w:continuationSeparator/>
      </w:r>
    </w:p>
  </w:endnote>
  <w:endnote w:type="continuationNotice" w:id="1">
    <w:p w14:paraId="5637F05D" w14:textId="77777777" w:rsidR="00A8115A" w:rsidRDefault="00A811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B583" w14:textId="2ABB0A4C" w:rsidR="00A8115A" w:rsidRPr="0068633C" w:rsidRDefault="00A8115A">
    <w:pPr>
      <w:pStyle w:val="Footer"/>
      <w:jc w:val="right"/>
      <w:rPr>
        <w:color w:val="004A80"/>
      </w:rPr>
    </w:pPr>
    <w:r w:rsidRPr="0068633C">
      <w:rPr>
        <w:color w:val="004A80"/>
      </w:rPr>
      <w:fldChar w:fldCharType="begin"/>
    </w:r>
    <w:r w:rsidRPr="0068633C">
      <w:rPr>
        <w:color w:val="004A80"/>
      </w:rPr>
      <w:instrText xml:space="preserve"> PAGE   \* MERGEFORMAT </w:instrText>
    </w:r>
    <w:r w:rsidRPr="0068633C">
      <w:rPr>
        <w:color w:val="004A80"/>
      </w:rPr>
      <w:fldChar w:fldCharType="separate"/>
    </w:r>
    <w:r w:rsidR="00B71494">
      <w:rPr>
        <w:noProof/>
        <w:color w:val="004A80"/>
      </w:rPr>
      <w:t>5</w:t>
    </w:r>
    <w:r w:rsidRPr="0068633C">
      <w:rPr>
        <w:noProof/>
        <w:color w:val="004A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B674" w14:textId="77777777" w:rsidR="00A8115A" w:rsidRDefault="00A8115A" w:rsidP="00E92C91">
      <w:pPr>
        <w:spacing w:after="0"/>
      </w:pPr>
      <w:r>
        <w:separator/>
      </w:r>
    </w:p>
  </w:footnote>
  <w:footnote w:type="continuationSeparator" w:id="0">
    <w:p w14:paraId="38742115" w14:textId="77777777" w:rsidR="00A8115A" w:rsidRDefault="00A8115A" w:rsidP="00E92C91">
      <w:pPr>
        <w:spacing w:after="0"/>
      </w:pPr>
      <w:r>
        <w:continuationSeparator/>
      </w:r>
    </w:p>
  </w:footnote>
  <w:footnote w:type="continuationNotice" w:id="1">
    <w:p w14:paraId="7FDA47AC" w14:textId="77777777" w:rsidR="00A8115A" w:rsidRDefault="00A8115A">
      <w:pPr>
        <w:spacing w:after="0"/>
      </w:pPr>
    </w:p>
  </w:footnote>
  <w:footnote w:id="2">
    <w:p w14:paraId="5DF48F2C" w14:textId="2D3B1549" w:rsidR="00A8115A" w:rsidRDefault="00A8115A" w:rsidP="00E92C91">
      <w:pPr>
        <w:pStyle w:val="Footnote"/>
      </w:pPr>
      <w:r>
        <w:rPr>
          <w:rStyle w:val="FootnoteReference"/>
        </w:rPr>
        <w:footnoteRef/>
      </w:r>
      <w:r>
        <w:t xml:space="preserve"> </w:t>
      </w:r>
      <w:r>
        <w:tab/>
      </w:r>
      <w:r w:rsidRPr="00FF42E0">
        <w:t>The views expressed in this note are those of The Treasury and do not necessarily reflect those of the Australian Government.</w:t>
      </w:r>
      <w:r>
        <w:t xml:space="preserve"> This note was prepared by Elliot Lavers, Mark Bott, Katarina Trinh and Jacob Stone in Revenue Group.</w:t>
      </w:r>
    </w:p>
  </w:footnote>
  <w:footnote w:id="3">
    <w:p w14:paraId="0A25717D" w14:textId="7FBB6C3A" w:rsidR="00A8115A" w:rsidRDefault="00A8115A" w:rsidP="00E92C91">
      <w:pPr>
        <w:pStyle w:val="FootnoteText"/>
      </w:pPr>
      <w:r>
        <w:rPr>
          <w:rStyle w:val="FootnoteReference"/>
        </w:rPr>
        <w:footnoteRef/>
      </w:r>
      <w:r>
        <w:t xml:space="preserve">    </w:t>
      </w:r>
      <w:r w:rsidRPr="006866D3">
        <w:rPr>
          <w:sz w:val="18"/>
        </w:rPr>
        <w:t>MARIA simulates a range of life events each year for each individual in the model to project people’s income and assets in retirement.</w:t>
      </w:r>
    </w:p>
  </w:footnote>
  <w:footnote w:id="4">
    <w:p w14:paraId="597F8E78" w14:textId="687C4930" w:rsidR="00A8115A" w:rsidRDefault="00A8115A" w:rsidP="00E92C91">
      <w:pPr>
        <w:pStyle w:val="Footnote"/>
      </w:pPr>
      <w:r>
        <w:rPr>
          <w:rStyle w:val="FootnoteReference"/>
        </w:rPr>
        <w:footnoteRef/>
      </w:r>
      <w:r>
        <w:t xml:space="preserve">  </w:t>
      </w:r>
      <w:r>
        <w:tab/>
        <w:t xml:space="preserve">For more detail on the modelling methodology used in MARIA, see </w:t>
      </w:r>
      <w:hyperlink r:id="rId1" w:history="1">
        <w:r w:rsidR="00191238">
          <w:rPr>
            <w:rStyle w:val="Hyperlink"/>
          </w:rPr>
          <w:t>http://research.treasury.gov.au/treasury-working-paper/2017-02/</w:t>
        </w:r>
      </w:hyperlink>
      <w:r>
        <w:t xml:space="preserve">. </w:t>
      </w:r>
    </w:p>
  </w:footnote>
  <w:footnote w:id="5">
    <w:p w14:paraId="4805D2E6" w14:textId="1779DE17" w:rsidR="00A8115A" w:rsidRDefault="00A8115A">
      <w:pPr>
        <w:pStyle w:val="FootnoteText"/>
      </w:pPr>
      <w:r>
        <w:rPr>
          <w:rStyle w:val="FootnoteReference"/>
        </w:rPr>
        <w:footnoteRef/>
      </w:r>
      <w:r>
        <w:t xml:space="preserve"> </w:t>
      </w:r>
      <w:r w:rsidRPr="000B03B3">
        <w:rPr>
          <w:sz w:val="18"/>
        </w:rPr>
        <w:t xml:space="preserve">The impact of a maturing system on superannuation balances at retirement is covered in more detail in </w:t>
      </w:r>
      <w:r w:rsidR="00191238">
        <w:rPr>
          <w:sz w:val="18"/>
        </w:rPr>
        <w:t>in the Information Note: ‘</w:t>
      </w:r>
      <w:r w:rsidR="00191238">
        <w:rPr>
          <w:i/>
          <w:sz w:val="18"/>
        </w:rPr>
        <w:t>Superannuation balances at retirement’</w:t>
      </w:r>
      <w:r w:rsidRPr="000B03B3">
        <w:rPr>
          <w:sz w:val="18"/>
        </w:rPr>
        <w:t xml:space="preserve"> </w:t>
      </w:r>
      <w:hyperlink r:id="rId2" w:history="1">
        <w:r w:rsidR="00191238">
          <w:rPr>
            <w:rStyle w:val="Hyperlink"/>
            <w:sz w:val="18"/>
          </w:rPr>
          <w:t>http://research.treasury.gov.au/treasurys-two-cents/superannuation-balances-retirement</w:t>
        </w:r>
      </w:hyperlink>
      <w:r w:rsidR="000B03B3" w:rsidRPr="000B03B3">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3647" w14:textId="77777777" w:rsidR="00A8115A" w:rsidRDefault="00A8115A">
    <w:pPr>
      <w:pStyle w:val="Header"/>
    </w:pPr>
    <w:r>
      <w:rPr>
        <w:noProof/>
        <w:lang w:eastAsia="en-AU"/>
      </w:rPr>
      <w:drawing>
        <wp:anchor distT="0" distB="0" distL="114300" distR="114300" simplePos="0" relativeHeight="251658240" behindDoc="1" locked="0" layoutInCell="1" allowOverlap="1" wp14:anchorId="06F62F91" wp14:editId="2D8B8EDD">
          <wp:simplePos x="0" y="0"/>
          <wp:positionH relativeFrom="page">
            <wp:align>center</wp:align>
          </wp:positionH>
          <wp:positionV relativeFrom="page">
            <wp:posOffset>180340</wp:posOffset>
          </wp:positionV>
          <wp:extent cx="7198995" cy="9994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995" cy="999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A77F" w14:textId="48A4D640" w:rsidR="00A8115A" w:rsidRPr="0068633C" w:rsidRDefault="00A8115A">
    <w:pPr>
      <w:pStyle w:val="Header"/>
      <w:rPr>
        <w:color w:val="004A80"/>
      </w:rPr>
    </w:pPr>
    <w:r w:rsidRPr="0068633C">
      <w:rPr>
        <w:color w:val="004A80"/>
      </w:rPr>
      <w:t xml:space="preserve">INFORMATION NOTE </w:t>
    </w:r>
    <w:r w:rsidRPr="0068633C">
      <w:rPr>
        <w:color w:val="004A80"/>
      </w:rPr>
      <w:fldChar w:fldCharType="begin"/>
    </w:r>
    <w:r w:rsidRPr="0068633C">
      <w:rPr>
        <w:color w:val="004A80"/>
      </w:rPr>
      <w:instrText xml:space="preserve"> STYLEREF  "Cover title"  \* MERGEFORMAT </w:instrText>
    </w:r>
    <w:r w:rsidRPr="0068633C">
      <w:rPr>
        <w:color w:val="004A80"/>
      </w:rPr>
      <w:fldChar w:fldCharType="separate"/>
    </w:r>
    <w:r w:rsidR="00B71494">
      <w:rPr>
        <w:noProof/>
        <w:color w:val="004A80"/>
      </w:rPr>
      <w:t>Accumulation of superannuation across a lifetime</w:t>
    </w:r>
    <w:r w:rsidRPr="0068633C">
      <w:rPr>
        <w:color w:val="004A8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E43E8"/>
    <w:multiLevelType w:val="multilevel"/>
    <w:tmpl w:val="343406E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A6"/>
    <w:rsid w:val="00005E35"/>
    <w:rsid w:val="00007A12"/>
    <w:rsid w:val="00015891"/>
    <w:rsid w:val="00023E85"/>
    <w:rsid w:val="00026CA8"/>
    <w:rsid w:val="000304EC"/>
    <w:rsid w:val="00040A55"/>
    <w:rsid w:val="00042BD3"/>
    <w:rsid w:val="00065937"/>
    <w:rsid w:val="00065D03"/>
    <w:rsid w:val="0007583C"/>
    <w:rsid w:val="00077C7B"/>
    <w:rsid w:val="000865D2"/>
    <w:rsid w:val="000925FB"/>
    <w:rsid w:val="00093929"/>
    <w:rsid w:val="000A0EB1"/>
    <w:rsid w:val="000B03B3"/>
    <w:rsid w:val="000B6F04"/>
    <w:rsid w:val="000E70DF"/>
    <w:rsid w:val="0010462B"/>
    <w:rsid w:val="00113AB8"/>
    <w:rsid w:val="00117D6D"/>
    <w:rsid w:val="00124A9D"/>
    <w:rsid w:val="001251F1"/>
    <w:rsid w:val="0014342B"/>
    <w:rsid w:val="00147DDD"/>
    <w:rsid w:val="00151191"/>
    <w:rsid w:val="00153296"/>
    <w:rsid w:val="00153600"/>
    <w:rsid w:val="00161966"/>
    <w:rsid w:val="00167FD5"/>
    <w:rsid w:val="00191238"/>
    <w:rsid w:val="00193989"/>
    <w:rsid w:val="001A200A"/>
    <w:rsid w:val="001D63E9"/>
    <w:rsid w:val="001E040A"/>
    <w:rsid w:val="001F035A"/>
    <w:rsid w:val="001F09AD"/>
    <w:rsid w:val="002175CB"/>
    <w:rsid w:val="00223F9A"/>
    <w:rsid w:val="002251A1"/>
    <w:rsid w:val="00230295"/>
    <w:rsid w:val="00231FFA"/>
    <w:rsid w:val="00235DAC"/>
    <w:rsid w:val="00243513"/>
    <w:rsid w:val="00243AF2"/>
    <w:rsid w:val="00252043"/>
    <w:rsid w:val="00267193"/>
    <w:rsid w:val="0027325F"/>
    <w:rsid w:val="002749C6"/>
    <w:rsid w:val="00294120"/>
    <w:rsid w:val="00295D8B"/>
    <w:rsid w:val="002A0DA4"/>
    <w:rsid w:val="002C5CD6"/>
    <w:rsid w:val="002D144F"/>
    <w:rsid w:val="002E6761"/>
    <w:rsid w:val="002F14C3"/>
    <w:rsid w:val="002F6D3C"/>
    <w:rsid w:val="0030003A"/>
    <w:rsid w:val="0030047C"/>
    <w:rsid w:val="00302573"/>
    <w:rsid w:val="00307366"/>
    <w:rsid w:val="00311FBB"/>
    <w:rsid w:val="003264E8"/>
    <w:rsid w:val="00360B6F"/>
    <w:rsid w:val="00372B4B"/>
    <w:rsid w:val="00380A2C"/>
    <w:rsid w:val="00392802"/>
    <w:rsid w:val="00393C48"/>
    <w:rsid w:val="00396D08"/>
    <w:rsid w:val="003B560E"/>
    <w:rsid w:val="003D180A"/>
    <w:rsid w:val="003D6990"/>
    <w:rsid w:val="003E01B3"/>
    <w:rsid w:val="003E2B1B"/>
    <w:rsid w:val="003F350C"/>
    <w:rsid w:val="0040192B"/>
    <w:rsid w:val="004028FB"/>
    <w:rsid w:val="00403337"/>
    <w:rsid w:val="00405B03"/>
    <w:rsid w:val="00414351"/>
    <w:rsid w:val="004308EF"/>
    <w:rsid w:val="00431782"/>
    <w:rsid w:val="004323FF"/>
    <w:rsid w:val="00435DEF"/>
    <w:rsid w:val="00440AA5"/>
    <w:rsid w:val="004434F9"/>
    <w:rsid w:val="00453818"/>
    <w:rsid w:val="00463ACC"/>
    <w:rsid w:val="00465582"/>
    <w:rsid w:val="004774E9"/>
    <w:rsid w:val="00481C85"/>
    <w:rsid w:val="004847FD"/>
    <w:rsid w:val="004A57AF"/>
    <w:rsid w:val="004A7F42"/>
    <w:rsid w:val="004B3A7E"/>
    <w:rsid w:val="004C1EB9"/>
    <w:rsid w:val="004C41C6"/>
    <w:rsid w:val="004C5D86"/>
    <w:rsid w:val="004C6BFC"/>
    <w:rsid w:val="004C755A"/>
    <w:rsid w:val="004E0D9F"/>
    <w:rsid w:val="004E11BA"/>
    <w:rsid w:val="004F0365"/>
    <w:rsid w:val="004F3D23"/>
    <w:rsid w:val="004F5687"/>
    <w:rsid w:val="004F75F0"/>
    <w:rsid w:val="00500219"/>
    <w:rsid w:val="00507FAD"/>
    <w:rsid w:val="00514BEA"/>
    <w:rsid w:val="00515698"/>
    <w:rsid w:val="00516F63"/>
    <w:rsid w:val="00531E82"/>
    <w:rsid w:val="00537099"/>
    <w:rsid w:val="00537B7A"/>
    <w:rsid w:val="00544ACB"/>
    <w:rsid w:val="00544F84"/>
    <w:rsid w:val="00565D9B"/>
    <w:rsid w:val="00567871"/>
    <w:rsid w:val="00574E57"/>
    <w:rsid w:val="00580545"/>
    <w:rsid w:val="00583CFD"/>
    <w:rsid w:val="0059284D"/>
    <w:rsid w:val="005A00B3"/>
    <w:rsid w:val="005A0BD9"/>
    <w:rsid w:val="005A3D27"/>
    <w:rsid w:val="005B471C"/>
    <w:rsid w:val="005B559D"/>
    <w:rsid w:val="005B74AE"/>
    <w:rsid w:val="005C52E4"/>
    <w:rsid w:val="00605205"/>
    <w:rsid w:val="006056B6"/>
    <w:rsid w:val="00611C6B"/>
    <w:rsid w:val="006121F0"/>
    <w:rsid w:val="00614835"/>
    <w:rsid w:val="00624805"/>
    <w:rsid w:val="00644C2C"/>
    <w:rsid w:val="006507BA"/>
    <w:rsid w:val="00655874"/>
    <w:rsid w:val="00664409"/>
    <w:rsid w:val="00677BEF"/>
    <w:rsid w:val="00680528"/>
    <w:rsid w:val="00681379"/>
    <w:rsid w:val="00685442"/>
    <w:rsid w:val="00686C59"/>
    <w:rsid w:val="00687240"/>
    <w:rsid w:val="00697494"/>
    <w:rsid w:val="006A7F2D"/>
    <w:rsid w:val="006C4697"/>
    <w:rsid w:val="006D16B1"/>
    <w:rsid w:val="006E2DB2"/>
    <w:rsid w:val="006E6D97"/>
    <w:rsid w:val="006E7A62"/>
    <w:rsid w:val="00710F9A"/>
    <w:rsid w:val="0071697F"/>
    <w:rsid w:val="00721717"/>
    <w:rsid w:val="0072195A"/>
    <w:rsid w:val="00750B40"/>
    <w:rsid w:val="007519D4"/>
    <w:rsid w:val="00754D7E"/>
    <w:rsid w:val="0076181C"/>
    <w:rsid w:val="007649E3"/>
    <w:rsid w:val="00773764"/>
    <w:rsid w:val="007747EB"/>
    <w:rsid w:val="00782A4E"/>
    <w:rsid w:val="007A78E0"/>
    <w:rsid w:val="007B7BDF"/>
    <w:rsid w:val="007C1F1B"/>
    <w:rsid w:val="007C272F"/>
    <w:rsid w:val="007C2A50"/>
    <w:rsid w:val="007D5EAE"/>
    <w:rsid w:val="007E258D"/>
    <w:rsid w:val="007E4871"/>
    <w:rsid w:val="007E4CD8"/>
    <w:rsid w:val="007F16D3"/>
    <w:rsid w:val="007F4C29"/>
    <w:rsid w:val="00803624"/>
    <w:rsid w:val="00803919"/>
    <w:rsid w:val="00816C21"/>
    <w:rsid w:val="00816E14"/>
    <w:rsid w:val="008221E5"/>
    <w:rsid w:val="00833857"/>
    <w:rsid w:val="008360DC"/>
    <w:rsid w:val="0086547A"/>
    <w:rsid w:val="008722AE"/>
    <w:rsid w:val="00882815"/>
    <w:rsid w:val="008B4183"/>
    <w:rsid w:val="008B450A"/>
    <w:rsid w:val="008C737A"/>
    <w:rsid w:val="008E0C09"/>
    <w:rsid w:val="008E253C"/>
    <w:rsid w:val="008E32A6"/>
    <w:rsid w:val="008E4905"/>
    <w:rsid w:val="0090651D"/>
    <w:rsid w:val="00913260"/>
    <w:rsid w:val="00914B42"/>
    <w:rsid w:val="009170F0"/>
    <w:rsid w:val="00923673"/>
    <w:rsid w:val="00930CAB"/>
    <w:rsid w:val="00933301"/>
    <w:rsid w:val="00947A7B"/>
    <w:rsid w:val="00947DA1"/>
    <w:rsid w:val="0095190F"/>
    <w:rsid w:val="00952A12"/>
    <w:rsid w:val="00956D52"/>
    <w:rsid w:val="00964DD6"/>
    <w:rsid w:val="00982A95"/>
    <w:rsid w:val="009A058D"/>
    <w:rsid w:val="009A6528"/>
    <w:rsid w:val="009C1741"/>
    <w:rsid w:val="009C32D6"/>
    <w:rsid w:val="009C3F20"/>
    <w:rsid w:val="009D35E8"/>
    <w:rsid w:val="009D5536"/>
    <w:rsid w:val="009E3452"/>
    <w:rsid w:val="009E3523"/>
    <w:rsid w:val="009F054F"/>
    <w:rsid w:val="009F43D0"/>
    <w:rsid w:val="009F4E05"/>
    <w:rsid w:val="00A021DB"/>
    <w:rsid w:val="00A03147"/>
    <w:rsid w:val="00A0388C"/>
    <w:rsid w:val="00A03EE2"/>
    <w:rsid w:val="00A06A5B"/>
    <w:rsid w:val="00A211D3"/>
    <w:rsid w:val="00A21B73"/>
    <w:rsid w:val="00A25406"/>
    <w:rsid w:val="00A31B47"/>
    <w:rsid w:val="00A36310"/>
    <w:rsid w:val="00A3698E"/>
    <w:rsid w:val="00A40C61"/>
    <w:rsid w:val="00A44B52"/>
    <w:rsid w:val="00A50100"/>
    <w:rsid w:val="00A545B5"/>
    <w:rsid w:val="00A54F3C"/>
    <w:rsid w:val="00A56182"/>
    <w:rsid w:val="00A60262"/>
    <w:rsid w:val="00A60884"/>
    <w:rsid w:val="00A668EC"/>
    <w:rsid w:val="00A8115A"/>
    <w:rsid w:val="00A8244D"/>
    <w:rsid w:val="00A82E39"/>
    <w:rsid w:val="00A90CAB"/>
    <w:rsid w:val="00A90DA2"/>
    <w:rsid w:val="00A941CE"/>
    <w:rsid w:val="00AB4AB9"/>
    <w:rsid w:val="00AC39CC"/>
    <w:rsid w:val="00AE0B2C"/>
    <w:rsid w:val="00AE0E78"/>
    <w:rsid w:val="00AE2FC8"/>
    <w:rsid w:val="00B016EB"/>
    <w:rsid w:val="00B05507"/>
    <w:rsid w:val="00B104B0"/>
    <w:rsid w:val="00B210B2"/>
    <w:rsid w:val="00B233F4"/>
    <w:rsid w:val="00B451F0"/>
    <w:rsid w:val="00B61E0A"/>
    <w:rsid w:val="00B71494"/>
    <w:rsid w:val="00B816A6"/>
    <w:rsid w:val="00B8173A"/>
    <w:rsid w:val="00B8771A"/>
    <w:rsid w:val="00B92F89"/>
    <w:rsid w:val="00B95E9E"/>
    <w:rsid w:val="00BB1C4F"/>
    <w:rsid w:val="00BC68B5"/>
    <w:rsid w:val="00BD1E27"/>
    <w:rsid w:val="00BE6F69"/>
    <w:rsid w:val="00BF0C84"/>
    <w:rsid w:val="00BF4B94"/>
    <w:rsid w:val="00C0684F"/>
    <w:rsid w:val="00C07D7A"/>
    <w:rsid w:val="00C175DF"/>
    <w:rsid w:val="00C37C33"/>
    <w:rsid w:val="00C5369C"/>
    <w:rsid w:val="00C62E97"/>
    <w:rsid w:val="00C6660A"/>
    <w:rsid w:val="00C7445C"/>
    <w:rsid w:val="00CA3B9C"/>
    <w:rsid w:val="00CA59E6"/>
    <w:rsid w:val="00CB4736"/>
    <w:rsid w:val="00CB52A7"/>
    <w:rsid w:val="00CB6487"/>
    <w:rsid w:val="00CC54DA"/>
    <w:rsid w:val="00CE22C0"/>
    <w:rsid w:val="00CE7717"/>
    <w:rsid w:val="00CF157E"/>
    <w:rsid w:val="00CF2C0E"/>
    <w:rsid w:val="00CF3BC9"/>
    <w:rsid w:val="00D023DA"/>
    <w:rsid w:val="00D07A1D"/>
    <w:rsid w:val="00D3084F"/>
    <w:rsid w:val="00D5224D"/>
    <w:rsid w:val="00D648CE"/>
    <w:rsid w:val="00D650D7"/>
    <w:rsid w:val="00D65280"/>
    <w:rsid w:val="00D65903"/>
    <w:rsid w:val="00D72692"/>
    <w:rsid w:val="00D824B9"/>
    <w:rsid w:val="00D84DEA"/>
    <w:rsid w:val="00DA0CCC"/>
    <w:rsid w:val="00DA464D"/>
    <w:rsid w:val="00DB544A"/>
    <w:rsid w:val="00DC20C9"/>
    <w:rsid w:val="00DC499C"/>
    <w:rsid w:val="00DC7EBB"/>
    <w:rsid w:val="00DD12E4"/>
    <w:rsid w:val="00DE22A2"/>
    <w:rsid w:val="00DE4279"/>
    <w:rsid w:val="00DF04B6"/>
    <w:rsid w:val="00DF14B4"/>
    <w:rsid w:val="00DF5CFD"/>
    <w:rsid w:val="00DF6F61"/>
    <w:rsid w:val="00E0046A"/>
    <w:rsid w:val="00E01ECB"/>
    <w:rsid w:val="00E12E2B"/>
    <w:rsid w:val="00E14B38"/>
    <w:rsid w:val="00E2455B"/>
    <w:rsid w:val="00E355AF"/>
    <w:rsid w:val="00E37CBD"/>
    <w:rsid w:val="00E466C9"/>
    <w:rsid w:val="00E479B7"/>
    <w:rsid w:val="00E54025"/>
    <w:rsid w:val="00E546FB"/>
    <w:rsid w:val="00E70B9E"/>
    <w:rsid w:val="00E75ADE"/>
    <w:rsid w:val="00E92C91"/>
    <w:rsid w:val="00E94C31"/>
    <w:rsid w:val="00E96561"/>
    <w:rsid w:val="00E97710"/>
    <w:rsid w:val="00EA35B4"/>
    <w:rsid w:val="00EB1D1B"/>
    <w:rsid w:val="00EB2685"/>
    <w:rsid w:val="00EC378C"/>
    <w:rsid w:val="00EC6AF3"/>
    <w:rsid w:val="00EE056B"/>
    <w:rsid w:val="00F043CD"/>
    <w:rsid w:val="00F0466E"/>
    <w:rsid w:val="00F05413"/>
    <w:rsid w:val="00F07EF9"/>
    <w:rsid w:val="00F115D7"/>
    <w:rsid w:val="00F12E5E"/>
    <w:rsid w:val="00F12F2A"/>
    <w:rsid w:val="00F31261"/>
    <w:rsid w:val="00F34468"/>
    <w:rsid w:val="00F746EC"/>
    <w:rsid w:val="00F75E19"/>
    <w:rsid w:val="00F859CA"/>
    <w:rsid w:val="00FA53FD"/>
    <w:rsid w:val="00FA5A87"/>
    <w:rsid w:val="00FC0D36"/>
    <w:rsid w:val="00FC2D70"/>
    <w:rsid w:val="00FC378C"/>
    <w:rsid w:val="00FC63A4"/>
    <w:rsid w:val="00FD6266"/>
    <w:rsid w:val="00FD75A3"/>
    <w:rsid w:val="00FE2FC5"/>
    <w:rsid w:val="00FE7212"/>
    <w:rsid w:val="00FF574E"/>
    <w:rsid w:val="00FF7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87103A9"/>
  <w15:chartTrackingRefBased/>
  <w15:docId w15:val="{9C1A5BE8-DA64-4E64-A9C5-C5FEE150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91"/>
    <w:pPr>
      <w:spacing w:after="120" w:line="240" w:lineRule="auto"/>
    </w:pPr>
    <w:rPr>
      <w:rFonts w:ascii="Calibri" w:eastAsia="Arial" w:hAnsi="Calibri" w:cs="Times New Roman"/>
      <w:sz w:val="20"/>
      <w:szCs w:val="20"/>
    </w:rPr>
  </w:style>
  <w:style w:type="paragraph" w:styleId="Heading1">
    <w:name w:val="heading 1"/>
    <w:basedOn w:val="Normal"/>
    <w:next w:val="Normal"/>
    <w:link w:val="Heading1Char"/>
    <w:uiPriority w:val="9"/>
    <w:qFormat/>
    <w:rsid w:val="00E92C91"/>
    <w:pPr>
      <w:keepNext/>
      <w:keepLines/>
      <w:spacing w:before="120" w:after="0"/>
      <w:outlineLvl w:val="0"/>
    </w:pPr>
    <w:rPr>
      <w:rFonts w:ascii="Rockwell" w:eastAsia="SimHei" w:hAnsi="Rockwell"/>
      <w:bCs/>
      <w:color w:val="0074BD"/>
      <w:sz w:val="28"/>
      <w:szCs w:val="28"/>
    </w:rPr>
  </w:style>
  <w:style w:type="paragraph" w:styleId="Heading4">
    <w:name w:val="heading 4"/>
    <w:basedOn w:val="Normal"/>
    <w:next w:val="Normal"/>
    <w:link w:val="Heading4Char"/>
    <w:uiPriority w:val="9"/>
    <w:unhideWhenUsed/>
    <w:qFormat/>
    <w:rsid w:val="00E92C91"/>
    <w:pPr>
      <w:keepNext/>
      <w:keepLines/>
      <w:spacing w:before="40" w:after="0"/>
      <w:outlineLvl w:val="3"/>
    </w:pPr>
    <w:rPr>
      <w:rFonts w:ascii="Arial" w:eastAsia="SimHei" w:hAnsi="Arial"/>
      <w:i/>
      <w:iCs/>
      <w:color w:val="0056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91"/>
    <w:rPr>
      <w:rFonts w:ascii="Rockwell" w:eastAsia="SimHei" w:hAnsi="Rockwell" w:cs="Times New Roman"/>
      <w:bCs/>
      <w:color w:val="0074BD"/>
      <w:sz w:val="28"/>
      <w:szCs w:val="28"/>
    </w:rPr>
  </w:style>
  <w:style w:type="character" w:customStyle="1" w:styleId="Heading4Char">
    <w:name w:val="Heading 4 Char"/>
    <w:basedOn w:val="DefaultParagraphFont"/>
    <w:link w:val="Heading4"/>
    <w:uiPriority w:val="9"/>
    <w:rsid w:val="00E92C91"/>
    <w:rPr>
      <w:rFonts w:ascii="Arial" w:eastAsia="SimHei" w:hAnsi="Arial" w:cs="Times New Roman"/>
      <w:i/>
      <w:iCs/>
      <w:color w:val="00568D"/>
      <w:sz w:val="20"/>
      <w:szCs w:val="20"/>
    </w:rPr>
  </w:style>
  <w:style w:type="paragraph" w:customStyle="1" w:styleId="Subtitle">
    <w:name w:val="Sub title"/>
    <w:basedOn w:val="Normal"/>
    <w:qFormat/>
    <w:rsid w:val="00E92C91"/>
    <w:pPr>
      <w:jc w:val="right"/>
    </w:pPr>
    <w:rPr>
      <w:color w:val="F06252"/>
      <w:sz w:val="22"/>
    </w:rPr>
  </w:style>
  <w:style w:type="paragraph" w:customStyle="1" w:styleId="CoverInfoNote">
    <w:name w:val="Cover Info Note"/>
    <w:basedOn w:val="Normal"/>
    <w:qFormat/>
    <w:rsid w:val="00E92C91"/>
    <w:pPr>
      <w:spacing w:after="0"/>
    </w:pPr>
    <w:rPr>
      <w:rFonts w:ascii="Rockwell" w:hAnsi="Rockwell"/>
      <w:b/>
      <w:color w:val="F06252"/>
    </w:rPr>
  </w:style>
  <w:style w:type="paragraph" w:styleId="Header">
    <w:name w:val="header"/>
    <w:basedOn w:val="Normal"/>
    <w:link w:val="HeaderChar"/>
    <w:uiPriority w:val="99"/>
    <w:unhideWhenUsed/>
    <w:rsid w:val="00E92C91"/>
    <w:pPr>
      <w:tabs>
        <w:tab w:val="center" w:pos="4513"/>
        <w:tab w:val="right" w:pos="9026"/>
      </w:tabs>
      <w:spacing w:after="0"/>
    </w:pPr>
    <w:rPr>
      <w:rFonts w:ascii="Rockwell" w:hAnsi="Rockwell"/>
      <w:color w:val="16325C"/>
    </w:rPr>
  </w:style>
  <w:style w:type="character" w:customStyle="1" w:styleId="HeaderChar">
    <w:name w:val="Header Char"/>
    <w:basedOn w:val="DefaultParagraphFont"/>
    <w:link w:val="Header"/>
    <w:uiPriority w:val="99"/>
    <w:rsid w:val="00E92C91"/>
    <w:rPr>
      <w:rFonts w:ascii="Rockwell" w:eastAsia="Arial" w:hAnsi="Rockwell" w:cs="Times New Roman"/>
      <w:color w:val="16325C"/>
      <w:sz w:val="20"/>
      <w:szCs w:val="20"/>
    </w:rPr>
  </w:style>
  <w:style w:type="paragraph" w:styleId="Footer">
    <w:name w:val="footer"/>
    <w:basedOn w:val="Normal"/>
    <w:link w:val="FooterChar"/>
    <w:uiPriority w:val="99"/>
    <w:unhideWhenUsed/>
    <w:rsid w:val="00E92C91"/>
    <w:pPr>
      <w:tabs>
        <w:tab w:val="center" w:pos="4513"/>
        <w:tab w:val="right" w:pos="9026"/>
      </w:tabs>
      <w:spacing w:after="0"/>
    </w:pPr>
  </w:style>
  <w:style w:type="character" w:customStyle="1" w:styleId="FooterChar">
    <w:name w:val="Footer Char"/>
    <w:basedOn w:val="DefaultParagraphFont"/>
    <w:link w:val="Footer"/>
    <w:uiPriority w:val="99"/>
    <w:rsid w:val="00E92C91"/>
    <w:rPr>
      <w:rFonts w:ascii="Calibri" w:eastAsia="Arial" w:hAnsi="Calibri" w:cs="Times New Roman"/>
      <w:sz w:val="20"/>
      <w:szCs w:val="20"/>
    </w:rPr>
  </w:style>
  <w:style w:type="paragraph" w:customStyle="1" w:styleId="Chartheading">
    <w:name w:val="Chart heading"/>
    <w:basedOn w:val="Normal"/>
    <w:qFormat/>
    <w:rsid w:val="00E92C91"/>
    <w:rPr>
      <w:rFonts w:ascii="Rockwell" w:hAnsi="Rockwell"/>
      <w:color w:val="16325C"/>
      <w:sz w:val="24"/>
    </w:rPr>
  </w:style>
  <w:style w:type="paragraph" w:customStyle="1" w:styleId="Chartgraphic">
    <w:name w:val="Chart graphic"/>
    <w:basedOn w:val="Normal"/>
    <w:qFormat/>
    <w:rsid w:val="00E92C91"/>
    <w:pPr>
      <w:spacing w:after="0"/>
    </w:pPr>
  </w:style>
  <w:style w:type="paragraph" w:customStyle="1" w:styleId="Covertitle">
    <w:name w:val="Cover title"/>
    <w:qFormat/>
    <w:rsid w:val="00E92C91"/>
    <w:pPr>
      <w:spacing w:before="120" w:after="360" w:line="240" w:lineRule="auto"/>
    </w:pPr>
    <w:rPr>
      <w:rFonts w:ascii="Rockwell" w:eastAsia="SimHei" w:hAnsi="Rockwell" w:cs="Times New Roman"/>
      <w:bCs/>
      <w:color w:val="004A80"/>
      <w:sz w:val="40"/>
      <w:szCs w:val="28"/>
    </w:rPr>
  </w:style>
  <w:style w:type="paragraph" w:customStyle="1" w:styleId="Bullet">
    <w:name w:val="Bullet"/>
    <w:basedOn w:val="Normal"/>
    <w:link w:val="BulletChar"/>
    <w:rsid w:val="00E92C91"/>
    <w:pPr>
      <w:numPr>
        <w:numId w:val="1"/>
      </w:numPr>
    </w:pPr>
  </w:style>
  <w:style w:type="character" w:customStyle="1" w:styleId="BulletChar">
    <w:name w:val="Bullet Char"/>
    <w:basedOn w:val="DefaultParagraphFont"/>
    <w:link w:val="Bullet"/>
    <w:rsid w:val="00E92C91"/>
    <w:rPr>
      <w:rFonts w:ascii="Calibri" w:eastAsia="Arial" w:hAnsi="Calibri" w:cs="Times New Roman"/>
      <w:sz w:val="20"/>
      <w:szCs w:val="20"/>
    </w:rPr>
  </w:style>
  <w:style w:type="paragraph" w:customStyle="1" w:styleId="Dash">
    <w:name w:val="Dash"/>
    <w:basedOn w:val="Normal"/>
    <w:rsid w:val="00E92C91"/>
    <w:pPr>
      <w:numPr>
        <w:ilvl w:val="1"/>
        <w:numId w:val="1"/>
      </w:numPr>
    </w:pPr>
  </w:style>
  <w:style w:type="paragraph" w:customStyle="1" w:styleId="DoubleDot">
    <w:name w:val="Double Dot"/>
    <w:basedOn w:val="Normal"/>
    <w:rsid w:val="00E92C91"/>
    <w:pPr>
      <w:numPr>
        <w:ilvl w:val="2"/>
        <w:numId w:val="1"/>
      </w:numPr>
    </w:pPr>
  </w:style>
  <w:style w:type="paragraph" w:styleId="FootnoteText">
    <w:name w:val="footnote text"/>
    <w:basedOn w:val="Normal"/>
    <w:link w:val="FootnoteTextChar"/>
    <w:uiPriority w:val="99"/>
    <w:semiHidden/>
    <w:unhideWhenUsed/>
    <w:rsid w:val="00E92C91"/>
    <w:pPr>
      <w:spacing w:after="0"/>
    </w:pPr>
  </w:style>
  <w:style w:type="character" w:customStyle="1" w:styleId="FootnoteTextChar">
    <w:name w:val="Footnote Text Char"/>
    <w:basedOn w:val="DefaultParagraphFont"/>
    <w:link w:val="FootnoteText"/>
    <w:uiPriority w:val="99"/>
    <w:semiHidden/>
    <w:rsid w:val="00E92C91"/>
    <w:rPr>
      <w:rFonts w:ascii="Calibri" w:eastAsia="Arial" w:hAnsi="Calibri" w:cs="Times New Roman"/>
      <w:sz w:val="20"/>
      <w:szCs w:val="20"/>
    </w:rPr>
  </w:style>
  <w:style w:type="character" w:styleId="FootnoteReference">
    <w:name w:val="footnote reference"/>
    <w:uiPriority w:val="99"/>
    <w:semiHidden/>
    <w:unhideWhenUsed/>
    <w:rsid w:val="00E92C91"/>
    <w:rPr>
      <w:vertAlign w:val="superscript"/>
    </w:rPr>
  </w:style>
  <w:style w:type="paragraph" w:customStyle="1" w:styleId="Footnote">
    <w:name w:val="Footnote"/>
    <w:basedOn w:val="FootnoteText"/>
    <w:qFormat/>
    <w:rsid w:val="00E92C91"/>
    <w:pPr>
      <w:ind w:left="227" w:hanging="227"/>
    </w:pPr>
    <w:rPr>
      <w:sz w:val="18"/>
    </w:rPr>
  </w:style>
  <w:style w:type="character" w:styleId="CommentReference">
    <w:name w:val="annotation reference"/>
    <w:uiPriority w:val="99"/>
    <w:semiHidden/>
    <w:unhideWhenUsed/>
    <w:rsid w:val="00E92C91"/>
    <w:rPr>
      <w:sz w:val="16"/>
      <w:szCs w:val="16"/>
    </w:rPr>
  </w:style>
  <w:style w:type="paragraph" w:styleId="CommentText">
    <w:name w:val="annotation text"/>
    <w:basedOn w:val="Normal"/>
    <w:link w:val="CommentTextChar"/>
    <w:uiPriority w:val="99"/>
    <w:semiHidden/>
    <w:unhideWhenUsed/>
    <w:rsid w:val="00E92C91"/>
  </w:style>
  <w:style w:type="character" w:customStyle="1" w:styleId="CommentTextChar">
    <w:name w:val="Comment Text Char"/>
    <w:basedOn w:val="DefaultParagraphFont"/>
    <w:link w:val="CommentText"/>
    <w:uiPriority w:val="99"/>
    <w:semiHidden/>
    <w:rsid w:val="00E92C91"/>
    <w:rPr>
      <w:rFonts w:ascii="Calibri" w:eastAsia="Arial" w:hAnsi="Calibri" w:cs="Times New Roman"/>
      <w:sz w:val="20"/>
      <w:szCs w:val="20"/>
    </w:rPr>
  </w:style>
  <w:style w:type="character" w:styleId="Hyperlink">
    <w:name w:val="Hyperlink"/>
    <w:uiPriority w:val="99"/>
    <w:unhideWhenUsed/>
    <w:rsid w:val="00E92C91"/>
    <w:rPr>
      <w:color w:val="0000FF"/>
      <w:u w:val="single"/>
    </w:rPr>
  </w:style>
  <w:style w:type="paragraph" w:styleId="BalloonText">
    <w:name w:val="Balloon Text"/>
    <w:basedOn w:val="Normal"/>
    <w:link w:val="BalloonTextChar"/>
    <w:uiPriority w:val="99"/>
    <w:semiHidden/>
    <w:unhideWhenUsed/>
    <w:rsid w:val="00E92C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C91"/>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4434F9"/>
    <w:rPr>
      <w:b/>
      <w:bCs/>
    </w:rPr>
  </w:style>
  <w:style w:type="character" w:customStyle="1" w:styleId="CommentSubjectChar">
    <w:name w:val="Comment Subject Char"/>
    <w:basedOn w:val="CommentTextChar"/>
    <w:link w:val="CommentSubject"/>
    <w:uiPriority w:val="99"/>
    <w:semiHidden/>
    <w:rsid w:val="004434F9"/>
    <w:rPr>
      <w:rFonts w:ascii="Calibri" w:eastAsia="Arial" w:hAnsi="Calibri" w:cs="Times New Roman"/>
      <w:b/>
      <w:bCs/>
      <w:sz w:val="20"/>
      <w:szCs w:val="20"/>
    </w:rPr>
  </w:style>
  <w:style w:type="paragraph" w:styleId="Revision">
    <w:name w:val="Revision"/>
    <w:hidden/>
    <w:uiPriority w:val="99"/>
    <w:semiHidden/>
    <w:rsid w:val="007C1F1B"/>
    <w:pPr>
      <w:spacing w:after="0" w:line="240" w:lineRule="auto"/>
    </w:pPr>
    <w:rPr>
      <w:rFonts w:ascii="Calibri" w:eastAsia="Arial" w:hAnsi="Calibri" w:cs="Times New Roman"/>
      <w:sz w:val="20"/>
      <w:szCs w:val="20"/>
    </w:rPr>
  </w:style>
  <w:style w:type="character" w:styleId="FollowedHyperlink">
    <w:name w:val="FollowedHyperlink"/>
    <w:basedOn w:val="DefaultParagraphFont"/>
    <w:uiPriority w:val="99"/>
    <w:semiHidden/>
    <w:unhideWhenUsed/>
    <w:rsid w:val="00C62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research.treasury.gov.au/treasurys-two-cents/superannuation-balances-retirement" TargetMode="External"/><Relationship Id="rId1" Type="http://schemas.openxmlformats.org/officeDocument/2006/relationships/hyperlink" Target="http://research.treasury.gov.au/treasury-working-paper/2017-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RA-9225 - Retain as national archives</TermName>
          <TermId xmlns="http://schemas.microsoft.com/office/infopath/2007/PartnerControls">9259d60c-3849-4eb9-8b9d-80c42cfa3149</TermId>
        </TermInfo>
      </Terms>
    </lb508a4dc5e84436a0fe496b536466aa>
    <IconOverlay xmlns="http://schemas.microsoft.com/sharepoint/v4" xsi:nil="true"/>
    <TaxCatchAll xmlns="0f563589-9cf9-4143-b1eb-fb0534803d38">
      <Value>15</Value>
    </TaxCatchAll>
    <_dlc_DocId xmlns="0f563589-9cf9-4143-b1eb-fb0534803d38">2019RG-139-4852</_dlc_DocId>
    <_dlc_DocIdUrl xmlns="0f563589-9cf9-4143-b1eb-fb0534803d38">
      <Url>http://tweb/sites/rg/tad/_layouts/15/DocIdRedir.aspx?ID=2019RG-139-4852</Url>
      <Description>2019RG-139-4852</Description>
    </_dlc_DocIdUrl>
  </documentManagement>
</p:properti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518081D77161D2449054B82C9C12DD6B" ma:contentTypeVersion="24257" ma:contentTypeDescription=" " ma:contentTypeScope="" ma:versionID="dd5f869c218e32964192da6833aa54af">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13e37a76eefb80fb66b9b8382a488e1"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5;#TSY RA-9225 - Retain as national archives|9259d60c-3849-4eb9-8b9d-80c42cfa314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3E5B9-782D-4C9A-A2B9-02C9B7E4BFEC}">
  <ds:schemaRefs>
    <ds:schemaRef ds:uri="http://purl.org/dc/dcmitype/"/>
    <ds:schemaRef ds:uri="http://schemas.microsoft.com/office/2006/documentManagement/types"/>
    <ds:schemaRef ds:uri="http://schemas.microsoft.com/office/2006/metadata/properties"/>
    <ds:schemaRef ds:uri="9f7bc583-7cbe-45b9-a2bd-8bbb6543b37e"/>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sharepoint/v4"/>
    <ds:schemaRef ds:uri="0f563589-9cf9-4143-b1eb-fb0534803d38"/>
    <ds:schemaRef ds:uri="http://schemas.microsoft.com/sharepoint/v3"/>
    <ds:schemaRef ds:uri="http://purl.org/dc/terms/"/>
  </ds:schemaRefs>
</ds:datastoreItem>
</file>

<file path=customXml/itemProps2.xml><?xml version="1.0" encoding="utf-8"?>
<ds:datastoreItem xmlns:ds="http://schemas.openxmlformats.org/officeDocument/2006/customXml" ds:itemID="{4F98B273-6B2B-4B2C-8800-DCBEFF6A146C}">
  <ds:schemaRefs>
    <ds:schemaRef ds:uri="http://schemas.microsoft.com/sharepoint/events"/>
  </ds:schemaRefs>
</ds:datastoreItem>
</file>

<file path=customXml/itemProps3.xml><?xml version="1.0" encoding="utf-8"?>
<ds:datastoreItem xmlns:ds="http://schemas.openxmlformats.org/officeDocument/2006/customXml" ds:itemID="{8F70E6E3-B8E3-4C63-8CB6-051EEBD7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F2D394-1C97-49F7-9D34-9B51FAE0C6CE}">
  <ds:schemaRefs>
    <ds:schemaRef ds:uri="office.server.policy"/>
  </ds:schemaRefs>
</ds:datastoreItem>
</file>

<file path=customXml/itemProps5.xml><?xml version="1.0" encoding="utf-8"?>
<ds:datastoreItem xmlns:ds="http://schemas.openxmlformats.org/officeDocument/2006/customXml" ds:itemID="{9DF43796-5D27-4973-A362-FE1D481F4E66}">
  <ds:schemaRefs>
    <ds:schemaRef ds:uri="http://schemas.microsoft.com/sharepoint/v3/contenttype/forms"/>
  </ds:schemaRefs>
</ds:datastoreItem>
</file>

<file path=customXml/itemProps6.xml><?xml version="1.0" encoding="utf-8"?>
<ds:datastoreItem xmlns:ds="http://schemas.openxmlformats.org/officeDocument/2006/customXml" ds:itemID="{91CCE320-8718-4962-BE35-68B2A3F5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1767</Words>
  <Characters>10072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Accumulation of superannuation across a lifetime</vt:lpstr>
    </vt:vector>
  </TitlesOfParts>
  <Company>The Department of the Treasury</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Accumulation of superannuation across a lifetime</dc:title>
  <dc:subject>Treasury's Two Cents</dc:subject>
  <dc:creator>Elliot Lavers, Mark Bott, Katarina Trinh and Jacob Ston</dc:creator>
  <cp:keywords/>
  <dc:description/>
  <cp:lastModifiedBy>Thomas, Deborah</cp:lastModifiedBy>
  <cp:revision>2</cp:revision>
  <cp:lastPrinted>2019-11-11T01:15:00Z</cp:lastPrinted>
  <dcterms:created xsi:type="dcterms:W3CDTF">2019-11-27T21:42:00Z</dcterms:created>
  <dcterms:modified xsi:type="dcterms:W3CDTF">2019-11-27T21:42:00Z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0x01010036BB8DE7EC542E42A8B2E98CC20CB69700518081D77161D2449054B82C9C12DD6B</vt:lpwstr>
  </property>
  <property fmtid="{D5CDD505-2E9C-101B-9397-08002B2CF9AE}" pid="3" name="RecordPoint_ActiveItemUniqueId">
    <vt:lpwstr>{023bfda5-0c6a-4ec0-8d81-7ab627c46d6a}</vt:lpwstr>
  </property>
  <property fmtid="{D5CDD505-2E9C-101B-9397-08002B2CF9AE}" pid="4" name="TSYRecordClass">
    <vt:lpwstr>15;#TSY RA-9225 - Retain as national archives|9259d60c-3849-4eb9-8b9d-80c42cfa3149</vt:lpwstr>
  </property>
  <property fmtid="{D5CDD505-2E9C-101B-9397-08002B2CF9AE}" pid="5" name="RecordPoint_WorkflowType">
    <vt:lpwstr>ActiveSubmitStub</vt:lpwstr>
  </property>
  <property fmtid="{D5CDD505-2E9C-101B-9397-08002B2CF9AE}" pid="6" name="_dlc_DocIdItemGuid">
    <vt:lpwstr>023bfda5-0c6a-4ec0-8d81-7ab627c46d6a</vt:lpwstr>
  </property>
  <property fmtid="{D5CDD505-2E9C-101B-9397-08002B2CF9AE}" pid="7" name="RecordPoint_ActiveItemListId">
    <vt:lpwstr>{0bd6dc49-b339-4aa0-92d8-25ad3226d414}</vt:lpwstr>
  </property>
  <property fmtid="{D5CDD505-2E9C-101B-9397-08002B2CF9AE}" pid="8" name="RecordPoint_ActiveItemWebId">
    <vt:lpwstr>{4f2582b4-0456-4668-80fd-b44a4a204ff4}</vt:lpwstr>
  </property>
  <property fmtid="{D5CDD505-2E9C-101B-9397-08002B2CF9AE}" pid="9" name="RecordPoint_ActiveItemSiteId">
    <vt:lpwstr>{5b52b9a5-e5b2-4521-8814-a1e24ca2869d}</vt:lpwstr>
  </property>
</Properties>
</file>