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7E4EC" w14:textId="77777777" w:rsidR="00C26C6A" w:rsidRDefault="00C26C6A" w:rsidP="00C26C6A">
      <w:pPr>
        <w:pStyle w:val="CoverInfoNote"/>
      </w:pPr>
      <w:bookmarkStart w:id="0" w:name="_GoBack"/>
      <w:bookmarkEnd w:id="0"/>
      <w:r w:rsidRPr="00F70A9F">
        <w:t>INFORMATION</w:t>
      </w:r>
      <w:r>
        <w:t xml:space="preserve"> NOTE</w:t>
      </w:r>
      <w:r>
        <w:rPr>
          <w:rStyle w:val="FootnoteReference"/>
        </w:rPr>
        <w:footnoteReference w:id="2"/>
      </w:r>
    </w:p>
    <w:p w14:paraId="23F5DD7F" w14:textId="1675305F" w:rsidR="00C26C6A" w:rsidRDefault="00620C88" w:rsidP="00C26C6A">
      <w:pPr>
        <w:pStyle w:val="Covertitle"/>
      </w:pPr>
      <w:r>
        <w:t>The super</w:t>
      </w:r>
      <w:r w:rsidR="00A25D0D">
        <w:t>annuation</w:t>
      </w:r>
      <w:r>
        <w:t xml:space="preserve"> system in aggregate</w:t>
      </w:r>
    </w:p>
    <w:p w14:paraId="4C4D3280" w14:textId="77777777" w:rsidR="005A5F09" w:rsidRDefault="00AE5442" w:rsidP="00C26C6A">
      <w:pPr>
        <w:rPr>
          <w:rStyle w:val="FootnoteReference"/>
          <w:rFonts w:ascii="Calibri Light" w:hAnsi="Calibri Light"/>
          <w:color w:val="16325C" w:themeColor="text2"/>
          <w:sz w:val="22"/>
        </w:rPr>
      </w:pPr>
      <w:r>
        <w:rPr>
          <w:rFonts w:ascii="Calibri Light" w:hAnsi="Calibri Light"/>
          <w:color w:val="16325C" w:themeColor="text2"/>
          <w:sz w:val="22"/>
        </w:rPr>
        <w:t>This is the fourth in a series o</w:t>
      </w:r>
      <w:r w:rsidR="00C26C6A">
        <w:rPr>
          <w:rFonts w:ascii="Calibri Light" w:hAnsi="Calibri Light"/>
          <w:color w:val="16325C" w:themeColor="text2"/>
          <w:sz w:val="22"/>
        </w:rPr>
        <w:t xml:space="preserve">f information notes to showcase the results of </w:t>
      </w:r>
      <w:r w:rsidR="00E1122F">
        <w:rPr>
          <w:rFonts w:ascii="Calibri Light" w:hAnsi="Calibri Light"/>
          <w:color w:val="16325C" w:themeColor="text2"/>
          <w:sz w:val="22"/>
        </w:rPr>
        <w:t>Treasury’s</w:t>
      </w:r>
      <w:r w:rsidR="00E1122F" w:rsidRPr="00AF0FF0">
        <w:rPr>
          <w:rFonts w:ascii="Calibri Light" w:hAnsi="Calibri Light"/>
          <w:color w:val="16325C" w:themeColor="text2"/>
          <w:sz w:val="22"/>
        </w:rPr>
        <w:t xml:space="preserve"> </w:t>
      </w:r>
      <w:r w:rsidR="00C26C6A">
        <w:rPr>
          <w:rFonts w:ascii="Calibri Light" w:hAnsi="Calibri Light"/>
          <w:color w:val="16325C" w:themeColor="text2"/>
          <w:sz w:val="22"/>
        </w:rPr>
        <w:t>new dynamic microsimulation M</w:t>
      </w:r>
      <w:r w:rsidR="00C26C6A" w:rsidRPr="00AF0FF0">
        <w:rPr>
          <w:rFonts w:ascii="Calibri Light" w:hAnsi="Calibri Light"/>
          <w:color w:val="16325C" w:themeColor="text2"/>
          <w:sz w:val="22"/>
        </w:rPr>
        <w:t>odel of Australian Retire</w:t>
      </w:r>
      <w:r w:rsidR="00C26C6A">
        <w:rPr>
          <w:rFonts w:ascii="Calibri Light" w:hAnsi="Calibri Light"/>
          <w:color w:val="16325C" w:themeColor="text2"/>
          <w:sz w:val="22"/>
        </w:rPr>
        <w:t>ment Incomes and Assets (MARIA)</w:t>
      </w:r>
      <w:r w:rsidR="00195BAA">
        <w:rPr>
          <w:rStyle w:val="FootnoteReference"/>
          <w:rFonts w:ascii="Calibri Light" w:hAnsi="Calibri Light"/>
          <w:color w:val="16325C" w:themeColor="text2"/>
          <w:sz w:val="22"/>
        </w:rPr>
        <w:footnoteReference w:id="3"/>
      </w:r>
      <w:r w:rsidR="00C26C6A">
        <w:rPr>
          <w:rFonts w:ascii="Calibri Light" w:hAnsi="Calibri Light"/>
          <w:color w:val="16325C" w:themeColor="text2"/>
          <w:sz w:val="22"/>
        </w:rPr>
        <w:t>.</w:t>
      </w:r>
      <w:r w:rsidR="00073C7A" w:rsidRPr="00073C7A">
        <w:rPr>
          <w:rStyle w:val="FootnoteReference"/>
          <w:rFonts w:ascii="Calibri Light" w:hAnsi="Calibri Light"/>
          <w:color w:val="16325C" w:themeColor="text2"/>
          <w:sz w:val="22"/>
        </w:rPr>
        <w:t xml:space="preserve"> </w:t>
      </w:r>
    </w:p>
    <w:p w14:paraId="2A3F079D" w14:textId="2FC8FAE0" w:rsidR="00F62A87" w:rsidRDefault="00C26C6A" w:rsidP="00C26C6A">
      <w:pPr>
        <w:rPr>
          <w:rFonts w:ascii="Calibri Light" w:hAnsi="Calibri Light"/>
          <w:color w:val="16325C" w:themeColor="text2"/>
          <w:sz w:val="22"/>
        </w:rPr>
      </w:pPr>
      <w:r w:rsidRPr="000D4DA8">
        <w:rPr>
          <w:rFonts w:ascii="Calibri Light" w:hAnsi="Calibri Light"/>
          <w:color w:val="16325C" w:themeColor="text2"/>
          <w:sz w:val="22"/>
        </w:rPr>
        <w:t>This note shows</w:t>
      </w:r>
      <w:r w:rsidR="00F62A87">
        <w:rPr>
          <w:rFonts w:ascii="Calibri Light" w:hAnsi="Calibri Light"/>
          <w:color w:val="16325C" w:themeColor="text2"/>
          <w:sz w:val="22"/>
        </w:rPr>
        <w:t xml:space="preserve"> MARIA projections</w:t>
      </w:r>
      <w:r w:rsidR="00E02880">
        <w:rPr>
          <w:rFonts w:ascii="Calibri Light" w:hAnsi="Calibri Light"/>
          <w:color w:val="16325C" w:themeColor="text2"/>
          <w:sz w:val="22"/>
        </w:rPr>
        <w:t xml:space="preserve"> of </w:t>
      </w:r>
      <w:r w:rsidR="002073C2">
        <w:rPr>
          <w:rFonts w:ascii="Calibri Light" w:hAnsi="Calibri Light"/>
          <w:color w:val="16325C" w:themeColor="text2"/>
          <w:sz w:val="22"/>
        </w:rPr>
        <w:t>total superannuation balances</w:t>
      </w:r>
      <w:r w:rsidR="00F62A87">
        <w:rPr>
          <w:rFonts w:ascii="Calibri Light" w:hAnsi="Calibri Light"/>
          <w:color w:val="16325C" w:themeColor="text2"/>
          <w:sz w:val="22"/>
        </w:rPr>
        <w:t xml:space="preserve"> over time, </w:t>
      </w:r>
      <w:r w:rsidR="00442596">
        <w:rPr>
          <w:rFonts w:ascii="Calibri Light" w:hAnsi="Calibri Light"/>
          <w:color w:val="16325C" w:themeColor="text2"/>
          <w:sz w:val="22"/>
        </w:rPr>
        <w:t xml:space="preserve">which </w:t>
      </w:r>
      <w:r w:rsidR="00614C14">
        <w:rPr>
          <w:rFonts w:ascii="Calibri Light" w:hAnsi="Calibri Light"/>
          <w:color w:val="16325C" w:themeColor="text2"/>
          <w:sz w:val="22"/>
        </w:rPr>
        <w:t>is a measure of the</w:t>
      </w:r>
      <w:r w:rsidR="00442596">
        <w:rPr>
          <w:rFonts w:ascii="Calibri Light" w:hAnsi="Calibri Light"/>
          <w:color w:val="16325C" w:themeColor="text2"/>
          <w:sz w:val="22"/>
        </w:rPr>
        <w:t xml:space="preserve"> </w:t>
      </w:r>
      <w:r w:rsidR="00F659C3">
        <w:rPr>
          <w:rFonts w:ascii="Calibri Light" w:hAnsi="Calibri Light"/>
          <w:color w:val="16325C" w:themeColor="text2"/>
          <w:sz w:val="22"/>
        </w:rPr>
        <w:t>size of the superannuation system.</w:t>
      </w:r>
    </w:p>
    <w:p w14:paraId="4F13D309" w14:textId="6918042D" w:rsidR="004874AE" w:rsidRDefault="002073C2" w:rsidP="00C26C6A">
      <w:pPr>
        <w:rPr>
          <w:rFonts w:ascii="Calibri Light" w:hAnsi="Calibri Light"/>
          <w:color w:val="16325C" w:themeColor="text2"/>
          <w:sz w:val="22"/>
        </w:rPr>
      </w:pPr>
      <w:r>
        <w:rPr>
          <w:rFonts w:ascii="Calibri Light" w:hAnsi="Calibri Light"/>
          <w:color w:val="16325C" w:themeColor="text2"/>
          <w:sz w:val="22"/>
        </w:rPr>
        <w:t>T</w:t>
      </w:r>
      <w:r w:rsidR="004043ED">
        <w:rPr>
          <w:rFonts w:ascii="Calibri Light" w:hAnsi="Calibri Light"/>
          <w:color w:val="16325C" w:themeColor="text2"/>
          <w:sz w:val="22"/>
        </w:rPr>
        <w:t>he t</w:t>
      </w:r>
      <w:r>
        <w:rPr>
          <w:rFonts w:ascii="Calibri Light" w:hAnsi="Calibri Light"/>
          <w:color w:val="16325C" w:themeColor="text2"/>
          <w:sz w:val="22"/>
        </w:rPr>
        <w:t xml:space="preserve">otal </w:t>
      </w:r>
      <w:r w:rsidR="00746C2F">
        <w:rPr>
          <w:rFonts w:ascii="Calibri Light" w:hAnsi="Calibri Light"/>
          <w:color w:val="16325C" w:themeColor="text2"/>
          <w:sz w:val="22"/>
        </w:rPr>
        <w:t xml:space="preserve">value of </w:t>
      </w:r>
      <w:r>
        <w:rPr>
          <w:rFonts w:ascii="Calibri Light" w:hAnsi="Calibri Light"/>
          <w:color w:val="16325C" w:themeColor="text2"/>
          <w:sz w:val="22"/>
        </w:rPr>
        <w:t xml:space="preserve">superannuation balances </w:t>
      </w:r>
      <w:r w:rsidR="004874AE" w:rsidRPr="004874AE">
        <w:rPr>
          <w:rFonts w:ascii="Calibri Light" w:hAnsi="Calibri Light"/>
          <w:color w:val="16325C" w:themeColor="text2"/>
          <w:sz w:val="22"/>
        </w:rPr>
        <w:t xml:space="preserve">is </w:t>
      </w:r>
      <w:r w:rsidR="00614C14">
        <w:rPr>
          <w:rFonts w:ascii="Calibri Light" w:hAnsi="Calibri Light"/>
          <w:color w:val="16325C" w:themeColor="text2"/>
          <w:sz w:val="22"/>
        </w:rPr>
        <w:t xml:space="preserve">projected to </w:t>
      </w:r>
      <w:r w:rsidR="00746C2F">
        <w:rPr>
          <w:rFonts w:ascii="Calibri Light" w:hAnsi="Calibri Light"/>
          <w:color w:val="16325C" w:themeColor="text2"/>
          <w:sz w:val="22"/>
        </w:rPr>
        <w:t>continue to grow relative to</w:t>
      </w:r>
      <w:r w:rsidR="004874AE" w:rsidRPr="004874AE">
        <w:rPr>
          <w:rFonts w:ascii="Calibri Light" w:hAnsi="Calibri Light"/>
          <w:color w:val="16325C" w:themeColor="text2"/>
          <w:sz w:val="22"/>
        </w:rPr>
        <w:t xml:space="preserve"> the size of the economy</w:t>
      </w:r>
      <w:r w:rsidR="004874AE">
        <w:rPr>
          <w:rFonts w:ascii="Calibri Light" w:hAnsi="Calibri Light"/>
          <w:color w:val="16325C" w:themeColor="text2"/>
          <w:sz w:val="22"/>
        </w:rPr>
        <w:t>.</w:t>
      </w:r>
      <w:r w:rsidR="00746C2F">
        <w:rPr>
          <w:rFonts w:ascii="Calibri Light" w:hAnsi="Calibri Light"/>
          <w:color w:val="16325C" w:themeColor="text2"/>
          <w:sz w:val="22"/>
        </w:rPr>
        <w:t xml:space="preserve"> This is primarily driven by fund earnings continu</w:t>
      </w:r>
      <w:r w:rsidR="003F4E20">
        <w:rPr>
          <w:rFonts w:ascii="Calibri Light" w:hAnsi="Calibri Light"/>
          <w:color w:val="16325C" w:themeColor="text2"/>
          <w:sz w:val="22"/>
        </w:rPr>
        <w:t>ing</w:t>
      </w:r>
      <w:r w:rsidR="001E7A2A">
        <w:rPr>
          <w:rFonts w:ascii="Calibri Light" w:hAnsi="Calibri Light"/>
          <w:color w:val="16325C" w:themeColor="text2"/>
          <w:sz w:val="22"/>
        </w:rPr>
        <w:t xml:space="preserve"> to grow relative to</w:t>
      </w:r>
      <w:r w:rsidR="00B44C45">
        <w:rPr>
          <w:rFonts w:ascii="Calibri Light" w:hAnsi="Calibri Light"/>
          <w:color w:val="16325C" w:themeColor="text2"/>
          <w:sz w:val="22"/>
        </w:rPr>
        <w:t xml:space="preserve"> </w:t>
      </w:r>
      <w:r w:rsidR="00746C2F">
        <w:rPr>
          <w:rFonts w:ascii="Calibri Light" w:hAnsi="Calibri Light"/>
          <w:color w:val="16325C" w:themeColor="text2"/>
          <w:sz w:val="22"/>
        </w:rPr>
        <w:t>the size of the economy. While super</w:t>
      </w:r>
      <w:r w:rsidR="00AE2A14">
        <w:rPr>
          <w:rFonts w:ascii="Calibri Light" w:hAnsi="Calibri Light"/>
          <w:color w:val="16325C" w:themeColor="text2"/>
          <w:sz w:val="22"/>
        </w:rPr>
        <w:t>annuation</w:t>
      </w:r>
      <w:r w:rsidR="00746C2F">
        <w:rPr>
          <w:rFonts w:ascii="Calibri Light" w:hAnsi="Calibri Light"/>
          <w:color w:val="16325C" w:themeColor="text2"/>
          <w:sz w:val="22"/>
        </w:rPr>
        <w:t xml:space="preserve"> contributions</w:t>
      </w:r>
      <w:r w:rsidR="003F4E20">
        <w:rPr>
          <w:rFonts w:ascii="Calibri Light" w:hAnsi="Calibri Light"/>
          <w:color w:val="16325C" w:themeColor="text2"/>
          <w:sz w:val="22"/>
        </w:rPr>
        <w:t xml:space="preserve"> currently exceed d</w:t>
      </w:r>
      <w:r w:rsidR="00746C2F">
        <w:rPr>
          <w:rFonts w:ascii="Calibri Light" w:hAnsi="Calibri Light"/>
          <w:color w:val="16325C" w:themeColor="text2"/>
          <w:sz w:val="22"/>
        </w:rPr>
        <w:t>rawdowns, this</w:t>
      </w:r>
      <w:r w:rsidR="003F4E20">
        <w:rPr>
          <w:rFonts w:ascii="Calibri Light" w:hAnsi="Calibri Light"/>
          <w:color w:val="16325C" w:themeColor="text2"/>
          <w:sz w:val="22"/>
        </w:rPr>
        <w:t xml:space="preserve"> gap</w:t>
      </w:r>
      <w:r w:rsidR="00746C2F">
        <w:rPr>
          <w:rFonts w:ascii="Calibri Light" w:hAnsi="Calibri Light"/>
          <w:color w:val="16325C" w:themeColor="text2"/>
          <w:sz w:val="22"/>
        </w:rPr>
        <w:t xml:space="preserve"> is </w:t>
      </w:r>
      <w:r w:rsidR="003F4E20">
        <w:rPr>
          <w:rFonts w:ascii="Calibri Light" w:hAnsi="Calibri Light"/>
          <w:color w:val="16325C" w:themeColor="text2"/>
          <w:sz w:val="22"/>
        </w:rPr>
        <w:t>projected</w:t>
      </w:r>
      <w:r w:rsidR="00746C2F">
        <w:rPr>
          <w:rFonts w:ascii="Calibri Light" w:hAnsi="Calibri Light"/>
          <w:color w:val="16325C" w:themeColor="text2"/>
          <w:sz w:val="22"/>
        </w:rPr>
        <w:t xml:space="preserve"> to close in the future as more people who have benefited from a full career with compulsory superannuation move into retirement. </w:t>
      </w:r>
    </w:p>
    <w:p w14:paraId="2EABDA70" w14:textId="64DA1F26" w:rsidR="00332BA3" w:rsidRPr="004874AE" w:rsidRDefault="00332BA3" w:rsidP="00332BA3">
      <w:pPr>
        <w:rPr>
          <w:rFonts w:ascii="Calibri Light" w:hAnsi="Calibri Light"/>
          <w:color w:val="16325C" w:themeColor="text2"/>
          <w:sz w:val="22"/>
        </w:rPr>
        <w:sectPr w:rsidR="00332BA3" w:rsidRPr="004874AE" w:rsidSect="00F70A9F">
          <w:headerReference w:type="default" r:id="rId13"/>
          <w:pgSz w:w="11906" w:h="16838"/>
          <w:pgMar w:top="5670" w:right="851" w:bottom="1134" w:left="851" w:header="709" w:footer="709" w:gutter="0"/>
          <w:cols w:space="708"/>
          <w:docGrid w:linePitch="360"/>
        </w:sectPr>
      </w:pPr>
      <w:r w:rsidRPr="002F3714">
        <w:rPr>
          <w:rFonts w:ascii="Calibri Light" w:hAnsi="Calibri Light"/>
          <w:color w:val="16325C" w:themeColor="text2"/>
          <w:sz w:val="22"/>
        </w:rPr>
        <w:t xml:space="preserve">Despite an ageing population, a maturing superannuation system means Age Pension </w:t>
      </w:r>
      <w:r w:rsidR="00E87514">
        <w:rPr>
          <w:rFonts w:ascii="Calibri Light" w:hAnsi="Calibri Light"/>
          <w:color w:val="16325C" w:themeColor="text2"/>
          <w:sz w:val="22"/>
        </w:rPr>
        <w:t>expenditure</w:t>
      </w:r>
      <w:r w:rsidRPr="002F3714">
        <w:rPr>
          <w:rFonts w:ascii="Calibri Light" w:hAnsi="Calibri Light"/>
          <w:color w:val="16325C" w:themeColor="text2"/>
          <w:sz w:val="22"/>
        </w:rPr>
        <w:t xml:space="preserve"> remain</w:t>
      </w:r>
      <w:r w:rsidR="00B22146">
        <w:rPr>
          <w:rFonts w:ascii="Calibri Light" w:hAnsi="Calibri Light"/>
          <w:color w:val="16325C" w:themeColor="text2"/>
          <w:sz w:val="22"/>
        </w:rPr>
        <w:t>s</w:t>
      </w:r>
      <w:r w:rsidRPr="002F3714">
        <w:rPr>
          <w:rFonts w:ascii="Calibri Light" w:hAnsi="Calibri Light"/>
          <w:color w:val="16325C" w:themeColor="text2"/>
          <w:sz w:val="22"/>
        </w:rPr>
        <w:t xml:space="preserve"> stable over the long-term.</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bottom w:w="113" w:type="dxa"/>
        </w:tblCellMar>
        <w:tblLook w:val="04A0" w:firstRow="1" w:lastRow="0" w:firstColumn="1" w:lastColumn="0" w:noHBand="0" w:noVBand="1"/>
      </w:tblPr>
      <w:tblGrid>
        <w:gridCol w:w="1698"/>
        <w:gridCol w:w="185"/>
        <w:gridCol w:w="7473"/>
        <w:gridCol w:w="284"/>
      </w:tblGrid>
      <w:tr w:rsidR="00BF6A66" w14:paraId="5093509A" w14:textId="77777777" w:rsidTr="00195BAA">
        <w:trPr>
          <w:gridAfter w:val="1"/>
          <w:wAfter w:w="284" w:type="dxa"/>
        </w:trPr>
        <w:tc>
          <w:tcPr>
            <w:tcW w:w="1698" w:type="dxa"/>
          </w:tcPr>
          <w:p w14:paraId="48B5E7D0" w14:textId="77777777" w:rsidR="00BF6A66" w:rsidRDefault="00BF6A66" w:rsidP="001F0F83">
            <w:pPr>
              <w:pStyle w:val="Subtitle"/>
            </w:pPr>
          </w:p>
        </w:tc>
        <w:tc>
          <w:tcPr>
            <w:tcW w:w="185" w:type="dxa"/>
          </w:tcPr>
          <w:p w14:paraId="058AEF22" w14:textId="77777777" w:rsidR="00BF6A66" w:rsidRDefault="00BF6A66" w:rsidP="001F0F83">
            <w:pPr>
              <w:pStyle w:val="Heading1"/>
            </w:pPr>
          </w:p>
        </w:tc>
        <w:tc>
          <w:tcPr>
            <w:tcW w:w="7473" w:type="dxa"/>
          </w:tcPr>
          <w:p w14:paraId="3E04934A" w14:textId="3680AAD4" w:rsidR="00BF6A66" w:rsidRDefault="00BF6A66" w:rsidP="00884B69">
            <w:pPr>
              <w:pStyle w:val="Heading1"/>
              <w:spacing w:before="0"/>
            </w:pPr>
            <w:r>
              <w:t>About MARIA</w:t>
            </w:r>
            <w:r>
              <w:rPr>
                <w:rStyle w:val="FootnoteReference"/>
              </w:rPr>
              <w:footnoteReference w:id="4"/>
            </w:r>
          </w:p>
        </w:tc>
      </w:tr>
      <w:tr w:rsidR="005B2E5D" w14:paraId="4337B643" w14:textId="77777777" w:rsidTr="00195BAA">
        <w:tc>
          <w:tcPr>
            <w:tcW w:w="1698" w:type="dxa"/>
          </w:tcPr>
          <w:p w14:paraId="318F0108" w14:textId="77777777" w:rsidR="005B2E5D" w:rsidRDefault="005B2E5D" w:rsidP="001F0F83">
            <w:pPr>
              <w:pStyle w:val="Subtitle"/>
            </w:pPr>
          </w:p>
        </w:tc>
        <w:tc>
          <w:tcPr>
            <w:tcW w:w="185" w:type="dxa"/>
          </w:tcPr>
          <w:p w14:paraId="56276BB1" w14:textId="77777777" w:rsidR="005B2E5D" w:rsidRDefault="005B2E5D" w:rsidP="001F0F83">
            <w:pPr>
              <w:pStyle w:val="Heading1"/>
            </w:pPr>
          </w:p>
        </w:tc>
        <w:tc>
          <w:tcPr>
            <w:tcW w:w="7757" w:type="dxa"/>
            <w:gridSpan w:val="2"/>
          </w:tcPr>
          <w:p w14:paraId="08755E62" w14:textId="55438331" w:rsidR="00BF6A66" w:rsidRDefault="00BF6A66" w:rsidP="00BF6A66">
            <w:r>
              <w:t xml:space="preserve">The Model of Australian Retirement Incomes and Assets (MARIA) is a long-term dynamic microsimulation model of Australia’s retirement income system. It simulates the characteristics of each individual for every year </w:t>
            </w:r>
            <w:r w:rsidR="00FA60AD">
              <w:t>for which</w:t>
            </w:r>
            <w:r>
              <w:t xml:space="preserve"> the model </w:t>
            </w:r>
            <w:r w:rsidR="00FA60AD">
              <w:t xml:space="preserve">is </w:t>
            </w:r>
            <w:r>
              <w:t>run</w:t>
            </w:r>
            <w:r w:rsidR="00FA60AD">
              <w:t>,</w:t>
            </w:r>
            <w:r>
              <w:t xml:space="preserve"> based on their characteristics in the previous year. This method produces a </w:t>
            </w:r>
            <w:proofErr w:type="spellStart"/>
            <w:r>
              <w:t>lifepath</w:t>
            </w:r>
            <w:proofErr w:type="spellEnd"/>
            <w:r>
              <w:t xml:space="preserve"> for each individual and thereby seeks to capture the diversity of Australian lifetimes and how they are expected to change in the future. The dynamic aspect is crucial for modelling Australia’s retirement income system as the characteristics of future retirees are likely to differ from current retirees as the superannuation system matures. </w:t>
            </w:r>
          </w:p>
          <w:p w14:paraId="2D88F892" w14:textId="77777777" w:rsidR="00ED04D1" w:rsidRDefault="00ED04D1" w:rsidP="00BF6A66">
            <w:r>
              <w:t>There are a range of circumstances that can affect the retirement incomes of individuals. These include: their family composition including whether they have a partner; how much time they spend in the workforce and how much they get paid; how much they save for their retirement; if they own a home and the impact of disability or illness. Simulating detailed distributions of retirement income and assets in the long-term requires predicting all of these factors for each of the individuals in MARIA.</w:t>
            </w:r>
          </w:p>
          <w:p w14:paraId="7204F829" w14:textId="39BFE16E" w:rsidR="00CF0497" w:rsidRDefault="00BF6A66" w:rsidP="00BF6A66">
            <w:r>
              <w:t>MARIA begins with</w:t>
            </w:r>
            <w:r w:rsidR="00DA3A65">
              <w:t xml:space="preserve"> 2013-14</w:t>
            </w:r>
            <w:r>
              <w:t xml:space="preserve"> base data which captures the Australian population aged 25 and over at a set point in time. The model is run on a representative sample of this complete data set. MARIA then uses Treasury analysis and projections – the ‘input parameters’ – to model the </w:t>
            </w:r>
            <w:proofErr w:type="spellStart"/>
            <w:r>
              <w:t>lifepaths</w:t>
            </w:r>
            <w:proofErr w:type="spellEnd"/>
            <w:r>
              <w:t xml:space="preserve"> (including employment status, superannuation contributions and balance) of </w:t>
            </w:r>
            <w:r w:rsidR="0010161E">
              <w:t>each</w:t>
            </w:r>
            <w:r>
              <w:t xml:space="preserve"> individual for one year. The output from the model becomes the input for the following year, and so on, year by year, as individuals</w:t>
            </w:r>
            <w:r w:rsidR="00884B69">
              <w:t>’</w:t>
            </w:r>
            <w:r>
              <w:t xml:space="preserve"> age from working life to retirement and death. Each year, new records are introduced to represent new 25 year olds in the population.</w:t>
            </w:r>
            <w:r w:rsidR="003E3DC4">
              <w:t xml:space="preserve"> </w:t>
            </w:r>
            <w:r w:rsidR="00CF0497">
              <w:t>While income from work and the accumulation of superannuation is modelled in detail, at present, MARIA imputes savings outside superannuation (including home ownership) at the point of retirement based on characteristics including age, education level, work experience</w:t>
            </w:r>
            <w:r w:rsidR="00FF6C1B">
              <w:t xml:space="preserve"> </w:t>
            </w:r>
            <w:r w:rsidR="00B22146">
              <w:t>and</w:t>
            </w:r>
            <w:r w:rsidR="00CF0497">
              <w:t xml:space="preserve"> superannuation balance.</w:t>
            </w:r>
          </w:p>
          <w:p w14:paraId="0C0FE031" w14:textId="7B74F618" w:rsidR="00884B69" w:rsidRDefault="00F66CFF" w:rsidP="00884B69">
            <w:r>
              <w:t>The results from this information note are sensitive to assumptions of future economic growth, investment returns and drawdown behaviour.</w:t>
            </w:r>
          </w:p>
          <w:p w14:paraId="4C824A75" w14:textId="79BEBCD3" w:rsidR="00884B69" w:rsidRDefault="00F66CFF" w:rsidP="00884B69">
            <w:r w:rsidRPr="00884B69">
              <w:t>Economic growth over the 10 years to 2029-30 has been calibrated to the assumptions used for medium term projections at the 2019-20 Budget. MARIA’s long-run assumptions are for inflation growth of 2 ½ per cent, nominal Gross Domestic P</w:t>
            </w:r>
            <w:r w:rsidR="0016760D">
              <w:t>roduct (GDP) growth of around 5 </w:t>
            </w:r>
            <w:r w:rsidRPr="00884B69">
              <w:t>¼ per cent and wages growth of around 4 per cent</w:t>
            </w:r>
            <w:r w:rsidR="00884B69" w:rsidRPr="00884B69">
              <w:t>.</w:t>
            </w:r>
          </w:p>
          <w:p w14:paraId="4EB9C1FF" w14:textId="431E240F" w:rsidR="00235C65" w:rsidRPr="00884B69" w:rsidRDefault="00F66CFF" w:rsidP="00884B69">
            <w:r w:rsidRPr="00884B69">
              <w:t>Investment returns, fees, insurance and drawdown assumptions are based on historical data. Investment returns before fees are assumed to be 7 ½ per cent in the accumulation phase and 6 ½ per cent in the retirement phase. This reflects a shift to a more conservative investment strategy post retirement. A</w:t>
            </w:r>
            <w:r w:rsidR="00ED4215">
              <w:t>nnual fees are calculated as $74</w:t>
            </w:r>
            <w:r w:rsidRPr="00884B69">
              <w:t xml:space="preserve"> (indexed to Average Weekly Earnings (AWE)) plus 0.85 per cent of the account balance,</w:t>
            </w:r>
            <w:r w:rsidR="00ED4215">
              <w:t xml:space="preserve"> and insurance premiums are $214</w:t>
            </w:r>
            <w:r w:rsidRPr="00884B69">
              <w:t xml:space="preserve"> (indexed to AWE). Drawdowns are based on observed drawdown behaviour in historical data.</w:t>
            </w:r>
          </w:p>
          <w:p w14:paraId="7E854A11" w14:textId="6011C7B2" w:rsidR="00BF6A66" w:rsidRPr="00884B69" w:rsidRDefault="00BF6A66" w:rsidP="00884B69">
            <w:r w:rsidRPr="00884B69">
              <w:t>MARIA projects defined contribution accounts, including voluntary contributions made to these accounts, at an individual level. The model does not model superannuation funds themselves, or any assets held by funds to support defined benefits or for regulatory capital purposes.</w:t>
            </w:r>
          </w:p>
          <w:p w14:paraId="2A3851C9" w14:textId="0C03CE7A" w:rsidR="00A838A0" w:rsidRPr="00D1377F" w:rsidRDefault="00A838A0" w:rsidP="00A838A0">
            <w:r w:rsidRPr="00D1377F">
              <w:t>Modelling in MARIA is undertaken in nominal dollars. The choice of</w:t>
            </w:r>
            <w:r w:rsidR="00195BAA">
              <w:t xml:space="preserve"> the</w:t>
            </w:r>
            <w:r w:rsidRPr="00D1377F">
              <w:t xml:space="preserve"> most useful deflator to present modelling results in today’s dollars depends on the context of use. </w:t>
            </w:r>
            <w:r w:rsidR="00B351B8" w:rsidRPr="00E07587">
              <w:t>The analysis in this paper seeks</w:t>
            </w:r>
            <w:r w:rsidR="00195BAA">
              <w:t xml:space="preserve"> to</w:t>
            </w:r>
            <w:r w:rsidR="00B351B8" w:rsidRPr="00E07587">
              <w:t xml:space="preserve"> </w:t>
            </w:r>
            <w:r w:rsidR="00B351B8">
              <w:t xml:space="preserve">track the evolution of </w:t>
            </w:r>
            <w:r w:rsidR="00B351B8" w:rsidRPr="00E07587">
              <w:t>the super</w:t>
            </w:r>
            <w:r w:rsidR="00CC09CD">
              <w:t>annuation</w:t>
            </w:r>
            <w:r w:rsidR="00B351B8" w:rsidRPr="00E07587">
              <w:t xml:space="preserve"> </w:t>
            </w:r>
            <w:r w:rsidR="00B351B8">
              <w:t>system in the future relative to the size of the economy</w:t>
            </w:r>
            <w:r w:rsidR="00B351B8" w:rsidRPr="00E07587">
              <w:t>.</w:t>
            </w:r>
            <w:r w:rsidR="00B351B8">
              <w:t xml:space="preserve"> For this reason, all figures in this information note are presented relative to the size of the econom</w:t>
            </w:r>
            <w:r w:rsidR="00CC09CD">
              <w:t>y in that year, as measured by GDP.</w:t>
            </w:r>
            <w:r w:rsidR="00B351B8" w:rsidRPr="00E07587">
              <w:t> </w:t>
            </w:r>
            <w:r w:rsidR="00B351B8">
              <w:t>For other types of analysis</w:t>
            </w:r>
            <w:r w:rsidR="00B22146">
              <w:t>,</w:t>
            </w:r>
            <w:r w:rsidR="00B351B8" w:rsidRPr="009D35E8">
              <w:t xml:space="preserve"> deflating </w:t>
            </w:r>
            <w:r w:rsidR="00B351B8">
              <w:t>outcomes</w:t>
            </w:r>
            <w:r w:rsidR="00B351B8" w:rsidRPr="009D35E8">
              <w:t xml:space="preserve"> by </w:t>
            </w:r>
            <w:r w:rsidR="00B351B8">
              <w:t xml:space="preserve">AWE </w:t>
            </w:r>
            <w:r w:rsidR="00B351B8" w:rsidRPr="009D35E8">
              <w:t xml:space="preserve">or </w:t>
            </w:r>
            <w:r w:rsidR="00B351B8">
              <w:t>the CPI</w:t>
            </w:r>
            <w:r w:rsidR="00B351B8" w:rsidRPr="009D35E8">
              <w:t xml:space="preserve"> would be more </w:t>
            </w:r>
            <w:r w:rsidR="00B351B8">
              <w:t>useful</w:t>
            </w:r>
            <w:r w:rsidR="00B351B8" w:rsidRPr="009D35E8">
              <w:t xml:space="preserve">. </w:t>
            </w:r>
          </w:p>
          <w:p w14:paraId="43A8F123" w14:textId="6EDCAA17" w:rsidR="005B2E5D" w:rsidRDefault="00BF6A66" w:rsidP="00884B69">
            <w:pPr>
              <w:spacing w:after="0"/>
            </w:pPr>
            <w:r w:rsidRPr="00BA70C4">
              <w:t>All dates</w:t>
            </w:r>
            <w:r w:rsidR="00CC0D37">
              <w:t xml:space="preserve"> for MARIA output</w:t>
            </w:r>
            <w:r w:rsidRPr="00BA70C4">
              <w:t xml:space="preserve"> are financial years ending in the year state</w:t>
            </w:r>
            <w:r>
              <w:t>d, e.g. 2020 represents 2019-20.</w:t>
            </w:r>
          </w:p>
        </w:tc>
      </w:tr>
      <w:tr w:rsidR="00061BD6" w14:paraId="1C2D3914" w14:textId="77777777" w:rsidTr="00195BAA">
        <w:trPr>
          <w:gridAfter w:val="1"/>
          <w:wAfter w:w="284" w:type="dxa"/>
        </w:trPr>
        <w:tc>
          <w:tcPr>
            <w:tcW w:w="1698" w:type="dxa"/>
          </w:tcPr>
          <w:p w14:paraId="0D9ABD7B" w14:textId="0036358D" w:rsidR="00061BD6" w:rsidRDefault="00134ACA" w:rsidP="001F0F83">
            <w:pPr>
              <w:pStyle w:val="Subtitle"/>
            </w:pPr>
            <w:r>
              <w:lastRenderedPageBreak/>
              <w:br w:type="page"/>
            </w:r>
          </w:p>
        </w:tc>
        <w:tc>
          <w:tcPr>
            <w:tcW w:w="185" w:type="dxa"/>
          </w:tcPr>
          <w:p w14:paraId="0463DE58" w14:textId="77777777" w:rsidR="00061BD6" w:rsidRDefault="00061BD6" w:rsidP="001F0F83">
            <w:pPr>
              <w:pStyle w:val="Heading1"/>
            </w:pPr>
          </w:p>
        </w:tc>
        <w:tc>
          <w:tcPr>
            <w:tcW w:w="7473" w:type="dxa"/>
          </w:tcPr>
          <w:p w14:paraId="06559476" w14:textId="777858B5" w:rsidR="00061BD6" w:rsidRDefault="00C00B0D" w:rsidP="00C00B0D">
            <w:pPr>
              <w:pStyle w:val="Heading1"/>
              <w:spacing w:before="0"/>
            </w:pPr>
            <w:r>
              <w:t>The value of</w:t>
            </w:r>
            <w:r w:rsidR="00061BD6">
              <w:t xml:space="preserve"> superannuation balances is growing </w:t>
            </w:r>
            <w:r>
              <w:t>faster than the economy</w:t>
            </w:r>
          </w:p>
        </w:tc>
      </w:tr>
      <w:tr w:rsidR="00CD5B20" w14:paraId="7F6B790A" w14:textId="77777777" w:rsidTr="00195BAA">
        <w:trPr>
          <w:gridAfter w:val="1"/>
          <w:wAfter w:w="284" w:type="dxa"/>
          <w:trHeight w:val="8786"/>
        </w:trPr>
        <w:tc>
          <w:tcPr>
            <w:tcW w:w="1698" w:type="dxa"/>
          </w:tcPr>
          <w:p w14:paraId="733A34E9" w14:textId="64B65027" w:rsidR="00CD5B20" w:rsidRDefault="00C00B0D" w:rsidP="001B17A2">
            <w:pPr>
              <w:pStyle w:val="Subtitle"/>
            </w:pPr>
            <w:r>
              <w:t>Superannuation balances are expected to be valued</w:t>
            </w:r>
            <w:r w:rsidR="001B17A2">
              <w:t xml:space="preserve"> almost </w:t>
            </w:r>
            <w:r>
              <w:t>2.5 times annual GDP by 2060</w:t>
            </w:r>
          </w:p>
        </w:tc>
        <w:tc>
          <w:tcPr>
            <w:tcW w:w="185" w:type="dxa"/>
          </w:tcPr>
          <w:p w14:paraId="1B0CC99B" w14:textId="77777777" w:rsidR="00CD5B20" w:rsidRDefault="00CD5B20" w:rsidP="001F0F83">
            <w:pPr>
              <w:pStyle w:val="Heading1"/>
            </w:pPr>
          </w:p>
        </w:tc>
        <w:tc>
          <w:tcPr>
            <w:tcW w:w="7473" w:type="dxa"/>
          </w:tcPr>
          <w:p w14:paraId="0F4A498A" w14:textId="7C24117D" w:rsidR="00F44D4C" w:rsidRDefault="00015BFE" w:rsidP="002D0D67">
            <w:r>
              <w:t xml:space="preserve">MARIA </w:t>
            </w:r>
            <w:r w:rsidR="00791150">
              <w:t>aggregates</w:t>
            </w:r>
            <w:r w:rsidR="00791150" w:rsidRPr="00791150">
              <w:t xml:space="preserve"> individual account holdings for those over 25 years of age </w:t>
            </w:r>
            <w:r w:rsidR="00791150">
              <w:t>based on Australian Taxation data</w:t>
            </w:r>
            <w:r>
              <w:t xml:space="preserve"> from superannuation funds to project t</w:t>
            </w:r>
            <w:r w:rsidR="0098318C">
              <w:t xml:space="preserve">otal </w:t>
            </w:r>
            <w:r w:rsidR="000A32CE">
              <w:t>superannuation balances for defined contribution funds</w:t>
            </w:r>
            <w:r w:rsidR="00791150">
              <w:rPr>
                <w:rStyle w:val="FootnoteReference"/>
              </w:rPr>
              <w:footnoteReference w:id="5"/>
            </w:r>
            <w:r w:rsidR="0098318C">
              <w:t xml:space="preserve">. </w:t>
            </w:r>
          </w:p>
          <w:p w14:paraId="0107DD20" w14:textId="3125A5B3" w:rsidR="00015BFE" w:rsidRDefault="00822DE5">
            <w:r>
              <w:t>MARIA</w:t>
            </w:r>
            <w:r w:rsidR="00BC12CC">
              <w:t xml:space="preserve"> project</w:t>
            </w:r>
            <w:r>
              <w:t>s</w:t>
            </w:r>
            <w:r w:rsidR="001A48AF">
              <w:t xml:space="preserve"> that </w:t>
            </w:r>
            <w:r w:rsidR="006952B7">
              <w:t xml:space="preserve">total superannuation balances </w:t>
            </w:r>
            <w:r w:rsidR="00C00B0D">
              <w:t>will</w:t>
            </w:r>
            <w:r w:rsidR="001A48AF">
              <w:t xml:space="preserve"> grow</w:t>
            </w:r>
            <w:r w:rsidR="006952B7">
              <w:t xml:space="preserve"> </w:t>
            </w:r>
            <w:r w:rsidR="003B6903">
              <w:t>from around 125 per </w:t>
            </w:r>
            <w:r w:rsidR="006952B7">
              <w:t xml:space="preserve">cent of </w:t>
            </w:r>
            <w:r>
              <w:t>Gross Domestic Product (</w:t>
            </w:r>
            <w:r w:rsidR="006952B7">
              <w:t>GDP</w:t>
            </w:r>
            <w:r>
              <w:t>)</w:t>
            </w:r>
            <w:r w:rsidR="006952B7">
              <w:t xml:space="preserve"> in 2020 to nearly 245 per cent of GDP</w:t>
            </w:r>
            <w:r>
              <w:t xml:space="preserve"> in 2060</w:t>
            </w:r>
            <w:r w:rsidR="00BC12CC">
              <w:t xml:space="preserve"> (Chart 1)</w:t>
            </w:r>
            <w:r w:rsidR="00015BFE">
              <w:t>.</w:t>
            </w:r>
            <w:r w:rsidR="00217815">
              <w:t xml:space="preserve"> These projections indicate that the </w:t>
            </w:r>
            <w:r w:rsidR="001A7F66">
              <w:t>value of</w:t>
            </w:r>
            <w:r w:rsidR="00217815">
              <w:t xml:space="preserve"> superannuation </w:t>
            </w:r>
            <w:r w:rsidR="001A7F66">
              <w:t xml:space="preserve">balances will continue to </w:t>
            </w:r>
            <w:r w:rsidR="00217815">
              <w:t>grow</w:t>
            </w:r>
            <w:r w:rsidR="001A7F66">
              <w:t xml:space="preserve"> relative to</w:t>
            </w:r>
            <w:r w:rsidR="00217815">
              <w:t xml:space="preserve"> the size of the economy</w:t>
            </w:r>
            <w:r w:rsidR="001A7F66">
              <w:t xml:space="preserve"> across the entire MARIA projection period, but the rate of growth will slow over time</w:t>
            </w:r>
            <w:r w:rsidR="00217815">
              <w:t>.</w:t>
            </w:r>
          </w:p>
          <w:p w14:paraId="5BAC0C3C" w14:textId="2AFB6A4D" w:rsidR="00B61108" w:rsidRPr="00CA79A9" w:rsidRDefault="00217815">
            <w:pPr>
              <w:pStyle w:val="NormalWeb"/>
              <w:spacing w:before="0" w:beforeAutospacing="0" w:after="0" w:afterAutospacing="0"/>
              <w:rPr>
                <w:rFonts w:ascii="Calibri" w:eastAsia="Arial" w:hAnsi="Calibri"/>
                <w:bCs/>
                <w:i/>
                <w:color w:val="0074BD" w:themeColor="accent1"/>
                <w:sz w:val="20"/>
                <w:szCs w:val="20"/>
              </w:rPr>
            </w:pPr>
            <w:r w:rsidRPr="00CA79A9">
              <w:rPr>
                <w:rFonts w:ascii="Calibri" w:eastAsia="Arial" w:hAnsi="Calibri"/>
                <w:bCs/>
                <w:i/>
                <w:color w:val="0074BD" w:themeColor="accent1"/>
                <w:sz w:val="20"/>
                <w:szCs w:val="20"/>
              </w:rPr>
              <w:t xml:space="preserve">Chart 1: </w:t>
            </w:r>
            <w:r w:rsidR="000036AE" w:rsidRPr="00CA79A9">
              <w:rPr>
                <w:rFonts w:ascii="Calibri" w:eastAsia="Arial" w:hAnsi="Calibri"/>
                <w:bCs/>
                <w:i/>
                <w:color w:val="0074BD" w:themeColor="accent1"/>
                <w:sz w:val="20"/>
                <w:szCs w:val="20"/>
              </w:rPr>
              <w:t>Total value of s</w:t>
            </w:r>
            <w:r w:rsidRPr="00CA79A9">
              <w:rPr>
                <w:rFonts w:ascii="Calibri" w:eastAsia="Arial" w:hAnsi="Calibri"/>
                <w:bCs/>
                <w:i/>
                <w:color w:val="0074BD" w:themeColor="accent1"/>
                <w:sz w:val="20"/>
                <w:szCs w:val="20"/>
              </w:rPr>
              <w:t xml:space="preserve">uperannuation </w:t>
            </w:r>
            <w:r w:rsidR="000036AE" w:rsidRPr="00CA79A9">
              <w:rPr>
                <w:rFonts w:ascii="Calibri" w:eastAsia="Arial" w:hAnsi="Calibri"/>
                <w:bCs/>
                <w:i/>
                <w:color w:val="0074BD" w:themeColor="accent1"/>
                <w:sz w:val="20"/>
                <w:szCs w:val="20"/>
              </w:rPr>
              <w:t>assets</w:t>
            </w:r>
          </w:p>
          <w:p w14:paraId="5E1FB2EB" w14:textId="0435DAD1" w:rsidR="00061BD6" w:rsidRDefault="007E285D" w:rsidP="009720D9">
            <w:pPr>
              <w:pStyle w:val="Chartgraphic"/>
            </w:pPr>
            <w:r>
              <w:pict w14:anchorId="511A9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257.25pt">
                  <v:imagedata r:id="rId14" o:title=""/>
                </v:shape>
              </w:pict>
            </w:r>
          </w:p>
          <w:p w14:paraId="44623CE4" w14:textId="77777777" w:rsidR="00061BD6" w:rsidRDefault="00061BD6" w:rsidP="002D0D67"/>
          <w:p w14:paraId="0DBF4FF7" w14:textId="776EF168" w:rsidR="00061BD6" w:rsidRPr="002D0D67" w:rsidRDefault="004043ED" w:rsidP="00AE2A14">
            <w:pPr>
              <w:spacing w:after="0"/>
            </w:pPr>
            <w:r>
              <w:t>Net g</w:t>
            </w:r>
            <w:r w:rsidR="00061BD6">
              <w:t xml:space="preserve">rowth </w:t>
            </w:r>
            <w:r w:rsidR="0022540D">
              <w:t xml:space="preserve">in value </w:t>
            </w:r>
            <w:r w:rsidR="00061BD6">
              <w:t>occurs in both accumulation and retirement phase</w:t>
            </w:r>
            <w:r w:rsidR="0022540D">
              <w:t>s</w:t>
            </w:r>
            <w:r w:rsidR="00061BD6">
              <w:t>. Total accumulation phase superannuation balances</w:t>
            </w:r>
            <w:r w:rsidR="0022540D">
              <w:t xml:space="preserve"> are projected to</w:t>
            </w:r>
            <w:r w:rsidR="00061BD6">
              <w:t xml:space="preserve"> grow from around </w:t>
            </w:r>
            <w:r w:rsidR="00AE2A14">
              <w:t>100 </w:t>
            </w:r>
            <w:r w:rsidR="00061BD6">
              <w:t xml:space="preserve">per cent of GDP in 2020 to nearly 180 per cent of GDP in 2060. The </w:t>
            </w:r>
            <w:r w:rsidR="0022540D">
              <w:t>retirement</w:t>
            </w:r>
            <w:r w:rsidR="00061BD6">
              <w:t xml:space="preserve"> phase grows from</w:t>
            </w:r>
            <w:r w:rsidR="00AE2A14">
              <w:t xml:space="preserve"> below</w:t>
            </w:r>
            <w:r w:rsidR="00061BD6">
              <w:t xml:space="preserve"> </w:t>
            </w:r>
            <w:r w:rsidR="00A5350A">
              <w:t>30</w:t>
            </w:r>
            <w:r w:rsidR="00061BD6">
              <w:t xml:space="preserve"> per cent of GDP </w:t>
            </w:r>
            <w:r w:rsidR="005B28D1">
              <w:t xml:space="preserve">in 2020 </w:t>
            </w:r>
            <w:r w:rsidR="00061BD6">
              <w:t>to</w:t>
            </w:r>
            <w:r w:rsidR="00123F3A">
              <w:t xml:space="preserve"> around</w:t>
            </w:r>
            <w:r w:rsidR="00061BD6">
              <w:t xml:space="preserve"> </w:t>
            </w:r>
            <w:r w:rsidR="00123F3A">
              <w:t xml:space="preserve">65 </w:t>
            </w:r>
            <w:r w:rsidR="00061BD6">
              <w:t>per cent of GDP</w:t>
            </w:r>
            <w:r w:rsidR="00123F3A">
              <w:t xml:space="preserve"> in 2060</w:t>
            </w:r>
            <w:r w:rsidR="00061BD6">
              <w:t>.</w:t>
            </w:r>
          </w:p>
        </w:tc>
      </w:tr>
      <w:tr w:rsidR="009E5BAF" w14:paraId="5847EA07" w14:textId="77777777" w:rsidTr="00195BAA">
        <w:trPr>
          <w:gridAfter w:val="1"/>
          <w:wAfter w:w="284" w:type="dxa"/>
        </w:trPr>
        <w:tc>
          <w:tcPr>
            <w:tcW w:w="1698" w:type="dxa"/>
          </w:tcPr>
          <w:p w14:paraId="590F6B51" w14:textId="77777777" w:rsidR="00CD5B20" w:rsidRDefault="00CD5B20" w:rsidP="001F0F83">
            <w:pPr>
              <w:pStyle w:val="Subtitle"/>
            </w:pPr>
          </w:p>
        </w:tc>
        <w:tc>
          <w:tcPr>
            <w:tcW w:w="185" w:type="dxa"/>
          </w:tcPr>
          <w:p w14:paraId="3F94F7D7" w14:textId="77777777" w:rsidR="00CD5B20" w:rsidRDefault="00CD5B20" w:rsidP="00E413B6"/>
        </w:tc>
        <w:tc>
          <w:tcPr>
            <w:tcW w:w="7473" w:type="dxa"/>
          </w:tcPr>
          <w:p w14:paraId="50F4BEC8" w14:textId="6FDACA07" w:rsidR="00CD5B20" w:rsidRPr="002D0D67" w:rsidRDefault="00061BD6" w:rsidP="00D42E1B">
            <w:pPr>
              <w:pStyle w:val="Heading1"/>
            </w:pPr>
            <w:r>
              <w:t>Drivers of growth in total superannuation balances</w:t>
            </w:r>
          </w:p>
        </w:tc>
      </w:tr>
      <w:tr w:rsidR="00AD03D5" w14:paraId="617C03E0" w14:textId="77777777" w:rsidTr="00195BAA">
        <w:trPr>
          <w:gridAfter w:val="1"/>
          <w:wAfter w:w="284" w:type="dxa"/>
        </w:trPr>
        <w:tc>
          <w:tcPr>
            <w:tcW w:w="1698" w:type="dxa"/>
          </w:tcPr>
          <w:p w14:paraId="59E9F38C" w14:textId="4DD10A76" w:rsidR="00AD03D5" w:rsidRDefault="00AD03D5" w:rsidP="00C93920">
            <w:pPr>
              <w:pStyle w:val="Subtitle"/>
            </w:pPr>
            <w:r>
              <w:t>Earn</w:t>
            </w:r>
            <w:r w:rsidR="0022540D">
              <w:t>ings are</w:t>
            </w:r>
            <w:r>
              <w:t xml:space="preserve"> the key driver of growth i</w:t>
            </w:r>
            <w:r w:rsidR="004D6B10">
              <w:t>n total superannuation balances</w:t>
            </w:r>
          </w:p>
        </w:tc>
        <w:tc>
          <w:tcPr>
            <w:tcW w:w="185" w:type="dxa"/>
          </w:tcPr>
          <w:p w14:paraId="7F311600" w14:textId="77777777" w:rsidR="00AD03D5" w:rsidRDefault="00AD03D5" w:rsidP="00AD03D5">
            <w:pPr>
              <w:pStyle w:val="Heading1"/>
            </w:pPr>
          </w:p>
        </w:tc>
        <w:tc>
          <w:tcPr>
            <w:tcW w:w="7473" w:type="dxa"/>
          </w:tcPr>
          <w:p w14:paraId="66A699FA" w14:textId="5467D592" w:rsidR="00AD03D5" w:rsidRDefault="00AD03D5" w:rsidP="002D0D67">
            <w:r>
              <w:t>The change in superannuation balances can be decomposed into:</w:t>
            </w:r>
          </w:p>
          <w:p w14:paraId="1AD3E5FC" w14:textId="1BCC6BC9" w:rsidR="00AD03D5" w:rsidRPr="002D0D67" w:rsidRDefault="0094669E" w:rsidP="002D0D67">
            <w:pPr>
              <w:pStyle w:val="Bullet"/>
            </w:pPr>
            <w:r w:rsidRPr="002D0D67">
              <w:rPr>
                <w:i/>
              </w:rPr>
              <w:t>Contributions</w:t>
            </w:r>
            <w:r w:rsidR="00051A82">
              <w:t xml:space="preserve"> made to accounts, </w:t>
            </w:r>
            <w:r w:rsidR="00390AEB">
              <w:t>after any</w:t>
            </w:r>
            <w:r w:rsidR="00AD03D5">
              <w:t xml:space="preserve"> contribution taxes</w:t>
            </w:r>
            <w:r w:rsidR="00105E11">
              <w:t xml:space="preserve"> have been </w:t>
            </w:r>
            <w:r w:rsidR="00390AEB">
              <w:t>paid</w:t>
            </w:r>
            <w:r w:rsidR="00AD03D5">
              <w:t>;</w:t>
            </w:r>
            <w:r w:rsidR="004D2173">
              <w:t xml:space="preserve"> </w:t>
            </w:r>
            <w:r w:rsidR="00C76C05">
              <w:t>plus</w:t>
            </w:r>
            <w:r w:rsidR="004D2173">
              <w:t>,</w:t>
            </w:r>
          </w:p>
          <w:p w14:paraId="36CFC2A3" w14:textId="4539FC52" w:rsidR="00BF6A66" w:rsidRDefault="00C76C05" w:rsidP="002D0D67">
            <w:pPr>
              <w:pStyle w:val="Bullet"/>
            </w:pPr>
            <w:r>
              <w:rPr>
                <w:i/>
              </w:rPr>
              <w:t xml:space="preserve">Earnings </w:t>
            </w:r>
            <w:r>
              <w:t>from the invested assets, after any fees or taxes paid by the funds</w:t>
            </w:r>
            <w:r w:rsidR="00BF6A66">
              <w:t>;</w:t>
            </w:r>
            <w:r w:rsidR="004D2173">
              <w:t xml:space="preserve"> </w:t>
            </w:r>
            <w:r>
              <w:t>less</w:t>
            </w:r>
            <w:r w:rsidR="004D2173">
              <w:t>,</w:t>
            </w:r>
          </w:p>
          <w:p w14:paraId="6878421A" w14:textId="180E97AC" w:rsidR="00BF6A66" w:rsidRDefault="00C76C05" w:rsidP="00AD03D5">
            <w:pPr>
              <w:pStyle w:val="Bullet"/>
            </w:pPr>
            <w:r>
              <w:rPr>
                <w:i/>
              </w:rPr>
              <w:t>Drawdowns</w:t>
            </w:r>
            <w:r>
              <w:t xml:space="preserve"> from accounts</w:t>
            </w:r>
            <w:r w:rsidR="005A5F09">
              <w:t>,</w:t>
            </w:r>
            <w:r>
              <w:t xml:space="preserve"> through either lump sums or income streams</w:t>
            </w:r>
            <w:r w:rsidR="00597335">
              <w:t>.</w:t>
            </w:r>
          </w:p>
          <w:p w14:paraId="649CAEC7" w14:textId="3E668D03" w:rsidR="0076773B" w:rsidRPr="0076773B" w:rsidRDefault="0076773B" w:rsidP="00AD03D5">
            <w:pPr>
              <w:pStyle w:val="Bullet"/>
              <w:rPr>
                <w:i/>
              </w:rPr>
            </w:pPr>
            <w:r w:rsidRPr="0076773B">
              <w:rPr>
                <w:i/>
              </w:rPr>
              <w:t>Death benefits</w:t>
            </w:r>
            <w:r>
              <w:rPr>
                <w:i/>
              </w:rPr>
              <w:t xml:space="preserve"> </w:t>
            </w:r>
            <w:r>
              <w:t>paid to beneficiaries are not included in the following analysis.</w:t>
            </w:r>
          </w:p>
          <w:p w14:paraId="2F33B5A8" w14:textId="070F33A3" w:rsidR="00BF6A66" w:rsidRDefault="00BF6A66" w:rsidP="002D0D67">
            <w:r>
              <w:t xml:space="preserve">The </w:t>
            </w:r>
            <w:r w:rsidR="00134ACA">
              <w:t xml:space="preserve">projected </w:t>
            </w:r>
            <w:r>
              <w:t xml:space="preserve">value of these three </w:t>
            </w:r>
            <w:r w:rsidR="0094669E">
              <w:t>components</w:t>
            </w:r>
            <w:r>
              <w:t xml:space="preserve"> </w:t>
            </w:r>
            <w:r w:rsidR="00E87514">
              <w:t>is shown</w:t>
            </w:r>
            <w:r>
              <w:t xml:space="preserve"> as a prop</w:t>
            </w:r>
            <w:r w:rsidR="00134ACA">
              <w:t xml:space="preserve">ortion of </w:t>
            </w:r>
            <w:r w:rsidR="00327417">
              <w:t>GDP in</w:t>
            </w:r>
            <w:r w:rsidR="00134ACA">
              <w:t xml:space="preserve"> Chart </w:t>
            </w:r>
            <w:r w:rsidR="006B6EF0">
              <w:t>2.</w:t>
            </w:r>
          </w:p>
          <w:p w14:paraId="18076846" w14:textId="2CF644AE" w:rsidR="00AD03D5" w:rsidRPr="00CA79A9" w:rsidRDefault="00AD03D5" w:rsidP="00FF6C1B">
            <w:pPr>
              <w:pStyle w:val="NormalWeb"/>
              <w:keepNext/>
              <w:keepLines/>
              <w:spacing w:before="0" w:beforeAutospacing="0" w:after="0" w:afterAutospacing="0"/>
              <w:rPr>
                <w:i/>
                <w:color w:val="0074BD" w:themeColor="accent1"/>
                <w:sz w:val="20"/>
                <w:szCs w:val="20"/>
              </w:rPr>
            </w:pPr>
            <w:r w:rsidRPr="00CA79A9">
              <w:rPr>
                <w:rFonts w:ascii="Calibri" w:eastAsia="Arial" w:hAnsi="Calibri"/>
                <w:bCs/>
                <w:i/>
                <w:color w:val="0074BD" w:themeColor="accent1"/>
                <w:sz w:val="20"/>
                <w:szCs w:val="20"/>
              </w:rPr>
              <w:lastRenderedPageBreak/>
              <w:t xml:space="preserve">Chart 2: </w:t>
            </w:r>
            <w:r w:rsidR="00697AC5" w:rsidRPr="00CA79A9">
              <w:rPr>
                <w:rFonts w:ascii="Calibri" w:eastAsia="Arial" w:hAnsi="Calibri"/>
                <w:bCs/>
                <w:i/>
                <w:color w:val="0074BD" w:themeColor="accent1"/>
                <w:sz w:val="20"/>
                <w:szCs w:val="20"/>
              </w:rPr>
              <w:t xml:space="preserve">Flows into and out of </w:t>
            </w:r>
            <w:r w:rsidRPr="00CA79A9">
              <w:rPr>
                <w:rFonts w:ascii="Calibri" w:eastAsia="Arial" w:hAnsi="Calibri"/>
                <w:bCs/>
                <w:i/>
                <w:color w:val="0074BD" w:themeColor="accent1"/>
                <w:sz w:val="20"/>
                <w:szCs w:val="20"/>
              </w:rPr>
              <w:t xml:space="preserve">superannuation </w:t>
            </w:r>
            <w:r w:rsidR="00697AC5" w:rsidRPr="00CA79A9">
              <w:rPr>
                <w:rFonts w:ascii="Calibri" w:eastAsia="Arial" w:hAnsi="Calibri"/>
                <w:bCs/>
                <w:i/>
                <w:color w:val="0074BD" w:themeColor="accent1"/>
                <w:sz w:val="20"/>
                <w:szCs w:val="20"/>
              </w:rPr>
              <w:t>accounts</w:t>
            </w:r>
          </w:p>
          <w:p w14:paraId="6F37F3A8" w14:textId="37818062" w:rsidR="00AD03D5" w:rsidRDefault="007E285D" w:rsidP="009720D9">
            <w:pPr>
              <w:pStyle w:val="Chartgraphic"/>
            </w:pPr>
            <w:r>
              <w:pict w14:anchorId="16182649">
                <v:shape id="_x0000_i1026" type="#_x0000_t75" style="width:366pt;height:296.25pt">
                  <v:imagedata r:id="rId15" o:title=""/>
                </v:shape>
              </w:pict>
            </w:r>
          </w:p>
          <w:p w14:paraId="630DDC36" w14:textId="1D0EE737" w:rsidR="00697AC5" w:rsidRDefault="00697AC5" w:rsidP="00511320">
            <w:pPr>
              <w:spacing w:before="240"/>
            </w:pPr>
            <w:r>
              <w:t xml:space="preserve">Contributions </w:t>
            </w:r>
            <w:r w:rsidR="00092ECE">
              <w:t xml:space="preserve">are expected to </w:t>
            </w:r>
            <w:r>
              <w:t xml:space="preserve">grow </w:t>
            </w:r>
            <w:r w:rsidR="002D0D67">
              <w:t>modestly</w:t>
            </w:r>
            <w:r>
              <w:t xml:space="preserve"> relative to GDP over the 2020s as the superannuation guarantee rate is increased from 9.5 per cent to 12 per cent, but remain broadly stable as a share of the economy thereafter.</w:t>
            </w:r>
          </w:p>
          <w:p w14:paraId="2852314B" w14:textId="0855B1D0" w:rsidR="00C76C05" w:rsidRDefault="00C76C05" w:rsidP="00AD03D5">
            <w:r>
              <w:t xml:space="preserve">Earnings are already the largest of the three flows, and are projected to continue to grow as a share of GDP in the future. Historically, on average, superannuation funds have delivered earnings returns greater than growth in nominal </w:t>
            </w:r>
            <w:r w:rsidR="004B0F6E">
              <w:t>GDP</w:t>
            </w:r>
            <w:r>
              <w:t>. MARIA assumes that this will continue into the future, meaning that</w:t>
            </w:r>
            <w:r w:rsidR="00030367">
              <w:t xml:space="preserve"> </w:t>
            </w:r>
            <w:r>
              <w:t xml:space="preserve">as long as </w:t>
            </w:r>
            <w:r w:rsidR="00320D5F">
              <w:t>contributions exceed drawdowns</w:t>
            </w:r>
            <w:r>
              <w:t xml:space="preserve">, the </w:t>
            </w:r>
            <w:r w:rsidR="00030367">
              <w:t xml:space="preserve">projected </w:t>
            </w:r>
            <w:r>
              <w:t>value of super</w:t>
            </w:r>
            <w:r w:rsidR="00CC09CD">
              <w:t>annuation</w:t>
            </w:r>
            <w:r>
              <w:t xml:space="preserve"> balances will continue to grow </w:t>
            </w:r>
            <w:r w:rsidR="00320D5F">
              <w:t>relative to the size</w:t>
            </w:r>
            <w:r>
              <w:t xml:space="preserve"> of the economy. </w:t>
            </w:r>
          </w:p>
          <w:p w14:paraId="1925FD88" w14:textId="1FE4EC63" w:rsidR="00AD03D5" w:rsidRDefault="00697AC5" w:rsidP="00284620">
            <w:r>
              <w:t>Drawdowns are expected to grow from around 2 p</w:t>
            </w:r>
            <w:r w:rsidR="00FD301C">
              <w:t>er cent of GDP in 2020 to over</w:t>
            </w:r>
            <w:r>
              <w:t xml:space="preserve"> 6 per cent </w:t>
            </w:r>
            <w:r w:rsidR="00261005">
              <w:t xml:space="preserve">of GDP </w:t>
            </w:r>
            <w:r>
              <w:t xml:space="preserve">by 2060. </w:t>
            </w:r>
            <w:r w:rsidR="00284620">
              <w:t>The remainder of the information note explores the factors behind this, and the implications for Age Pension expenditure.</w:t>
            </w:r>
          </w:p>
        </w:tc>
      </w:tr>
    </w:tbl>
    <w:p w14:paraId="1B960412" w14:textId="77777777" w:rsidR="00950518" w:rsidRDefault="00950518">
      <w:r>
        <w:lastRenderedPageBreak/>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735"/>
        <w:gridCol w:w="526"/>
        <w:gridCol w:w="7412"/>
      </w:tblGrid>
      <w:tr w:rsidR="00C76C05" w14:paraId="0B884879" w14:textId="77777777" w:rsidTr="00410013">
        <w:tc>
          <w:tcPr>
            <w:tcW w:w="1735" w:type="dxa"/>
          </w:tcPr>
          <w:p w14:paraId="10769546" w14:textId="77777777" w:rsidR="00C76C05" w:rsidRDefault="00C76C05" w:rsidP="00687C19">
            <w:pPr>
              <w:pStyle w:val="Subtitle"/>
            </w:pPr>
          </w:p>
        </w:tc>
        <w:tc>
          <w:tcPr>
            <w:tcW w:w="7938" w:type="dxa"/>
            <w:gridSpan w:val="2"/>
          </w:tcPr>
          <w:p w14:paraId="30496A85" w14:textId="2EF13684" w:rsidR="00C76C05" w:rsidRDefault="0017785E" w:rsidP="0017785E">
            <w:pPr>
              <w:pStyle w:val="Heading1"/>
            </w:pPr>
            <w:r>
              <w:t>Population ageing, s</w:t>
            </w:r>
            <w:r w:rsidR="00C76C05">
              <w:t>uperannuation and the Age Pension</w:t>
            </w:r>
          </w:p>
        </w:tc>
      </w:tr>
      <w:tr w:rsidR="00203D2F" w14:paraId="6A93B483" w14:textId="77777777" w:rsidTr="00410013">
        <w:tc>
          <w:tcPr>
            <w:tcW w:w="1735" w:type="dxa"/>
          </w:tcPr>
          <w:p w14:paraId="607EB0EB" w14:textId="7F485D50" w:rsidR="001F0F83" w:rsidRDefault="00902BC3" w:rsidP="00E87514">
            <w:pPr>
              <w:pStyle w:val="Subtitle"/>
            </w:pPr>
            <w:r>
              <w:t>Despite an ageing population, a maturi</w:t>
            </w:r>
            <w:r w:rsidR="004B0F6E">
              <w:t>ng superannuation system means Age P</w:t>
            </w:r>
            <w:r>
              <w:t xml:space="preserve">ension </w:t>
            </w:r>
            <w:r w:rsidR="00E87514">
              <w:t>expenditure</w:t>
            </w:r>
            <w:r>
              <w:t xml:space="preserve"> remain</w:t>
            </w:r>
            <w:r w:rsidR="00B22146">
              <w:t>s</w:t>
            </w:r>
            <w:r>
              <w:t xml:space="preserve"> stable</w:t>
            </w:r>
          </w:p>
        </w:tc>
        <w:tc>
          <w:tcPr>
            <w:tcW w:w="7938" w:type="dxa"/>
            <w:gridSpan w:val="2"/>
          </w:tcPr>
          <w:p w14:paraId="6623C994" w14:textId="311E5F43" w:rsidR="0017785E" w:rsidRDefault="00407D99" w:rsidP="006C0099">
            <w:r>
              <w:t xml:space="preserve">Chart 3 shows that the proportion of the adult population aged 65 and over is expected to increase in the future. </w:t>
            </w:r>
            <w:r w:rsidR="00284620">
              <w:t>This explains only par</w:t>
            </w:r>
            <w:r w:rsidR="00F228C6">
              <w:t>t of the increase in drawdowns.</w:t>
            </w:r>
          </w:p>
          <w:p w14:paraId="170B2DEA" w14:textId="7E7015FD" w:rsidR="0017785E" w:rsidRPr="00CA79A9" w:rsidRDefault="0017785E" w:rsidP="0017785E">
            <w:pPr>
              <w:pStyle w:val="Chartgraphic"/>
            </w:pPr>
            <w:r w:rsidRPr="00CA79A9">
              <w:rPr>
                <w:rFonts w:eastAsia="Arial"/>
                <w:bCs/>
                <w:i/>
                <w:color w:val="0074BD" w:themeColor="accent1"/>
              </w:rPr>
              <w:t>Chart 3:</w:t>
            </w:r>
            <w:r w:rsidRPr="00CA79A9">
              <w:t xml:space="preserve"> </w:t>
            </w:r>
            <w:r w:rsidR="00C30D36" w:rsidRPr="00CA79A9">
              <w:rPr>
                <w:rFonts w:eastAsia="Arial"/>
                <w:bCs/>
                <w:i/>
                <w:color w:val="0074BD" w:themeColor="accent1"/>
              </w:rPr>
              <w:t>Population ageing and Age Pension recipients</w:t>
            </w:r>
          </w:p>
          <w:p w14:paraId="22ED18B1" w14:textId="0EC43019" w:rsidR="0017785E" w:rsidRDefault="0086460B" w:rsidP="009720D9">
            <w:pPr>
              <w:pStyle w:val="Chartgraphic"/>
            </w:pPr>
            <w:r>
              <w:rPr>
                <w:noProof/>
                <w:lang w:eastAsia="en-AU"/>
              </w:rPr>
              <w:drawing>
                <wp:inline distT="0" distB="0" distL="0" distR="0" wp14:anchorId="0AD36215" wp14:editId="429CA71F">
                  <wp:extent cx="4566285" cy="269494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6285" cy="2694940"/>
                          </a:xfrm>
                          <a:prstGeom prst="rect">
                            <a:avLst/>
                          </a:prstGeom>
                          <a:noFill/>
                        </pic:spPr>
                      </pic:pic>
                    </a:graphicData>
                  </a:graphic>
                </wp:inline>
              </w:drawing>
            </w:r>
          </w:p>
          <w:p w14:paraId="7E9199BD" w14:textId="77777777" w:rsidR="0086460B" w:rsidRDefault="0086460B" w:rsidP="00284620"/>
          <w:p w14:paraId="30B5AB48" w14:textId="01503F1B" w:rsidR="00284620" w:rsidRDefault="00284620" w:rsidP="00284620">
            <w:r>
              <w:t>The maturing of the super</w:t>
            </w:r>
            <w:r w:rsidR="00CC09CD">
              <w:t>annuation</w:t>
            </w:r>
            <w:r>
              <w:t xml:space="preserve"> system also contributes to the increase in drawdowns. Many of the current generation of retirees spent a minority</w:t>
            </w:r>
            <w:r w:rsidR="00073C7A">
              <w:t>,</w:t>
            </w:r>
            <w:r>
              <w:t xml:space="preserve"> or even none</w:t>
            </w:r>
            <w:r w:rsidR="00073C7A">
              <w:t>,</w:t>
            </w:r>
            <w:r>
              <w:t xml:space="preserve"> of their working career with today’s superannuation system in place, and will not benefit from compound earning</w:t>
            </w:r>
            <w:r w:rsidR="001713C4">
              <w:t>s</w:t>
            </w:r>
            <w:r>
              <w:t xml:space="preserve"> to the same degree as future retirees.</w:t>
            </w:r>
            <w:r w:rsidR="00286BFD">
              <w:t xml:space="preserve"> This</w:t>
            </w:r>
            <w:r w:rsidR="003E13E5">
              <w:t xml:space="preserve"> means the current generation of retirees will have lower levels of superannuation savings than future retirees.</w:t>
            </w:r>
            <w:r>
              <w:rPr>
                <w:rStyle w:val="FootnoteReference"/>
              </w:rPr>
              <w:footnoteReference w:id="6"/>
            </w:r>
            <w:r w:rsidR="003E13E5">
              <w:t xml:space="preserve"> </w:t>
            </w:r>
          </w:p>
          <w:p w14:paraId="109EF529" w14:textId="104C9E63" w:rsidR="00284620" w:rsidRDefault="00320D5F" w:rsidP="00284620">
            <w:r>
              <w:t>Th</w:t>
            </w:r>
            <w:r w:rsidR="003E13E5">
              <w:t xml:space="preserve">is, combined with the indexation of </w:t>
            </w:r>
            <w:r w:rsidR="001B17A2">
              <w:t xml:space="preserve">the </w:t>
            </w:r>
            <w:r w:rsidR="003E13E5">
              <w:t xml:space="preserve">Age </w:t>
            </w:r>
            <w:r w:rsidR="001713C4">
              <w:t>Pension income and assets</w:t>
            </w:r>
            <w:r w:rsidR="00977890">
              <w:t xml:space="preserve"> means test thresholds</w:t>
            </w:r>
            <w:r w:rsidR="001713C4">
              <w:t xml:space="preserve"> </w:t>
            </w:r>
            <w:r w:rsidR="003E13E5">
              <w:t>to inflation rather than earnings, means</w:t>
            </w:r>
            <w:r w:rsidR="00977890">
              <w:t xml:space="preserve"> most</w:t>
            </w:r>
            <w:r w:rsidR="003E13E5">
              <w:t xml:space="preserve"> future retirees </w:t>
            </w:r>
            <w:r w:rsidR="00BD3F6D">
              <w:t xml:space="preserve">are likely to </w:t>
            </w:r>
            <w:r w:rsidR="00B65F9F">
              <w:t>derive</w:t>
            </w:r>
            <w:r w:rsidR="00243C0E">
              <w:t xml:space="preserve"> a small</w:t>
            </w:r>
            <w:r w:rsidR="00977890">
              <w:t>er</w:t>
            </w:r>
            <w:r w:rsidR="00243C0E">
              <w:t xml:space="preserve"> proportion of their retirement income from </w:t>
            </w:r>
            <w:r w:rsidR="003E13E5">
              <w:t xml:space="preserve">the Age Pension than retirees at present. </w:t>
            </w:r>
          </w:p>
          <w:p w14:paraId="5C6D1756" w14:textId="21184CEC" w:rsidR="00E5012E" w:rsidRDefault="003E13E5" w:rsidP="006C0099">
            <w:r>
              <w:t>Chart 4 shows that public Age Pension expenditure is expected to remain stable relative to the size of the</w:t>
            </w:r>
            <w:r w:rsidR="00861D81">
              <w:t xml:space="preserve"> economy, with future retirees more reliant</w:t>
            </w:r>
            <w:r w:rsidR="00890471">
              <w:t xml:space="preserve"> on average</w:t>
            </w:r>
            <w:r w:rsidR="00861D81">
              <w:t xml:space="preserve"> on superannuation drawdowns to finance their retirement spending</w:t>
            </w:r>
            <w:r>
              <w:t>.</w:t>
            </w:r>
          </w:p>
          <w:p w14:paraId="6B6962FD" w14:textId="06395D23" w:rsidR="00832116" w:rsidRPr="00CA79A9" w:rsidRDefault="00381D58" w:rsidP="00FF6C1B">
            <w:pPr>
              <w:pStyle w:val="NormalWeb"/>
              <w:keepNext/>
              <w:keepLines/>
              <w:spacing w:before="0" w:beforeAutospacing="0" w:after="0" w:afterAutospacing="0"/>
              <w:rPr>
                <w:rFonts w:ascii="Calibri" w:eastAsia="Arial" w:hAnsi="Calibri"/>
                <w:bCs/>
                <w:i/>
                <w:color w:val="0074BD" w:themeColor="accent1"/>
                <w:sz w:val="20"/>
                <w:szCs w:val="20"/>
              </w:rPr>
            </w:pPr>
            <w:r w:rsidRPr="00CA79A9">
              <w:rPr>
                <w:rFonts w:ascii="Calibri" w:eastAsia="Arial" w:hAnsi="Calibri"/>
                <w:bCs/>
                <w:i/>
                <w:color w:val="0074BD" w:themeColor="accent1"/>
                <w:sz w:val="20"/>
                <w:szCs w:val="20"/>
              </w:rPr>
              <w:lastRenderedPageBreak/>
              <w:t xml:space="preserve">Chart </w:t>
            </w:r>
            <w:r w:rsidR="003E13E5" w:rsidRPr="00CA79A9">
              <w:rPr>
                <w:rFonts w:ascii="Calibri" w:eastAsia="Arial" w:hAnsi="Calibri"/>
                <w:bCs/>
                <w:i/>
                <w:color w:val="0074BD" w:themeColor="accent1"/>
                <w:sz w:val="20"/>
                <w:szCs w:val="20"/>
              </w:rPr>
              <w:t>4</w:t>
            </w:r>
            <w:r w:rsidRPr="00CA79A9">
              <w:rPr>
                <w:rFonts w:ascii="Calibri" w:eastAsia="Arial" w:hAnsi="Calibri"/>
                <w:bCs/>
                <w:i/>
                <w:color w:val="0074BD" w:themeColor="accent1"/>
                <w:sz w:val="20"/>
                <w:szCs w:val="20"/>
              </w:rPr>
              <w:t>: Superannuation drawdowns and Age Pension Expenditure</w:t>
            </w:r>
          </w:p>
          <w:p w14:paraId="5A5B6805" w14:textId="522B769F" w:rsidR="00381D58" w:rsidRDefault="007E285D" w:rsidP="009720D9">
            <w:pPr>
              <w:pStyle w:val="Chartgraphic"/>
            </w:pPr>
            <w:r>
              <w:pict w14:anchorId="0F588679">
                <v:shape id="_x0000_i1027" type="#_x0000_t75" style="width:5in;height:227.25pt">
                  <v:imagedata r:id="rId17" o:title=""/>
                </v:shape>
              </w:pict>
            </w:r>
          </w:p>
          <w:p w14:paraId="3E439C83" w14:textId="396ECDCC" w:rsidR="00D87985" w:rsidRDefault="00D87985" w:rsidP="00D87985">
            <w:pPr>
              <w:pStyle w:val="Heading1"/>
            </w:pPr>
            <w:r>
              <w:t xml:space="preserve">Summary </w:t>
            </w:r>
          </w:p>
          <w:p w14:paraId="6AD9EED6" w14:textId="77777777" w:rsidR="00F842F8" w:rsidRPr="00F842F8" w:rsidRDefault="00F842F8" w:rsidP="00F842F8"/>
          <w:p w14:paraId="5559A72D" w14:textId="37995C35" w:rsidR="007A2A07" w:rsidRDefault="00D87985" w:rsidP="00FD2F3A">
            <w:pPr>
              <w:pStyle w:val="Bullet"/>
            </w:pPr>
            <w:r>
              <w:t xml:space="preserve">MARIA provides useful insights on the evolution of the </w:t>
            </w:r>
            <w:r w:rsidR="003E729C">
              <w:t>superannuation</w:t>
            </w:r>
            <w:r w:rsidR="007C1569">
              <w:t xml:space="preserve"> system in the coming decades.</w:t>
            </w:r>
          </w:p>
          <w:p w14:paraId="78F1DE31" w14:textId="71E766A4" w:rsidR="00D87985" w:rsidRDefault="00E757D5" w:rsidP="00FD2F3A">
            <w:pPr>
              <w:pStyle w:val="Bullet"/>
            </w:pPr>
            <w:r>
              <w:t>The total value of</w:t>
            </w:r>
            <w:r w:rsidR="00337B1D">
              <w:t xml:space="preserve"> superannuation balances </w:t>
            </w:r>
            <w:r>
              <w:t>is projected to continue to grow</w:t>
            </w:r>
            <w:r w:rsidR="00337B1D">
              <w:t xml:space="preserve"> over the long-term</w:t>
            </w:r>
            <w:r w:rsidR="00283AD5">
              <w:t>.</w:t>
            </w:r>
          </w:p>
          <w:p w14:paraId="71E5EEF1" w14:textId="4EBE38A3" w:rsidR="00283AD5" w:rsidRDefault="00E757D5" w:rsidP="00FD2F3A">
            <w:pPr>
              <w:pStyle w:val="Bullet"/>
            </w:pPr>
            <w:r>
              <w:t>Superannuation contributions are expected to remain broadly steady relative to the size of the economy, while drawdowns will increase. In the long run, continued growth in the value of superannuation balances is largely predicated on investment returns continuing to exceed nominal G</w:t>
            </w:r>
            <w:r w:rsidR="007C1569">
              <w:t>DP growth.</w:t>
            </w:r>
          </w:p>
          <w:p w14:paraId="026B5475" w14:textId="5ADEFDD4" w:rsidR="00E10B45" w:rsidRPr="00E10B45" w:rsidRDefault="00337B1D" w:rsidP="00385349">
            <w:pPr>
              <w:pStyle w:val="Bullet"/>
            </w:pPr>
            <w:r>
              <w:t xml:space="preserve">MARIA projects </w:t>
            </w:r>
            <w:r w:rsidR="00055CA7">
              <w:t>that</w:t>
            </w:r>
            <w:r>
              <w:t xml:space="preserve"> Age Pension expenditure </w:t>
            </w:r>
            <w:r w:rsidR="00385349">
              <w:t>relative to the size of the economy</w:t>
            </w:r>
            <w:r w:rsidR="00055CA7">
              <w:t xml:space="preserve"> remains steady</w:t>
            </w:r>
            <w:r w:rsidR="00977890">
              <w:t>, with falling eligibility for the Age Pension offsetting an ageing population.</w:t>
            </w:r>
          </w:p>
        </w:tc>
      </w:tr>
      <w:tr w:rsidR="00381D58" w14:paraId="23647F32" w14:textId="77777777" w:rsidTr="00410013">
        <w:trPr>
          <w:gridAfter w:val="1"/>
          <w:wAfter w:w="7412" w:type="dxa"/>
        </w:trPr>
        <w:tc>
          <w:tcPr>
            <w:tcW w:w="1735" w:type="dxa"/>
          </w:tcPr>
          <w:p w14:paraId="3A7AE7A9" w14:textId="77777777" w:rsidR="00381D58" w:rsidRDefault="00381D58" w:rsidP="00C82F5A">
            <w:pPr>
              <w:pStyle w:val="Subtitle"/>
            </w:pPr>
          </w:p>
        </w:tc>
        <w:tc>
          <w:tcPr>
            <w:tcW w:w="526" w:type="dxa"/>
          </w:tcPr>
          <w:p w14:paraId="18161D08" w14:textId="77777777" w:rsidR="00381D58" w:rsidRDefault="00381D58" w:rsidP="00C82F5A">
            <w:pPr>
              <w:pStyle w:val="Heading1"/>
            </w:pPr>
          </w:p>
        </w:tc>
      </w:tr>
    </w:tbl>
    <w:p w14:paraId="3F8105A5" w14:textId="77777777" w:rsidR="00F70A9F" w:rsidRDefault="00F70A9F" w:rsidP="0091512F"/>
    <w:sectPr w:rsidR="00F70A9F" w:rsidSect="00FF6C1B">
      <w:headerReference w:type="default" r:id="rId18"/>
      <w:footerReference w:type="default" r:id="rId19"/>
      <w:pgSz w:w="11906" w:h="16838"/>
      <w:pgMar w:top="1134"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04AC0" w14:textId="77777777" w:rsidR="00C82F5A" w:rsidRDefault="00C82F5A" w:rsidP="00F70A9F">
      <w:pPr>
        <w:spacing w:after="0"/>
      </w:pPr>
      <w:r>
        <w:separator/>
      </w:r>
    </w:p>
  </w:endnote>
  <w:endnote w:type="continuationSeparator" w:id="0">
    <w:p w14:paraId="490E009D" w14:textId="77777777" w:rsidR="00C82F5A" w:rsidRDefault="00C82F5A" w:rsidP="00F70A9F">
      <w:pPr>
        <w:spacing w:after="0"/>
      </w:pPr>
      <w:r>
        <w:continuationSeparator/>
      </w:r>
    </w:p>
  </w:endnote>
  <w:endnote w:type="continuationNotice" w:id="1">
    <w:p w14:paraId="103F74B9" w14:textId="77777777" w:rsidR="009A6771" w:rsidRDefault="009A67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4A80" w:themeColor="background2"/>
      </w:rPr>
      <w:id w:val="634907805"/>
      <w:docPartObj>
        <w:docPartGallery w:val="Page Numbers (Bottom of Page)"/>
        <w:docPartUnique/>
      </w:docPartObj>
    </w:sdtPr>
    <w:sdtEndPr>
      <w:rPr>
        <w:noProof/>
      </w:rPr>
    </w:sdtEndPr>
    <w:sdtContent>
      <w:p w14:paraId="4DE76166" w14:textId="78E21678" w:rsidR="00C82F5A" w:rsidRPr="0005790B" w:rsidRDefault="00C82F5A">
        <w:pPr>
          <w:pStyle w:val="Footer"/>
          <w:jc w:val="right"/>
          <w:rPr>
            <w:color w:val="004A80" w:themeColor="background2"/>
          </w:rPr>
        </w:pPr>
        <w:r w:rsidRPr="0005790B">
          <w:rPr>
            <w:color w:val="004A80" w:themeColor="background2"/>
          </w:rPr>
          <w:fldChar w:fldCharType="begin"/>
        </w:r>
        <w:r w:rsidRPr="0005790B">
          <w:rPr>
            <w:color w:val="004A80" w:themeColor="background2"/>
          </w:rPr>
          <w:instrText xml:space="preserve"> PAGE   \* MERGEFORMAT </w:instrText>
        </w:r>
        <w:r w:rsidRPr="0005790B">
          <w:rPr>
            <w:color w:val="004A80" w:themeColor="background2"/>
          </w:rPr>
          <w:fldChar w:fldCharType="separate"/>
        </w:r>
        <w:r w:rsidR="007E285D">
          <w:rPr>
            <w:noProof/>
            <w:color w:val="004A80" w:themeColor="background2"/>
          </w:rPr>
          <w:t>5</w:t>
        </w:r>
        <w:r w:rsidRPr="0005790B">
          <w:rPr>
            <w:noProof/>
            <w:color w:val="004A80" w:themeColor="background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45D84" w14:textId="77777777" w:rsidR="00C82F5A" w:rsidRDefault="00C82F5A" w:rsidP="00F70A9F">
      <w:pPr>
        <w:spacing w:after="0"/>
      </w:pPr>
      <w:r>
        <w:separator/>
      </w:r>
    </w:p>
  </w:footnote>
  <w:footnote w:type="continuationSeparator" w:id="0">
    <w:p w14:paraId="7E207BF0" w14:textId="77777777" w:rsidR="00C82F5A" w:rsidRDefault="00C82F5A" w:rsidP="00F70A9F">
      <w:pPr>
        <w:spacing w:after="0"/>
      </w:pPr>
      <w:r>
        <w:continuationSeparator/>
      </w:r>
    </w:p>
  </w:footnote>
  <w:footnote w:type="continuationNotice" w:id="1">
    <w:p w14:paraId="42B2BBF0" w14:textId="77777777" w:rsidR="009A6771" w:rsidRDefault="009A6771">
      <w:pPr>
        <w:spacing w:after="0"/>
      </w:pPr>
    </w:p>
  </w:footnote>
  <w:footnote w:id="2">
    <w:p w14:paraId="33A51DB0" w14:textId="50EAB835" w:rsidR="00C82F5A" w:rsidRDefault="00C82F5A" w:rsidP="00C26C6A">
      <w:pPr>
        <w:pStyle w:val="Footnote"/>
      </w:pPr>
      <w:r>
        <w:rPr>
          <w:rStyle w:val="FootnoteReference"/>
        </w:rPr>
        <w:footnoteRef/>
      </w:r>
      <w:r>
        <w:t xml:space="preserve"> </w:t>
      </w:r>
      <w:r>
        <w:tab/>
      </w:r>
      <w:r w:rsidRPr="00FF42E0">
        <w:t>The views expressed in this note are those of The Treasury and do not necessarily reflect those of the Australian Government.</w:t>
      </w:r>
      <w:r>
        <w:t xml:space="preserve"> This note was prepared by Jacob Stone, Mark Bott</w:t>
      </w:r>
      <w:r w:rsidR="00E364C6">
        <w:t>, Katarina Trinh, Elliot Lavers</w:t>
      </w:r>
      <w:r>
        <w:t xml:space="preserve"> and Jarek Kowcza in Revenue Group.</w:t>
      </w:r>
    </w:p>
  </w:footnote>
  <w:footnote w:id="3">
    <w:p w14:paraId="14098C7B" w14:textId="77777777" w:rsidR="00195BAA" w:rsidRDefault="00195BAA" w:rsidP="00195BAA">
      <w:pPr>
        <w:pStyle w:val="FootnoteText"/>
      </w:pPr>
      <w:r>
        <w:rPr>
          <w:rStyle w:val="FootnoteReference"/>
        </w:rPr>
        <w:footnoteRef/>
      </w:r>
      <w:r>
        <w:t xml:space="preserve">    </w:t>
      </w:r>
      <w:r w:rsidRPr="006866D3">
        <w:rPr>
          <w:sz w:val="18"/>
        </w:rPr>
        <w:t xml:space="preserve">MARIA simulates a range of life events each year for each individual in the model to project people’s income and assets in retirement. </w:t>
      </w:r>
    </w:p>
  </w:footnote>
  <w:footnote w:id="4">
    <w:p w14:paraId="264C6A80" w14:textId="77777777" w:rsidR="00C82F5A" w:rsidRDefault="00C82F5A" w:rsidP="00BF6A66">
      <w:pPr>
        <w:pStyle w:val="Footnote"/>
      </w:pPr>
      <w:r>
        <w:rPr>
          <w:rStyle w:val="FootnoteReference"/>
        </w:rPr>
        <w:footnoteRef/>
      </w:r>
      <w:r>
        <w:t xml:space="preserve"> </w:t>
      </w:r>
      <w:r>
        <w:tab/>
        <w:t xml:space="preserve">For more detail on the modelling methodology used in MARIA, see </w:t>
      </w:r>
      <w:hyperlink r:id="rId1" w:history="1">
        <w:r w:rsidRPr="000C3190">
          <w:rPr>
            <w:rStyle w:val="Hyperlink"/>
          </w:rPr>
          <w:t>http://research.treasury.gov.au/treasury-working-paper/2017-02/</w:t>
        </w:r>
      </w:hyperlink>
      <w:r>
        <w:t xml:space="preserve">. </w:t>
      </w:r>
    </w:p>
  </w:footnote>
  <w:footnote w:id="5">
    <w:p w14:paraId="5313CCD7" w14:textId="2635A618" w:rsidR="00C82F5A" w:rsidRDefault="00C82F5A">
      <w:pPr>
        <w:pStyle w:val="FootnoteText"/>
      </w:pPr>
      <w:r>
        <w:rPr>
          <w:rStyle w:val="FootnoteReference"/>
        </w:rPr>
        <w:footnoteRef/>
      </w:r>
      <w:r>
        <w:t xml:space="preserve"> </w:t>
      </w:r>
      <w:r w:rsidRPr="005A5F09">
        <w:rPr>
          <w:sz w:val="18"/>
        </w:rPr>
        <w:t>MARIA does not capture defined benefits, regulatory capital and life office statutory funds. For this reason, the estimates are not comparable to estimates of total superannuation funds under management produced by the Australian Prudential Regulation Authority (APRA).</w:t>
      </w:r>
    </w:p>
  </w:footnote>
  <w:footnote w:id="6">
    <w:p w14:paraId="2ABE01AC" w14:textId="1E1821D2" w:rsidR="00C82F5A" w:rsidRPr="00FF6C1B" w:rsidRDefault="00C82F5A" w:rsidP="00284620">
      <w:pPr>
        <w:pStyle w:val="FootnoteText"/>
      </w:pPr>
      <w:r>
        <w:rPr>
          <w:rStyle w:val="FootnoteReference"/>
        </w:rPr>
        <w:footnoteRef/>
      </w:r>
      <w:r w:rsidR="001B17A2">
        <w:t xml:space="preserve"> </w:t>
      </w:r>
      <w:r w:rsidR="001B17A2" w:rsidRPr="00FF6C1B">
        <w:rPr>
          <w:sz w:val="18"/>
        </w:rPr>
        <w:t>G</w:t>
      </w:r>
      <w:r w:rsidRPr="00FF6C1B">
        <w:rPr>
          <w:sz w:val="18"/>
        </w:rPr>
        <w:t xml:space="preserve">rowth in </w:t>
      </w:r>
      <w:r w:rsidR="001B17A2" w:rsidRPr="00FF6C1B">
        <w:rPr>
          <w:sz w:val="18"/>
        </w:rPr>
        <w:t xml:space="preserve">lifetime </w:t>
      </w:r>
      <w:r w:rsidRPr="00FF6C1B">
        <w:rPr>
          <w:sz w:val="18"/>
        </w:rPr>
        <w:t xml:space="preserve">superannuation balances </w:t>
      </w:r>
      <w:r w:rsidR="001B17A2" w:rsidRPr="00FF6C1B">
        <w:rPr>
          <w:sz w:val="18"/>
        </w:rPr>
        <w:t xml:space="preserve">and </w:t>
      </w:r>
      <w:r w:rsidRPr="00FF6C1B">
        <w:rPr>
          <w:sz w:val="18"/>
        </w:rPr>
        <w:t xml:space="preserve">at retirement is explored in </w:t>
      </w:r>
      <w:r w:rsidR="00FF6C1B" w:rsidRPr="00FF6C1B">
        <w:rPr>
          <w:sz w:val="18"/>
        </w:rPr>
        <w:t>the Information Note</w:t>
      </w:r>
      <w:r w:rsidR="00FF6C1B">
        <w:rPr>
          <w:sz w:val="18"/>
        </w:rPr>
        <w:t>s</w:t>
      </w:r>
      <w:r w:rsidR="00FF6C1B" w:rsidRPr="00FF6C1B">
        <w:rPr>
          <w:sz w:val="18"/>
        </w:rPr>
        <w:t xml:space="preserve">: ‘Superannuation balances at retirement’ </w:t>
      </w:r>
      <w:hyperlink r:id="rId2" w:history="1">
        <w:r w:rsidR="00FF6C1B" w:rsidRPr="009327BC">
          <w:rPr>
            <w:rStyle w:val="Hyperlink"/>
            <w:sz w:val="18"/>
          </w:rPr>
          <w:t>http://research.treasury.gov.au/treasurys-two-cents/superannuation-balances-retirement</w:t>
        </w:r>
      </w:hyperlink>
      <w:r w:rsidR="00FF6C1B">
        <w:rPr>
          <w:sz w:val="18"/>
        </w:rPr>
        <w:t xml:space="preserve"> and ‘</w:t>
      </w:r>
      <w:r w:rsidR="00FF6C1B">
        <w:rPr>
          <w:i/>
          <w:sz w:val="18"/>
        </w:rPr>
        <w:t>Accumulation of superannuation across a lifetime</w:t>
      </w:r>
      <w:r w:rsidR="00FF6C1B">
        <w:rPr>
          <w:sz w:val="18"/>
        </w:rPr>
        <w:t xml:space="preserve">’ </w:t>
      </w:r>
      <w:hyperlink r:id="rId3" w:history="1">
        <w:r w:rsidR="00FF6C1B" w:rsidRPr="00FF6C1B">
          <w:rPr>
            <w:rStyle w:val="Hyperlink"/>
            <w:sz w:val="18"/>
          </w:rPr>
          <w:t>http://research.treasury.gov.au/treasurys-two-cents/accumulation-superannuation-across-lifetime</w:t>
        </w:r>
      </w:hyperlink>
      <w:r w:rsidR="00FF6C1B">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C997" w14:textId="77777777" w:rsidR="00332BA3" w:rsidRDefault="00332BA3">
    <w:pPr>
      <w:pStyle w:val="Header"/>
    </w:pPr>
    <w:r>
      <w:rPr>
        <w:noProof/>
        <w:lang w:eastAsia="en-AU"/>
      </w:rPr>
      <w:drawing>
        <wp:anchor distT="0" distB="0" distL="114300" distR="114300" simplePos="0" relativeHeight="251660288" behindDoc="1" locked="0" layoutInCell="1" allowOverlap="1" wp14:anchorId="5C52B1D5" wp14:editId="6B7D1CA1">
          <wp:simplePos x="543464" y="448574"/>
          <wp:positionH relativeFrom="page">
            <wp:align>center</wp:align>
          </wp:positionH>
          <wp:positionV relativeFrom="page">
            <wp:posOffset>180340</wp:posOffset>
          </wp:positionV>
          <wp:extent cx="7199280" cy="99972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28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F831" w14:textId="1F2CBE27" w:rsidR="00C82F5A" w:rsidRPr="0005790B" w:rsidRDefault="00C82F5A">
    <w:pPr>
      <w:pStyle w:val="Header"/>
      <w:rPr>
        <w:color w:val="004A80" w:themeColor="background2"/>
      </w:rPr>
    </w:pPr>
    <w:r w:rsidRPr="0005790B">
      <w:rPr>
        <w:color w:val="004A80" w:themeColor="background2"/>
      </w:rPr>
      <w:t xml:space="preserve">INFORMATION NOTE </w:t>
    </w:r>
    <w:r w:rsidRPr="0005790B">
      <w:rPr>
        <w:color w:val="004A80" w:themeColor="background2"/>
      </w:rPr>
      <w:fldChar w:fldCharType="begin"/>
    </w:r>
    <w:r w:rsidRPr="0005790B">
      <w:rPr>
        <w:color w:val="004A80" w:themeColor="background2"/>
      </w:rPr>
      <w:instrText xml:space="preserve"> STYLEREF  "Cover title"  \* MERGEFORMAT </w:instrText>
    </w:r>
    <w:r w:rsidRPr="0005790B">
      <w:rPr>
        <w:color w:val="004A80" w:themeColor="background2"/>
      </w:rPr>
      <w:fldChar w:fldCharType="separate"/>
    </w:r>
    <w:r w:rsidR="007E285D">
      <w:rPr>
        <w:noProof/>
        <w:color w:val="004A80" w:themeColor="background2"/>
      </w:rPr>
      <w:t>The superannuation system in aggregate</w:t>
    </w:r>
    <w:r w:rsidRPr="0005790B">
      <w:rPr>
        <w:color w:val="004A80" w:themeColor="background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060A"/>
    <w:multiLevelType w:val="hybridMultilevel"/>
    <w:tmpl w:val="EAD473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76437F"/>
    <w:multiLevelType w:val="multilevel"/>
    <w:tmpl w:val="C9FE932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6B87789"/>
    <w:multiLevelType w:val="multilevel"/>
    <w:tmpl w:val="253004AC"/>
    <w:name w:val="StandardNumberedList"/>
    <w:lvl w:ilvl="0">
      <w:start w:val="1"/>
      <w:numFmt w:val="decimal"/>
      <w:pStyle w:val="OutlineNumbered1"/>
      <w:lvlText w:val="%1."/>
      <w:lvlJc w:val="left"/>
      <w:pPr>
        <w:tabs>
          <w:tab w:val="num" w:pos="496"/>
        </w:tabs>
        <w:ind w:left="496" w:hanging="496"/>
      </w:pPr>
    </w:lvl>
    <w:lvl w:ilvl="1">
      <w:start w:val="1"/>
      <w:numFmt w:val="decimal"/>
      <w:pStyle w:val="OutlineNumbered2"/>
      <w:lvlText w:val="%1.%2."/>
      <w:lvlJc w:val="left"/>
      <w:pPr>
        <w:tabs>
          <w:tab w:val="num" w:pos="992"/>
        </w:tabs>
        <w:ind w:left="992" w:hanging="496"/>
      </w:pPr>
    </w:lvl>
    <w:lvl w:ilvl="2">
      <w:start w:val="1"/>
      <w:numFmt w:val="decimal"/>
      <w:pStyle w:val="OutlineNumbered3"/>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1E43E8"/>
    <w:multiLevelType w:val="multilevel"/>
    <w:tmpl w:val="F754EF76"/>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DF"/>
    <w:rsid w:val="000036AE"/>
    <w:rsid w:val="00012083"/>
    <w:rsid w:val="00015BFE"/>
    <w:rsid w:val="00020407"/>
    <w:rsid w:val="00021968"/>
    <w:rsid w:val="00023264"/>
    <w:rsid w:val="00023B9C"/>
    <w:rsid w:val="000277B8"/>
    <w:rsid w:val="00030367"/>
    <w:rsid w:val="00036007"/>
    <w:rsid w:val="00041CBB"/>
    <w:rsid w:val="000421F9"/>
    <w:rsid w:val="00042927"/>
    <w:rsid w:val="00051A82"/>
    <w:rsid w:val="00054878"/>
    <w:rsid w:val="00055CA7"/>
    <w:rsid w:val="0005790B"/>
    <w:rsid w:val="00061BD6"/>
    <w:rsid w:val="00073C7A"/>
    <w:rsid w:val="00075C8A"/>
    <w:rsid w:val="00083076"/>
    <w:rsid w:val="00085904"/>
    <w:rsid w:val="00092ECE"/>
    <w:rsid w:val="00097CEF"/>
    <w:rsid w:val="000A32CE"/>
    <w:rsid w:val="000A58C9"/>
    <w:rsid w:val="000B26C1"/>
    <w:rsid w:val="000B6BE5"/>
    <w:rsid w:val="000C759C"/>
    <w:rsid w:val="000D1557"/>
    <w:rsid w:val="0010161E"/>
    <w:rsid w:val="0010175F"/>
    <w:rsid w:val="0010594C"/>
    <w:rsid w:val="00105E11"/>
    <w:rsid w:val="00123F3A"/>
    <w:rsid w:val="00134ACA"/>
    <w:rsid w:val="001461BE"/>
    <w:rsid w:val="00163864"/>
    <w:rsid w:val="0016760D"/>
    <w:rsid w:val="00167DEF"/>
    <w:rsid w:val="001713C4"/>
    <w:rsid w:val="0017785E"/>
    <w:rsid w:val="00177EF1"/>
    <w:rsid w:val="00182793"/>
    <w:rsid w:val="001950BA"/>
    <w:rsid w:val="00195BAA"/>
    <w:rsid w:val="001A03E3"/>
    <w:rsid w:val="001A45FD"/>
    <w:rsid w:val="001A48AF"/>
    <w:rsid w:val="001A7F66"/>
    <w:rsid w:val="001B17A2"/>
    <w:rsid w:val="001C05AE"/>
    <w:rsid w:val="001C31F0"/>
    <w:rsid w:val="001E3158"/>
    <w:rsid w:val="001E7A2A"/>
    <w:rsid w:val="001F0F83"/>
    <w:rsid w:val="00203D2F"/>
    <w:rsid w:val="002073C2"/>
    <w:rsid w:val="00215558"/>
    <w:rsid w:val="00217815"/>
    <w:rsid w:val="00223CE7"/>
    <w:rsid w:val="0022540D"/>
    <w:rsid w:val="00235C65"/>
    <w:rsid w:val="00235E2A"/>
    <w:rsid w:val="002422D3"/>
    <w:rsid w:val="00243566"/>
    <w:rsid w:val="00243C0E"/>
    <w:rsid w:val="00255908"/>
    <w:rsid w:val="002563EE"/>
    <w:rsid w:val="00257DD5"/>
    <w:rsid w:val="00261005"/>
    <w:rsid w:val="00262400"/>
    <w:rsid w:val="002654B3"/>
    <w:rsid w:val="00272657"/>
    <w:rsid w:val="002728EF"/>
    <w:rsid w:val="00283AD5"/>
    <w:rsid w:val="00284620"/>
    <w:rsid w:val="00286BFD"/>
    <w:rsid w:val="00291E80"/>
    <w:rsid w:val="002C3E53"/>
    <w:rsid w:val="002D0D67"/>
    <w:rsid w:val="002E05E9"/>
    <w:rsid w:val="002F6ABC"/>
    <w:rsid w:val="00311821"/>
    <w:rsid w:val="00317418"/>
    <w:rsid w:val="00320D5F"/>
    <w:rsid w:val="00327417"/>
    <w:rsid w:val="0033110B"/>
    <w:rsid w:val="00332BA3"/>
    <w:rsid w:val="00337B1D"/>
    <w:rsid w:val="003409B9"/>
    <w:rsid w:val="00340EAA"/>
    <w:rsid w:val="0034530A"/>
    <w:rsid w:val="00346E0A"/>
    <w:rsid w:val="00353DC5"/>
    <w:rsid w:val="00363266"/>
    <w:rsid w:val="003648A4"/>
    <w:rsid w:val="00381D58"/>
    <w:rsid w:val="00385349"/>
    <w:rsid w:val="003858C6"/>
    <w:rsid w:val="00390AEB"/>
    <w:rsid w:val="00396657"/>
    <w:rsid w:val="003B6903"/>
    <w:rsid w:val="003B72B9"/>
    <w:rsid w:val="003C6341"/>
    <w:rsid w:val="003C7928"/>
    <w:rsid w:val="003C7C4F"/>
    <w:rsid w:val="003D03A6"/>
    <w:rsid w:val="003D0959"/>
    <w:rsid w:val="003D50A3"/>
    <w:rsid w:val="003E13E5"/>
    <w:rsid w:val="003E3DC4"/>
    <w:rsid w:val="003E729C"/>
    <w:rsid w:val="003F4E20"/>
    <w:rsid w:val="003F568E"/>
    <w:rsid w:val="004043ED"/>
    <w:rsid w:val="0040581B"/>
    <w:rsid w:val="00406E83"/>
    <w:rsid w:val="00407D99"/>
    <w:rsid w:val="00410013"/>
    <w:rsid w:val="00413C47"/>
    <w:rsid w:val="00421508"/>
    <w:rsid w:val="004225C8"/>
    <w:rsid w:val="00430E16"/>
    <w:rsid w:val="00431326"/>
    <w:rsid w:val="00442596"/>
    <w:rsid w:val="00443F8F"/>
    <w:rsid w:val="00446FDD"/>
    <w:rsid w:val="00462248"/>
    <w:rsid w:val="004638D0"/>
    <w:rsid w:val="00467751"/>
    <w:rsid w:val="00484DA1"/>
    <w:rsid w:val="00485FD1"/>
    <w:rsid w:val="004874AE"/>
    <w:rsid w:val="0049368F"/>
    <w:rsid w:val="004B0F6E"/>
    <w:rsid w:val="004D2173"/>
    <w:rsid w:val="004D2598"/>
    <w:rsid w:val="004D6B10"/>
    <w:rsid w:val="004E024E"/>
    <w:rsid w:val="004E7939"/>
    <w:rsid w:val="004F0254"/>
    <w:rsid w:val="00511320"/>
    <w:rsid w:val="005166A4"/>
    <w:rsid w:val="00516BE0"/>
    <w:rsid w:val="0052527F"/>
    <w:rsid w:val="005323EC"/>
    <w:rsid w:val="00533CE6"/>
    <w:rsid w:val="00536874"/>
    <w:rsid w:val="00546844"/>
    <w:rsid w:val="00552DE9"/>
    <w:rsid w:val="00560945"/>
    <w:rsid w:val="00565DBF"/>
    <w:rsid w:val="00571F47"/>
    <w:rsid w:val="005826CC"/>
    <w:rsid w:val="00586C06"/>
    <w:rsid w:val="0059064A"/>
    <w:rsid w:val="00592FFD"/>
    <w:rsid w:val="00597335"/>
    <w:rsid w:val="005A2E4C"/>
    <w:rsid w:val="005A3587"/>
    <w:rsid w:val="005A5F09"/>
    <w:rsid w:val="005B0988"/>
    <w:rsid w:val="005B1FDE"/>
    <w:rsid w:val="005B28D1"/>
    <w:rsid w:val="005B2E5D"/>
    <w:rsid w:val="005C3D04"/>
    <w:rsid w:val="005E5CDB"/>
    <w:rsid w:val="005F378D"/>
    <w:rsid w:val="005F50A2"/>
    <w:rsid w:val="00602C19"/>
    <w:rsid w:val="00603376"/>
    <w:rsid w:val="00614C14"/>
    <w:rsid w:val="00620C88"/>
    <w:rsid w:val="0064401C"/>
    <w:rsid w:val="00650BF4"/>
    <w:rsid w:val="00651052"/>
    <w:rsid w:val="0066047A"/>
    <w:rsid w:val="0068045E"/>
    <w:rsid w:val="00684107"/>
    <w:rsid w:val="0068571E"/>
    <w:rsid w:val="00687C19"/>
    <w:rsid w:val="0069181E"/>
    <w:rsid w:val="006952B7"/>
    <w:rsid w:val="00697AC5"/>
    <w:rsid w:val="006A0ADD"/>
    <w:rsid w:val="006A2275"/>
    <w:rsid w:val="006B6EF0"/>
    <w:rsid w:val="006C0099"/>
    <w:rsid w:val="006C5E56"/>
    <w:rsid w:val="006D1B42"/>
    <w:rsid w:val="006D41F0"/>
    <w:rsid w:val="006D6841"/>
    <w:rsid w:val="006F15B8"/>
    <w:rsid w:val="006F4C33"/>
    <w:rsid w:val="00724133"/>
    <w:rsid w:val="007348E6"/>
    <w:rsid w:val="007371D2"/>
    <w:rsid w:val="00742BB1"/>
    <w:rsid w:val="00746C2F"/>
    <w:rsid w:val="00761771"/>
    <w:rsid w:val="007645B2"/>
    <w:rsid w:val="0076773B"/>
    <w:rsid w:val="007759E4"/>
    <w:rsid w:val="007855C6"/>
    <w:rsid w:val="007869E3"/>
    <w:rsid w:val="00791150"/>
    <w:rsid w:val="00795BCE"/>
    <w:rsid w:val="0079704D"/>
    <w:rsid w:val="00797295"/>
    <w:rsid w:val="00797454"/>
    <w:rsid w:val="0079780E"/>
    <w:rsid w:val="007A2A07"/>
    <w:rsid w:val="007C0A16"/>
    <w:rsid w:val="007C1569"/>
    <w:rsid w:val="007D0AEB"/>
    <w:rsid w:val="007D53AD"/>
    <w:rsid w:val="007D7AD8"/>
    <w:rsid w:val="007E285D"/>
    <w:rsid w:val="007E651C"/>
    <w:rsid w:val="007F06F6"/>
    <w:rsid w:val="007F2052"/>
    <w:rsid w:val="007F7E71"/>
    <w:rsid w:val="00800318"/>
    <w:rsid w:val="00804B3B"/>
    <w:rsid w:val="0081168D"/>
    <w:rsid w:val="008139E9"/>
    <w:rsid w:val="00822DE5"/>
    <w:rsid w:val="00827469"/>
    <w:rsid w:val="00832116"/>
    <w:rsid w:val="00832A32"/>
    <w:rsid w:val="00836914"/>
    <w:rsid w:val="00842563"/>
    <w:rsid w:val="00851E85"/>
    <w:rsid w:val="00852269"/>
    <w:rsid w:val="00861A9B"/>
    <w:rsid w:val="00861D81"/>
    <w:rsid w:val="00863054"/>
    <w:rsid w:val="0086460B"/>
    <w:rsid w:val="00864C27"/>
    <w:rsid w:val="00874D2B"/>
    <w:rsid w:val="00876DEB"/>
    <w:rsid w:val="00880600"/>
    <w:rsid w:val="00884B69"/>
    <w:rsid w:val="00885202"/>
    <w:rsid w:val="00885BEB"/>
    <w:rsid w:val="00890471"/>
    <w:rsid w:val="008925D6"/>
    <w:rsid w:val="00895159"/>
    <w:rsid w:val="008A39C4"/>
    <w:rsid w:val="008C6F10"/>
    <w:rsid w:val="008D320E"/>
    <w:rsid w:val="008D5026"/>
    <w:rsid w:val="008D7FD0"/>
    <w:rsid w:val="008E5173"/>
    <w:rsid w:val="008E73F9"/>
    <w:rsid w:val="008F2487"/>
    <w:rsid w:val="008F3963"/>
    <w:rsid w:val="00902BC3"/>
    <w:rsid w:val="00903E63"/>
    <w:rsid w:val="0090630D"/>
    <w:rsid w:val="009142D6"/>
    <w:rsid w:val="0091512F"/>
    <w:rsid w:val="00915724"/>
    <w:rsid w:val="00923997"/>
    <w:rsid w:val="009266D9"/>
    <w:rsid w:val="00942369"/>
    <w:rsid w:val="0094669E"/>
    <w:rsid w:val="00950518"/>
    <w:rsid w:val="00951775"/>
    <w:rsid w:val="00955C3F"/>
    <w:rsid w:val="0096430D"/>
    <w:rsid w:val="0097081E"/>
    <w:rsid w:val="009720D9"/>
    <w:rsid w:val="00977890"/>
    <w:rsid w:val="0098318C"/>
    <w:rsid w:val="00983627"/>
    <w:rsid w:val="00983895"/>
    <w:rsid w:val="00984FE5"/>
    <w:rsid w:val="00995C86"/>
    <w:rsid w:val="00996394"/>
    <w:rsid w:val="009A6771"/>
    <w:rsid w:val="009B340A"/>
    <w:rsid w:val="009B3977"/>
    <w:rsid w:val="009B50DD"/>
    <w:rsid w:val="009C6F2E"/>
    <w:rsid w:val="009D0FB3"/>
    <w:rsid w:val="009E2FAE"/>
    <w:rsid w:val="009E5709"/>
    <w:rsid w:val="009E5BAF"/>
    <w:rsid w:val="009F5015"/>
    <w:rsid w:val="009F5FFD"/>
    <w:rsid w:val="009F7D10"/>
    <w:rsid w:val="00A13FF8"/>
    <w:rsid w:val="00A220ED"/>
    <w:rsid w:val="00A25D0D"/>
    <w:rsid w:val="00A43CD1"/>
    <w:rsid w:val="00A451CC"/>
    <w:rsid w:val="00A45ABE"/>
    <w:rsid w:val="00A50A93"/>
    <w:rsid w:val="00A5350A"/>
    <w:rsid w:val="00A53561"/>
    <w:rsid w:val="00A62F1A"/>
    <w:rsid w:val="00A66222"/>
    <w:rsid w:val="00A709D3"/>
    <w:rsid w:val="00A72EE9"/>
    <w:rsid w:val="00A838A0"/>
    <w:rsid w:val="00A83B80"/>
    <w:rsid w:val="00A87196"/>
    <w:rsid w:val="00A96C15"/>
    <w:rsid w:val="00AA1950"/>
    <w:rsid w:val="00AA321D"/>
    <w:rsid w:val="00AB57FF"/>
    <w:rsid w:val="00AD03D5"/>
    <w:rsid w:val="00AD26A1"/>
    <w:rsid w:val="00AE0A78"/>
    <w:rsid w:val="00AE1BDD"/>
    <w:rsid w:val="00AE2A14"/>
    <w:rsid w:val="00AE30C5"/>
    <w:rsid w:val="00AE5442"/>
    <w:rsid w:val="00AE6BE9"/>
    <w:rsid w:val="00AF5FC2"/>
    <w:rsid w:val="00B063BB"/>
    <w:rsid w:val="00B105A9"/>
    <w:rsid w:val="00B21FD6"/>
    <w:rsid w:val="00B22146"/>
    <w:rsid w:val="00B34061"/>
    <w:rsid w:val="00B351B8"/>
    <w:rsid w:val="00B40756"/>
    <w:rsid w:val="00B44C45"/>
    <w:rsid w:val="00B57380"/>
    <w:rsid w:val="00B60523"/>
    <w:rsid w:val="00B61108"/>
    <w:rsid w:val="00B65F9F"/>
    <w:rsid w:val="00B67CA7"/>
    <w:rsid w:val="00B72CD0"/>
    <w:rsid w:val="00BA3636"/>
    <w:rsid w:val="00BA4568"/>
    <w:rsid w:val="00BA7811"/>
    <w:rsid w:val="00BB1158"/>
    <w:rsid w:val="00BB440A"/>
    <w:rsid w:val="00BC12CC"/>
    <w:rsid w:val="00BC2173"/>
    <w:rsid w:val="00BC608B"/>
    <w:rsid w:val="00BD1D8C"/>
    <w:rsid w:val="00BD3F6D"/>
    <w:rsid w:val="00BD66A8"/>
    <w:rsid w:val="00BD6AFF"/>
    <w:rsid w:val="00BE0ED9"/>
    <w:rsid w:val="00BE2E77"/>
    <w:rsid w:val="00BF1E05"/>
    <w:rsid w:val="00BF222E"/>
    <w:rsid w:val="00BF6A66"/>
    <w:rsid w:val="00C00B0D"/>
    <w:rsid w:val="00C02562"/>
    <w:rsid w:val="00C226AD"/>
    <w:rsid w:val="00C26C6A"/>
    <w:rsid w:val="00C30386"/>
    <w:rsid w:val="00C30D36"/>
    <w:rsid w:val="00C400E1"/>
    <w:rsid w:val="00C41877"/>
    <w:rsid w:val="00C47FC0"/>
    <w:rsid w:val="00C5037C"/>
    <w:rsid w:val="00C57150"/>
    <w:rsid w:val="00C574CA"/>
    <w:rsid w:val="00C72D4B"/>
    <w:rsid w:val="00C73064"/>
    <w:rsid w:val="00C74F47"/>
    <w:rsid w:val="00C754C3"/>
    <w:rsid w:val="00C76C05"/>
    <w:rsid w:val="00C82F5A"/>
    <w:rsid w:val="00C93920"/>
    <w:rsid w:val="00C96F27"/>
    <w:rsid w:val="00CA3F12"/>
    <w:rsid w:val="00CA6B25"/>
    <w:rsid w:val="00CA79A9"/>
    <w:rsid w:val="00CB0732"/>
    <w:rsid w:val="00CB0AD2"/>
    <w:rsid w:val="00CB7844"/>
    <w:rsid w:val="00CC09CD"/>
    <w:rsid w:val="00CC0D37"/>
    <w:rsid w:val="00CC341F"/>
    <w:rsid w:val="00CD5B20"/>
    <w:rsid w:val="00CE3CDF"/>
    <w:rsid w:val="00CE653D"/>
    <w:rsid w:val="00CE754A"/>
    <w:rsid w:val="00CF0497"/>
    <w:rsid w:val="00CF35B7"/>
    <w:rsid w:val="00D14F31"/>
    <w:rsid w:val="00D2150F"/>
    <w:rsid w:val="00D42E1B"/>
    <w:rsid w:val="00D4496D"/>
    <w:rsid w:val="00D44C94"/>
    <w:rsid w:val="00D71D78"/>
    <w:rsid w:val="00D85413"/>
    <w:rsid w:val="00D87985"/>
    <w:rsid w:val="00DA3A65"/>
    <w:rsid w:val="00DA6629"/>
    <w:rsid w:val="00DB4E27"/>
    <w:rsid w:val="00DC456E"/>
    <w:rsid w:val="00DC4D78"/>
    <w:rsid w:val="00DD209B"/>
    <w:rsid w:val="00DE038D"/>
    <w:rsid w:val="00DF09D3"/>
    <w:rsid w:val="00E02880"/>
    <w:rsid w:val="00E04AC2"/>
    <w:rsid w:val="00E10B45"/>
    <w:rsid w:val="00E1122F"/>
    <w:rsid w:val="00E138C4"/>
    <w:rsid w:val="00E20ED4"/>
    <w:rsid w:val="00E30260"/>
    <w:rsid w:val="00E364C6"/>
    <w:rsid w:val="00E413B6"/>
    <w:rsid w:val="00E47077"/>
    <w:rsid w:val="00E5012E"/>
    <w:rsid w:val="00E53A44"/>
    <w:rsid w:val="00E6029A"/>
    <w:rsid w:val="00E757D5"/>
    <w:rsid w:val="00E762E1"/>
    <w:rsid w:val="00E805A7"/>
    <w:rsid w:val="00E81A8A"/>
    <w:rsid w:val="00E86B80"/>
    <w:rsid w:val="00E87514"/>
    <w:rsid w:val="00E95BB3"/>
    <w:rsid w:val="00EA4E08"/>
    <w:rsid w:val="00EC45F4"/>
    <w:rsid w:val="00EC4B6A"/>
    <w:rsid w:val="00ED04D1"/>
    <w:rsid w:val="00ED1CA0"/>
    <w:rsid w:val="00ED2CBC"/>
    <w:rsid w:val="00ED4215"/>
    <w:rsid w:val="00ED6E67"/>
    <w:rsid w:val="00EE09D3"/>
    <w:rsid w:val="00EE3FAD"/>
    <w:rsid w:val="00EE7B35"/>
    <w:rsid w:val="00EF4D80"/>
    <w:rsid w:val="00EF4F6A"/>
    <w:rsid w:val="00EF6BB8"/>
    <w:rsid w:val="00F03BEB"/>
    <w:rsid w:val="00F04514"/>
    <w:rsid w:val="00F1337B"/>
    <w:rsid w:val="00F13773"/>
    <w:rsid w:val="00F14DD5"/>
    <w:rsid w:val="00F21297"/>
    <w:rsid w:val="00F228C6"/>
    <w:rsid w:val="00F236D4"/>
    <w:rsid w:val="00F34C0D"/>
    <w:rsid w:val="00F3566E"/>
    <w:rsid w:val="00F44D4C"/>
    <w:rsid w:val="00F45875"/>
    <w:rsid w:val="00F47BA8"/>
    <w:rsid w:val="00F53161"/>
    <w:rsid w:val="00F54A95"/>
    <w:rsid w:val="00F55DEC"/>
    <w:rsid w:val="00F62A87"/>
    <w:rsid w:val="00F659C3"/>
    <w:rsid w:val="00F66CFF"/>
    <w:rsid w:val="00F70A9F"/>
    <w:rsid w:val="00F8180A"/>
    <w:rsid w:val="00F81F89"/>
    <w:rsid w:val="00F842F8"/>
    <w:rsid w:val="00FA531C"/>
    <w:rsid w:val="00FA563A"/>
    <w:rsid w:val="00FA60AD"/>
    <w:rsid w:val="00FB1842"/>
    <w:rsid w:val="00FB6EA0"/>
    <w:rsid w:val="00FD2F3A"/>
    <w:rsid w:val="00FD301C"/>
    <w:rsid w:val="00FD6895"/>
    <w:rsid w:val="00FE6317"/>
    <w:rsid w:val="00FF42E0"/>
    <w:rsid w:val="00FF6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F2D5F3A"/>
  <w15:docId w15:val="{CC8403D8-AF08-4EB5-A160-91810583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A9F"/>
    <w:pPr>
      <w:spacing w:after="120"/>
    </w:pPr>
  </w:style>
  <w:style w:type="paragraph" w:styleId="Heading1">
    <w:name w:val="heading 1"/>
    <w:basedOn w:val="Normal"/>
    <w:next w:val="Normal"/>
    <w:link w:val="Heading1Char"/>
    <w:uiPriority w:val="9"/>
    <w:qFormat/>
    <w:rsid w:val="0005790B"/>
    <w:pPr>
      <w:keepNext/>
      <w:keepLines/>
      <w:spacing w:before="120" w:after="0"/>
      <w:outlineLvl w:val="0"/>
    </w:pPr>
    <w:rPr>
      <w:rFonts w:ascii="Rockwell" w:eastAsiaTheme="majorEastAsia" w:hAnsi="Rockwell" w:cstheme="majorBidi"/>
      <w:bCs/>
      <w:color w:val="0074BD" w:themeColor="accent1"/>
      <w:sz w:val="28"/>
      <w:szCs w:val="28"/>
    </w:rPr>
  </w:style>
  <w:style w:type="paragraph" w:styleId="Heading2">
    <w:name w:val="heading 2"/>
    <w:basedOn w:val="Normal"/>
    <w:next w:val="Normal"/>
    <w:link w:val="Heading2Char"/>
    <w:uiPriority w:val="9"/>
    <w:unhideWhenUsed/>
    <w:qFormat/>
    <w:rsid w:val="00F70A9F"/>
    <w:pPr>
      <w:keepNext/>
      <w:keepLines/>
      <w:spacing w:before="200" w:after="0"/>
      <w:outlineLvl w:val="1"/>
    </w:pPr>
    <w:rPr>
      <w:rFonts w:asciiTheme="majorHAnsi" w:eastAsiaTheme="majorEastAsia" w:hAnsiTheme="majorHAnsi" w:cstheme="majorBidi"/>
      <w:b/>
      <w:bCs/>
      <w:color w:val="0074BD" w:themeColor="accent1"/>
      <w:sz w:val="26"/>
      <w:szCs w:val="26"/>
    </w:rPr>
  </w:style>
  <w:style w:type="paragraph" w:styleId="Heading3">
    <w:name w:val="heading 3"/>
    <w:basedOn w:val="Normal"/>
    <w:next w:val="Normal"/>
    <w:link w:val="Heading3Char"/>
    <w:uiPriority w:val="9"/>
    <w:unhideWhenUsed/>
    <w:qFormat/>
    <w:rsid w:val="0005790B"/>
    <w:pPr>
      <w:keepNext/>
      <w:keepLines/>
      <w:spacing w:before="200" w:after="0"/>
      <w:outlineLvl w:val="2"/>
    </w:pPr>
    <w:rPr>
      <w:rFonts w:asciiTheme="majorHAnsi" w:eastAsiaTheme="majorEastAsia" w:hAnsiTheme="majorHAnsi" w:cstheme="majorBidi"/>
      <w:b/>
      <w:bCs/>
      <w:color w:val="0074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 title"/>
    <w:basedOn w:val="Normal"/>
    <w:qFormat/>
    <w:rsid w:val="0005790B"/>
    <w:pPr>
      <w:jc w:val="right"/>
    </w:pPr>
    <w:rPr>
      <w:color w:val="F06252" w:themeColor="accent6"/>
      <w:sz w:val="22"/>
    </w:rPr>
  </w:style>
  <w:style w:type="character" w:customStyle="1" w:styleId="Heading2Char">
    <w:name w:val="Heading 2 Char"/>
    <w:basedOn w:val="DefaultParagraphFont"/>
    <w:link w:val="Heading2"/>
    <w:uiPriority w:val="9"/>
    <w:rsid w:val="00F70A9F"/>
    <w:rPr>
      <w:rFonts w:asciiTheme="majorHAnsi" w:eastAsiaTheme="majorEastAsia" w:hAnsiTheme="majorHAnsi" w:cstheme="majorBidi"/>
      <w:b/>
      <w:bCs/>
      <w:color w:val="0074BD" w:themeColor="accent1"/>
      <w:sz w:val="26"/>
      <w:szCs w:val="26"/>
    </w:rPr>
  </w:style>
  <w:style w:type="character" w:customStyle="1" w:styleId="Heading1Char">
    <w:name w:val="Heading 1 Char"/>
    <w:basedOn w:val="DefaultParagraphFont"/>
    <w:link w:val="Heading1"/>
    <w:uiPriority w:val="9"/>
    <w:rsid w:val="0005790B"/>
    <w:rPr>
      <w:rFonts w:ascii="Rockwell" w:eastAsiaTheme="majorEastAsia" w:hAnsi="Rockwell" w:cstheme="majorBidi"/>
      <w:bCs/>
      <w:color w:val="0074BD" w:themeColor="accent1"/>
      <w:sz w:val="28"/>
      <w:szCs w:val="28"/>
    </w:rPr>
  </w:style>
  <w:style w:type="paragraph" w:customStyle="1" w:styleId="CoverInfoNote">
    <w:name w:val="Cover Info Note"/>
    <w:basedOn w:val="Normal"/>
    <w:qFormat/>
    <w:rsid w:val="0005790B"/>
    <w:pPr>
      <w:spacing w:after="0"/>
    </w:pPr>
    <w:rPr>
      <w:rFonts w:ascii="Rockwell" w:hAnsi="Rockwell"/>
      <w:b/>
      <w:color w:val="F06252" w:themeColor="accent6"/>
    </w:rPr>
  </w:style>
  <w:style w:type="paragraph" w:customStyle="1" w:styleId="Introtext">
    <w:name w:val="Intro text"/>
    <w:basedOn w:val="Normal"/>
    <w:qFormat/>
    <w:rsid w:val="00F70A9F"/>
    <w:pPr>
      <w:spacing w:line="320" w:lineRule="exact"/>
    </w:pPr>
    <w:rPr>
      <w:rFonts w:ascii="Calibri Light" w:hAnsi="Calibri Light"/>
      <w:color w:val="16325C" w:themeColor="text2"/>
      <w:sz w:val="22"/>
    </w:rPr>
  </w:style>
  <w:style w:type="paragraph" w:styleId="Header">
    <w:name w:val="header"/>
    <w:basedOn w:val="Normal"/>
    <w:link w:val="HeaderChar"/>
    <w:uiPriority w:val="99"/>
    <w:unhideWhenUsed/>
    <w:rsid w:val="0005790B"/>
    <w:pPr>
      <w:tabs>
        <w:tab w:val="center" w:pos="4513"/>
        <w:tab w:val="right" w:pos="9026"/>
      </w:tabs>
      <w:spacing w:after="0"/>
    </w:pPr>
    <w:rPr>
      <w:rFonts w:ascii="Rockwell" w:hAnsi="Rockwell"/>
      <w:color w:val="16325C" w:themeColor="text2"/>
    </w:rPr>
  </w:style>
  <w:style w:type="character" w:customStyle="1" w:styleId="HeaderChar">
    <w:name w:val="Header Char"/>
    <w:basedOn w:val="DefaultParagraphFont"/>
    <w:link w:val="Header"/>
    <w:uiPriority w:val="99"/>
    <w:rsid w:val="0005790B"/>
    <w:rPr>
      <w:rFonts w:ascii="Rockwell" w:hAnsi="Rockwell"/>
      <w:color w:val="16325C" w:themeColor="text2"/>
    </w:rPr>
  </w:style>
  <w:style w:type="paragraph" w:styleId="Footer">
    <w:name w:val="footer"/>
    <w:basedOn w:val="Normal"/>
    <w:link w:val="FooterChar"/>
    <w:uiPriority w:val="99"/>
    <w:unhideWhenUsed/>
    <w:rsid w:val="00F70A9F"/>
    <w:pPr>
      <w:tabs>
        <w:tab w:val="center" w:pos="4513"/>
        <w:tab w:val="right" w:pos="9026"/>
      </w:tabs>
      <w:spacing w:after="0"/>
    </w:pPr>
  </w:style>
  <w:style w:type="character" w:customStyle="1" w:styleId="FooterChar">
    <w:name w:val="Footer Char"/>
    <w:basedOn w:val="DefaultParagraphFont"/>
    <w:link w:val="Footer"/>
    <w:uiPriority w:val="99"/>
    <w:rsid w:val="00F70A9F"/>
  </w:style>
  <w:style w:type="paragraph" w:styleId="BalloonText">
    <w:name w:val="Balloon Text"/>
    <w:basedOn w:val="Normal"/>
    <w:link w:val="BalloonTextChar"/>
    <w:uiPriority w:val="99"/>
    <w:semiHidden/>
    <w:unhideWhenUsed/>
    <w:rsid w:val="00F70A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A9F"/>
    <w:rPr>
      <w:rFonts w:ascii="Tahoma" w:hAnsi="Tahoma" w:cs="Tahoma"/>
      <w:sz w:val="16"/>
      <w:szCs w:val="16"/>
    </w:rPr>
  </w:style>
  <w:style w:type="paragraph" w:customStyle="1" w:styleId="Chartnumber">
    <w:name w:val="Chart number"/>
    <w:basedOn w:val="Normal"/>
    <w:qFormat/>
    <w:rsid w:val="00C02562"/>
    <w:pPr>
      <w:spacing w:after="0"/>
    </w:pPr>
    <w:rPr>
      <w:rFonts w:ascii="Rockwell" w:hAnsi="Rockwell"/>
      <w:b/>
      <w:caps/>
      <w:color w:val="16325C" w:themeColor="text2"/>
      <w:sz w:val="18"/>
    </w:rPr>
  </w:style>
  <w:style w:type="paragraph" w:customStyle="1" w:styleId="Chartheading">
    <w:name w:val="Chart heading"/>
    <w:basedOn w:val="Normal"/>
    <w:qFormat/>
    <w:rsid w:val="00C02562"/>
    <w:rPr>
      <w:rFonts w:ascii="Rockwell" w:hAnsi="Rockwell"/>
      <w:color w:val="16325C" w:themeColor="text2"/>
      <w:sz w:val="24"/>
    </w:rPr>
  </w:style>
  <w:style w:type="paragraph" w:customStyle="1" w:styleId="Chartgraphic">
    <w:name w:val="Chart graphic"/>
    <w:basedOn w:val="Normal"/>
    <w:qFormat/>
    <w:rsid w:val="00F70A9F"/>
    <w:pPr>
      <w:spacing w:after="0"/>
    </w:pPr>
  </w:style>
  <w:style w:type="paragraph" w:customStyle="1" w:styleId="Covertitle">
    <w:name w:val="Cover title"/>
    <w:qFormat/>
    <w:rsid w:val="0005790B"/>
    <w:pPr>
      <w:spacing w:before="120" w:after="360"/>
    </w:pPr>
    <w:rPr>
      <w:rFonts w:ascii="Rockwell" w:eastAsiaTheme="majorEastAsia" w:hAnsi="Rockwell" w:cstheme="majorBidi"/>
      <w:bCs/>
      <w:color w:val="004A80" w:themeColor="background2"/>
      <w:sz w:val="40"/>
      <w:szCs w:val="28"/>
    </w:rPr>
  </w:style>
  <w:style w:type="paragraph" w:customStyle="1" w:styleId="Chartnote">
    <w:name w:val="Chart note"/>
    <w:basedOn w:val="Normal"/>
    <w:qFormat/>
    <w:rsid w:val="009B50DD"/>
    <w:rPr>
      <w:sz w:val="18"/>
    </w:rPr>
  </w:style>
  <w:style w:type="paragraph" w:customStyle="1" w:styleId="Bullet">
    <w:name w:val="Bullet"/>
    <w:basedOn w:val="Normal"/>
    <w:link w:val="BulletChar"/>
    <w:rsid w:val="00651052"/>
    <w:pPr>
      <w:numPr>
        <w:numId w:val="1"/>
      </w:numPr>
    </w:pPr>
  </w:style>
  <w:style w:type="character" w:customStyle="1" w:styleId="BulletChar">
    <w:name w:val="Bullet Char"/>
    <w:basedOn w:val="DefaultParagraphFont"/>
    <w:link w:val="Bullet"/>
    <w:rsid w:val="00651052"/>
  </w:style>
  <w:style w:type="paragraph" w:customStyle="1" w:styleId="Dash">
    <w:name w:val="Dash"/>
    <w:basedOn w:val="Normal"/>
    <w:link w:val="DashChar"/>
    <w:rsid w:val="00651052"/>
    <w:pPr>
      <w:numPr>
        <w:ilvl w:val="1"/>
        <w:numId w:val="1"/>
      </w:numPr>
    </w:pPr>
  </w:style>
  <w:style w:type="character" w:customStyle="1" w:styleId="DashChar">
    <w:name w:val="Dash Char"/>
    <w:basedOn w:val="DefaultParagraphFont"/>
    <w:link w:val="Dash"/>
    <w:rsid w:val="00651052"/>
  </w:style>
  <w:style w:type="paragraph" w:customStyle="1" w:styleId="DoubleDot">
    <w:name w:val="Double Dot"/>
    <w:basedOn w:val="Normal"/>
    <w:link w:val="DoubleDotChar"/>
    <w:rsid w:val="00651052"/>
    <w:pPr>
      <w:numPr>
        <w:ilvl w:val="2"/>
        <w:numId w:val="1"/>
      </w:numPr>
    </w:pPr>
  </w:style>
  <w:style w:type="character" w:customStyle="1" w:styleId="DoubleDotChar">
    <w:name w:val="Double Dot Char"/>
    <w:basedOn w:val="DefaultParagraphFont"/>
    <w:link w:val="DoubleDot"/>
    <w:rsid w:val="00651052"/>
  </w:style>
  <w:style w:type="paragraph" w:styleId="FootnoteText">
    <w:name w:val="footnote text"/>
    <w:basedOn w:val="Normal"/>
    <w:link w:val="FootnoteTextChar"/>
    <w:uiPriority w:val="99"/>
    <w:semiHidden/>
    <w:unhideWhenUsed/>
    <w:rsid w:val="0096430D"/>
    <w:pPr>
      <w:spacing w:after="0"/>
    </w:pPr>
  </w:style>
  <w:style w:type="character" w:customStyle="1" w:styleId="FootnoteTextChar">
    <w:name w:val="Footnote Text Char"/>
    <w:basedOn w:val="DefaultParagraphFont"/>
    <w:link w:val="FootnoteText"/>
    <w:uiPriority w:val="99"/>
    <w:semiHidden/>
    <w:rsid w:val="0096430D"/>
  </w:style>
  <w:style w:type="character" w:styleId="FootnoteReference">
    <w:name w:val="footnote reference"/>
    <w:basedOn w:val="DefaultParagraphFont"/>
    <w:uiPriority w:val="99"/>
    <w:semiHidden/>
    <w:unhideWhenUsed/>
    <w:rsid w:val="0096430D"/>
    <w:rPr>
      <w:vertAlign w:val="superscript"/>
    </w:rPr>
  </w:style>
  <w:style w:type="paragraph" w:customStyle="1" w:styleId="Footnote">
    <w:name w:val="Footnote"/>
    <w:basedOn w:val="FootnoteText"/>
    <w:qFormat/>
    <w:rsid w:val="00FB1842"/>
    <w:pPr>
      <w:ind w:left="227" w:hanging="227"/>
    </w:pPr>
    <w:rPr>
      <w:sz w:val="18"/>
    </w:rPr>
  </w:style>
  <w:style w:type="character" w:customStyle="1" w:styleId="Heading3Char">
    <w:name w:val="Heading 3 Char"/>
    <w:basedOn w:val="DefaultParagraphFont"/>
    <w:link w:val="Heading3"/>
    <w:uiPriority w:val="9"/>
    <w:rsid w:val="0005790B"/>
    <w:rPr>
      <w:rFonts w:asciiTheme="majorHAnsi" w:eastAsiaTheme="majorEastAsia" w:hAnsiTheme="majorHAnsi" w:cstheme="majorBidi"/>
      <w:b/>
      <w:bCs/>
      <w:color w:val="0074BD" w:themeColor="accent1"/>
    </w:rPr>
  </w:style>
  <w:style w:type="paragraph" w:styleId="NormalWeb">
    <w:name w:val="Normal (Web)"/>
    <w:basedOn w:val="Normal"/>
    <w:link w:val="NormalWebChar"/>
    <w:uiPriority w:val="99"/>
    <w:unhideWhenUsed/>
    <w:rsid w:val="00085904"/>
    <w:pPr>
      <w:spacing w:before="100" w:beforeAutospacing="1" w:after="100" w:afterAutospacing="1"/>
    </w:pPr>
    <w:rPr>
      <w:rFonts w:ascii="Times New Roman" w:eastAsiaTheme="minorEastAsia" w:hAnsi="Times New Roman"/>
      <w:sz w:val="24"/>
      <w:szCs w:val="24"/>
      <w:lang w:eastAsia="en-AU"/>
    </w:rPr>
  </w:style>
  <w:style w:type="character" w:styleId="Hyperlink">
    <w:name w:val="Hyperlink"/>
    <w:basedOn w:val="DefaultParagraphFont"/>
    <w:uiPriority w:val="99"/>
    <w:unhideWhenUsed/>
    <w:rsid w:val="005B2E5D"/>
    <w:rPr>
      <w:color w:val="0000FF" w:themeColor="hyperlink"/>
      <w:u w:val="single"/>
    </w:rPr>
  </w:style>
  <w:style w:type="character" w:styleId="CommentReference">
    <w:name w:val="annotation reference"/>
    <w:basedOn w:val="DefaultParagraphFont"/>
    <w:uiPriority w:val="99"/>
    <w:semiHidden/>
    <w:unhideWhenUsed/>
    <w:rsid w:val="00614C14"/>
    <w:rPr>
      <w:sz w:val="16"/>
      <w:szCs w:val="16"/>
    </w:rPr>
  </w:style>
  <w:style w:type="paragraph" w:styleId="CommentText">
    <w:name w:val="annotation text"/>
    <w:basedOn w:val="Normal"/>
    <w:link w:val="CommentTextChar"/>
    <w:uiPriority w:val="99"/>
    <w:semiHidden/>
    <w:unhideWhenUsed/>
    <w:rsid w:val="00614C14"/>
  </w:style>
  <w:style w:type="character" w:customStyle="1" w:styleId="CommentTextChar">
    <w:name w:val="Comment Text Char"/>
    <w:basedOn w:val="DefaultParagraphFont"/>
    <w:link w:val="CommentText"/>
    <w:uiPriority w:val="99"/>
    <w:semiHidden/>
    <w:rsid w:val="00614C14"/>
  </w:style>
  <w:style w:type="paragraph" w:styleId="CommentSubject">
    <w:name w:val="annotation subject"/>
    <w:basedOn w:val="CommentText"/>
    <w:next w:val="CommentText"/>
    <w:link w:val="CommentSubjectChar"/>
    <w:uiPriority w:val="99"/>
    <w:semiHidden/>
    <w:unhideWhenUsed/>
    <w:rsid w:val="00614C14"/>
    <w:rPr>
      <w:b/>
      <w:bCs/>
    </w:rPr>
  </w:style>
  <w:style w:type="character" w:customStyle="1" w:styleId="CommentSubjectChar">
    <w:name w:val="Comment Subject Char"/>
    <w:basedOn w:val="CommentTextChar"/>
    <w:link w:val="CommentSubject"/>
    <w:uiPriority w:val="99"/>
    <w:semiHidden/>
    <w:rsid w:val="00614C14"/>
    <w:rPr>
      <w:b/>
      <w:bCs/>
    </w:rPr>
  </w:style>
  <w:style w:type="paragraph" w:styleId="Revision">
    <w:name w:val="Revision"/>
    <w:hidden/>
    <w:uiPriority w:val="99"/>
    <w:semiHidden/>
    <w:rsid w:val="001A45FD"/>
  </w:style>
  <w:style w:type="paragraph" w:customStyle="1" w:styleId="OutlineNumbered1">
    <w:name w:val="Outline Numbered 1"/>
    <w:basedOn w:val="Normal"/>
    <w:link w:val="OutlineNumbered1Char"/>
    <w:rsid w:val="007D53AD"/>
    <w:pPr>
      <w:numPr>
        <w:numId w:val="3"/>
      </w:numPr>
    </w:pPr>
    <w:rPr>
      <w:rFonts w:ascii="Times New Roman" w:eastAsia="Arial" w:hAnsi="Times New Roman"/>
      <w:bCs/>
      <w:i/>
      <w:color w:val="0074BD" w:themeColor="accent1"/>
      <w:sz w:val="21"/>
      <w:szCs w:val="21"/>
      <w:lang w:eastAsia="en-AU"/>
    </w:rPr>
  </w:style>
  <w:style w:type="character" w:customStyle="1" w:styleId="NormalWebChar">
    <w:name w:val="Normal (Web) Char"/>
    <w:basedOn w:val="DefaultParagraphFont"/>
    <w:link w:val="NormalWeb"/>
    <w:uiPriority w:val="99"/>
    <w:rsid w:val="007D53AD"/>
    <w:rPr>
      <w:rFonts w:ascii="Times New Roman" w:eastAsiaTheme="minorEastAsia" w:hAnsi="Times New Roman"/>
      <w:sz w:val="24"/>
      <w:szCs w:val="24"/>
      <w:lang w:eastAsia="en-AU"/>
    </w:rPr>
  </w:style>
  <w:style w:type="character" w:customStyle="1" w:styleId="OutlineNumbered1Char">
    <w:name w:val="Outline Numbered 1 Char"/>
    <w:basedOn w:val="NormalWebChar"/>
    <w:link w:val="OutlineNumbered1"/>
    <w:rsid w:val="007D53AD"/>
    <w:rPr>
      <w:rFonts w:ascii="Times New Roman" w:eastAsia="Arial" w:hAnsi="Times New Roman"/>
      <w:bCs/>
      <w:i/>
      <w:color w:val="0074BD" w:themeColor="accent1"/>
      <w:sz w:val="21"/>
      <w:szCs w:val="21"/>
      <w:lang w:eastAsia="en-AU"/>
    </w:rPr>
  </w:style>
  <w:style w:type="paragraph" w:customStyle="1" w:styleId="OutlineNumbered2">
    <w:name w:val="Outline Numbered 2"/>
    <w:basedOn w:val="Normal"/>
    <w:link w:val="OutlineNumbered2Char"/>
    <w:rsid w:val="007D53AD"/>
    <w:pPr>
      <w:numPr>
        <w:ilvl w:val="1"/>
        <w:numId w:val="3"/>
      </w:numPr>
    </w:pPr>
    <w:rPr>
      <w:rFonts w:ascii="Times New Roman" w:eastAsia="Arial" w:hAnsi="Times New Roman"/>
      <w:bCs/>
      <w:i/>
      <w:color w:val="0074BD" w:themeColor="accent1"/>
      <w:sz w:val="21"/>
      <w:szCs w:val="21"/>
      <w:lang w:eastAsia="en-AU"/>
    </w:rPr>
  </w:style>
  <w:style w:type="character" w:customStyle="1" w:styleId="OutlineNumbered2Char">
    <w:name w:val="Outline Numbered 2 Char"/>
    <w:basedOn w:val="NormalWebChar"/>
    <w:link w:val="OutlineNumbered2"/>
    <w:rsid w:val="007D53AD"/>
    <w:rPr>
      <w:rFonts w:ascii="Times New Roman" w:eastAsia="Arial" w:hAnsi="Times New Roman"/>
      <w:bCs/>
      <w:i/>
      <w:color w:val="0074BD" w:themeColor="accent1"/>
      <w:sz w:val="21"/>
      <w:szCs w:val="21"/>
      <w:lang w:eastAsia="en-AU"/>
    </w:rPr>
  </w:style>
  <w:style w:type="paragraph" w:customStyle="1" w:styleId="OutlineNumbered3">
    <w:name w:val="Outline Numbered 3"/>
    <w:basedOn w:val="Normal"/>
    <w:link w:val="OutlineNumbered3Char"/>
    <w:rsid w:val="007D53AD"/>
    <w:pPr>
      <w:numPr>
        <w:ilvl w:val="2"/>
        <w:numId w:val="3"/>
      </w:numPr>
    </w:pPr>
    <w:rPr>
      <w:rFonts w:ascii="Times New Roman" w:eastAsia="Arial" w:hAnsi="Times New Roman"/>
      <w:bCs/>
      <w:i/>
      <w:color w:val="0074BD" w:themeColor="accent1"/>
      <w:sz w:val="21"/>
      <w:szCs w:val="21"/>
      <w:lang w:eastAsia="en-AU"/>
    </w:rPr>
  </w:style>
  <w:style w:type="character" w:customStyle="1" w:styleId="OutlineNumbered3Char">
    <w:name w:val="Outline Numbered 3 Char"/>
    <w:basedOn w:val="NormalWebChar"/>
    <w:link w:val="OutlineNumbered3"/>
    <w:rsid w:val="007D53AD"/>
    <w:rPr>
      <w:rFonts w:ascii="Times New Roman" w:eastAsia="Arial" w:hAnsi="Times New Roman"/>
      <w:bCs/>
      <w:i/>
      <w:color w:val="0074BD" w:themeColor="accent1"/>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9619">
      <w:bodyDiv w:val="1"/>
      <w:marLeft w:val="0"/>
      <w:marRight w:val="0"/>
      <w:marTop w:val="0"/>
      <w:marBottom w:val="0"/>
      <w:divBdr>
        <w:top w:val="none" w:sz="0" w:space="0" w:color="auto"/>
        <w:left w:val="none" w:sz="0" w:space="0" w:color="auto"/>
        <w:bottom w:val="none" w:sz="0" w:space="0" w:color="auto"/>
        <w:right w:val="none" w:sz="0" w:space="0" w:color="auto"/>
      </w:divBdr>
    </w:div>
    <w:div w:id="8252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research.treasury.gov.au/treasurys-two-cents/accumulation-superannuation-across-lifetime" TargetMode="External"/><Relationship Id="rId2" Type="http://schemas.openxmlformats.org/officeDocument/2006/relationships/hyperlink" Target="http://research.treasury.gov.au/treasurys-two-cents/superannuation-balances-retirement" TargetMode="External"/><Relationship Id="rId1" Type="http://schemas.openxmlformats.org/officeDocument/2006/relationships/hyperlink" Target="http://research.treasury.gov.au/treasury-working-paper/2017-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Paper%20-%20Treasurys%20Two%20Cents.dotx" TargetMode="External"/></Relationships>
</file>

<file path=word/theme/theme1.xml><?xml version="1.0" encoding="utf-8"?>
<a:theme xmlns:a="http://schemas.openxmlformats.org/drawingml/2006/main" name="Corporate">
  <a:themeElements>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RA-9225 - Retain as national archives</TermName>
          <TermId xmlns="http://schemas.microsoft.com/office/infopath/2007/PartnerControls">9259d60c-3849-4eb9-8b9d-80c42cfa3149</TermId>
        </TermInfo>
      </Terms>
    </lb508a4dc5e84436a0fe496b536466aa>
    <IconOverlay xmlns="http://schemas.microsoft.com/sharepoint/v4" xsi:nil="true"/>
    <TaxCatchAll xmlns="0f563589-9cf9-4143-b1eb-fb0534803d38">
      <Value>15</Value>
    </TaxCatchAll>
    <_dlc_DocId xmlns="0f563589-9cf9-4143-b1eb-fb0534803d38">2019RG-139-4853</_dlc_DocId>
    <_dlc_DocIdUrl xmlns="0f563589-9cf9-4143-b1eb-fb0534803d38">
      <Url>http://tweb/sites/rg/tad/_layouts/15/DocIdRedir.aspx?ID=2019RG-139-4853</Url>
      <Description>2019RG-139-4853</Description>
    </_dlc_DocIdUrl>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518081D77161D2449054B82C9C12DD6B" ma:contentTypeVersion="24042" ma:contentTypeDescription=" " ma:contentTypeScope="" ma:versionID="d31187ef7647f343160b66b8e7c9ebf5">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13e37a76eefb80fb66b9b8382a488e1"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5;#TSY RA-9225 - Retain as national archives|9259d60c-3849-4eb9-8b9d-80c42cfa314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084CD-2750-42A8-9236-C4D1C0A95D4A}">
  <ds:schemaRefs>
    <ds:schemaRef ds:uri="http://schemas.microsoft.com/sharepoint/v3"/>
    <ds:schemaRef ds:uri="http://purl.org/dc/terms/"/>
    <ds:schemaRef ds:uri="http://www.w3.org/XML/1998/namespace"/>
    <ds:schemaRef ds:uri="9f7bc583-7cbe-45b9-a2bd-8bbb6543b37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0f563589-9cf9-4143-b1eb-fb0534803d38"/>
    <ds:schemaRef ds:uri="http://purl.org/dc/dcmitype/"/>
  </ds:schemaRefs>
</ds:datastoreItem>
</file>

<file path=customXml/itemProps2.xml><?xml version="1.0" encoding="utf-8"?>
<ds:datastoreItem xmlns:ds="http://schemas.openxmlformats.org/officeDocument/2006/customXml" ds:itemID="{4410B4A9-93BD-4FE9-8D83-2994F7A2A669}">
  <ds:schemaRefs>
    <ds:schemaRef ds:uri="http://schemas.microsoft.com/sharepoint/events"/>
  </ds:schemaRefs>
</ds:datastoreItem>
</file>

<file path=customXml/itemProps3.xml><?xml version="1.0" encoding="utf-8"?>
<ds:datastoreItem xmlns:ds="http://schemas.openxmlformats.org/officeDocument/2006/customXml" ds:itemID="{45A8795D-03F6-47A3-AE33-CD2DF004C1B6}">
  <ds:schemaRefs>
    <ds:schemaRef ds:uri="office.server.policy"/>
  </ds:schemaRefs>
</ds:datastoreItem>
</file>

<file path=customXml/itemProps4.xml><?xml version="1.0" encoding="utf-8"?>
<ds:datastoreItem xmlns:ds="http://schemas.openxmlformats.org/officeDocument/2006/customXml" ds:itemID="{204FA9F0-8A16-42FC-9A74-447D414E14FD}">
  <ds:schemaRefs>
    <ds:schemaRef ds:uri="http://schemas.microsoft.com/sharepoint/v3/contenttype/forms"/>
  </ds:schemaRefs>
</ds:datastoreItem>
</file>

<file path=customXml/itemProps5.xml><?xml version="1.0" encoding="utf-8"?>
<ds:datastoreItem xmlns:ds="http://schemas.openxmlformats.org/officeDocument/2006/customXml" ds:itemID="{9D459759-59F8-427C-A9B0-BD4D8A0B7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0D21E5-0D5C-4A42-B029-C89FFD08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Paper - Treasurys Two Cents.dotx</Template>
  <TotalTime>0</TotalTime>
  <Pages>6</Pages>
  <Words>1452</Words>
  <Characters>8282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The superannuation system in aggregate</vt:lpstr>
    </vt:vector>
  </TitlesOfParts>
  <Company>Australian Government - The Treasury</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superannuation system in aggregate</dc:title>
  <dc:subject>Treasury's Two Cents</dc:subject>
  <dc:creator>Jacob Stone, Mark Bott, Katarina Trinh, Elliot Lavers and Jarek Kowcza</dc:creator>
  <cp:lastModifiedBy>Thomas, Deborah</cp:lastModifiedBy>
  <cp:revision>2</cp:revision>
  <cp:lastPrinted>2019-11-11T02:17:00Z</cp:lastPrinted>
  <dcterms:created xsi:type="dcterms:W3CDTF">2019-11-27T21:38:00Z</dcterms:created>
  <dcterms:modified xsi:type="dcterms:W3CDTF">2019-11-27T21:38:00Z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0x01010036BB8DE7EC542E42A8B2E98CC20CB69700518081D77161D2449054B82C9C12DD6B</vt:lpwstr>
  </property>
  <property fmtid="{D5CDD505-2E9C-101B-9397-08002B2CF9AE}" pid="3" name="_dlc_DocIdItemGuid">
    <vt:lpwstr>e1d28c13-0a05-4ad2-bcf9-33833d16ed9b</vt:lpwstr>
  </property>
  <property fmtid="{D5CDD505-2E9C-101B-9397-08002B2CF9AE}" pid="4" name="TSYRecordClass">
    <vt:lpwstr>15;#TSY RA-9225 - Retain as national archives|9259d60c-3849-4eb9-8b9d-80c42cfa3149</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{0bd6dc49-b339-4aa0-92d8-25ad3226d414}</vt:lpwstr>
  </property>
  <property fmtid="{D5CDD505-2E9C-101B-9397-08002B2CF9AE}" pid="8" name="RecordPoint_ActiveItemUniqueId">
    <vt:lpwstr>{e1d28c13-0a05-4ad2-bcf9-33833d16ed9b}</vt:lpwstr>
  </property>
  <property fmtid="{D5CDD505-2E9C-101B-9397-08002B2CF9AE}" pid="9" name="RecordPoint_ActiveItemWebId">
    <vt:lpwstr>{4f2582b4-0456-4668-80fd-b44a4a204ff4}</vt:lpwstr>
  </property>
</Properties>
</file>