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2B28E" w14:textId="77777777" w:rsidR="00F012EA" w:rsidRPr="00DD5DF9" w:rsidRDefault="00B0794C" w:rsidP="00F012EA">
      <w:pPr>
        <w:pStyle w:val="Title"/>
      </w:pPr>
      <w:r>
        <w:t xml:space="preserve">Does payroll tax affect </w:t>
      </w:r>
      <w:bookmarkStart w:id="0" w:name="_GoBack"/>
      <w:bookmarkEnd w:id="0"/>
      <w:r>
        <w:t>firm behaviour?</w:t>
      </w:r>
    </w:p>
    <w:p w14:paraId="33E8B266" w14:textId="77777777" w:rsidR="00F012EA" w:rsidRDefault="00B0794C" w:rsidP="00F012EA">
      <w:pPr>
        <w:pStyle w:val="AuthorName"/>
        <w:rPr>
          <w:szCs w:val="24"/>
        </w:rPr>
      </w:pPr>
      <w:r>
        <w:rPr>
          <w:szCs w:val="24"/>
        </w:rPr>
        <w:t>Ben Ralston</w:t>
      </w:r>
      <w:r w:rsidR="00F012EA" w:rsidRPr="00F21A41">
        <w:rPr>
          <w:rStyle w:val="FootnoteReference"/>
          <w:szCs w:val="24"/>
        </w:rPr>
        <w:footnoteReference w:id="2"/>
      </w:r>
    </w:p>
    <w:p w14:paraId="0110D178"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7D4096F9" w14:textId="29E49490" w:rsidR="00F012EA" w:rsidRPr="00F8009C" w:rsidRDefault="00F012EA" w:rsidP="00F012EA">
      <w:pPr>
        <w:pStyle w:val="Subtitle"/>
        <w:rPr>
          <w:szCs w:val="36"/>
        </w:rPr>
      </w:pPr>
      <w:r>
        <w:rPr>
          <w:szCs w:val="36"/>
        </w:rPr>
        <w:t>20</w:t>
      </w:r>
      <w:r w:rsidR="00B0794C">
        <w:rPr>
          <w:szCs w:val="36"/>
        </w:rPr>
        <w:t>18</w:t>
      </w:r>
      <w:r w:rsidR="00F12EE0">
        <w:rPr>
          <w:szCs w:val="36"/>
        </w:rPr>
        <w:t>–</w:t>
      </w:r>
      <w:r w:rsidR="003905D5">
        <w:rPr>
          <w:szCs w:val="36"/>
        </w:rPr>
        <w:t>0</w:t>
      </w:r>
      <w:r w:rsidR="00A1600C">
        <w:rPr>
          <w:szCs w:val="36"/>
        </w:rPr>
        <w:t>2</w:t>
      </w:r>
    </w:p>
    <w:p w14:paraId="31ECB902" w14:textId="2C49BB9C" w:rsidR="00F012EA" w:rsidRPr="0018497C" w:rsidRDefault="00F012EA" w:rsidP="00F012EA">
      <w:pPr>
        <w:pStyle w:val="SeriesNumber"/>
        <w:spacing w:before="120" w:after="120"/>
        <w:rPr>
          <w:sz w:val="24"/>
          <w:szCs w:val="24"/>
        </w:rPr>
      </w:pPr>
      <w:r w:rsidRPr="0018497C">
        <w:rPr>
          <w:sz w:val="24"/>
          <w:szCs w:val="24"/>
        </w:rPr>
        <w:t xml:space="preserve">Date created: </w:t>
      </w:r>
      <w:r w:rsidR="00550818">
        <w:rPr>
          <w:sz w:val="24"/>
          <w:szCs w:val="24"/>
        </w:rPr>
        <w:t>April</w:t>
      </w:r>
      <w:r w:rsidR="00B0794C">
        <w:rPr>
          <w:sz w:val="24"/>
          <w:szCs w:val="24"/>
        </w:rPr>
        <w:t xml:space="preserve"> 2018</w:t>
      </w:r>
    </w:p>
    <w:p w14:paraId="61824BFB" w14:textId="109F065D" w:rsidR="00F012EA" w:rsidRDefault="00F012EA" w:rsidP="00F012EA">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550818">
        <w:rPr>
          <w:sz w:val="24"/>
          <w:szCs w:val="24"/>
        </w:rPr>
        <w:t>April</w:t>
      </w:r>
      <w:r w:rsidR="007A5B0C">
        <w:rPr>
          <w:sz w:val="24"/>
          <w:szCs w:val="24"/>
        </w:rPr>
        <w:t xml:space="preserve"> 2018</w:t>
      </w:r>
    </w:p>
    <w:p w14:paraId="5EA9B63F" w14:textId="77777777" w:rsidR="000464B6" w:rsidRDefault="000464B6" w:rsidP="00F012EA">
      <w:pPr>
        <w:pStyle w:val="AuthorName"/>
        <w:rPr>
          <w:szCs w:val="24"/>
        </w:rPr>
        <w:sectPr w:rsidR="000464B6" w:rsidSect="008C0793">
          <w:footerReference w:type="even" r:id="rId9"/>
          <w:footerReference w:type="default" r:id="rId10"/>
          <w:headerReference w:type="first" r:id="rId11"/>
          <w:footerReference w:type="first" r:id="rId12"/>
          <w:pgSz w:w="11906" w:h="16838" w:code="9"/>
          <w:pgMar w:top="1418" w:right="1304" w:bottom="1418" w:left="1304" w:header="567" w:footer="567" w:gutter="0"/>
          <w:cols w:space="708"/>
          <w:titlePg/>
          <w:docGrid w:linePitch="360"/>
        </w:sectPr>
      </w:pPr>
    </w:p>
    <w:p w14:paraId="2FC17577" w14:textId="77FD3412" w:rsidR="000464B6" w:rsidRDefault="000464B6" w:rsidP="000464B6">
      <w:r w:rsidRPr="00661BF0">
        <w:lastRenderedPageBreak/>
        <w:t xml:space="preserve">© Commonwealth of Australia </w:t>
      </w:r>
      <w:r w:rsidR="003905D5" w:rsidRPr="003905D5">
        <w:t>2018</w:t>
      </w:r>
    </w:p>
    <w:p w14:paraId="2BC42342" w14:textId="4434E5A4" w:rsidR="000464B6" w:rsidRPr="006448EF" w:rsidRDefault="000464B6" w:rsidP="000464B6">
      <w:r w:rsidRPr="00464A16">
        <w:t xml:space="preserve">ISBN </w:t>
      </w:r>
      <w:r w:rsidR="006448EF" w:rsidRPr="006448EF">
        <w:t>978-1-925504-78-1</w:t>
      </w:r>
    </w:p>
    <w:p w14:paraId="1E896A54" w14:textId="6B86C5FA"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3"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4" w:history="1">
        <w:r w:rsidRPr="006627B4">
          <w:rPr>
            <w:rStyle w:val="Hyperlink"/>
          </w:rPr>
          <w:t>http://creativecommons.org/licenses/by/3.0/au/legalcode</w:t>
        </w:r>
      </w:hyperlink>
      <w:r w:rsidRPr="006627B4">
        <w:rPr>
          <w:rStyle w:val="Hyperlink"/>
        </w:rPr>
        <w:t>.</w:t>
      </w:r>
    </w:p>
    <w:p w14:paraId="18C0D9B5"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35B52512" wp14:editId="015BF4FE">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96CA948" w14:textId="7BDD7236"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6"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w:t>
      </w:r>
      <w:r w:rsidR="00F613A4">
        <w:t>s you or your use of the work).</w:t>
      </w:r>
    </w:p>
    <w:p w14:paraId="18A6EF4C" w14:textId="77777777" w:rsidR="000464B6" w:rsidRPr="002F1BC2" w:rsidRDefault="000464B6" w:rsidP="000464B6">
      <w:pPr>
        <w:rPr>
          <w:i/>
        </w:rPr>
      </w:pPr>
      <w:r w:rsidRPr="002F1BC2">
        <w:rPr>
          <w:i/>
        </w:rPr>
        <w:t>Treasury material used 'as supplied'</w:t>
      </w:r>
    </w:p>
    <w:p w14:paraId="5736FCAB" w14:textId="21587C7A"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w:t>
      </w:r>
      <w:r w:rsidR="00F613A4">
        <w:t>tion:</w:t>
      </w:r>
    </w:p>
    <w:p w14:paraId="7387FF97"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3652B08" w14:textId="77777777" w:rsidR="000464B6" w:rsidRPr="006627B4" w:rsidRDefault="000464B6" w:rsidP="000464B6">
      <w:r w:rsidRPr="006627B4">
        <w:t>Derivative material</w:t>
      </w:r>
    </w:p>
    <w:p w14:paraId="1B30B065" w14:textId="29049D50" w:rsidR="000464B6" w:rsidRPr="006627B4" w:rsidRDefault="000464B6" w:rsidP="000464B6">
      <w:r w:rsidRPr="006627B4">
        <w:t>If you have modified or transformed Treasury material, or derived new material from those of the Treasury in any way, then Treasury pre</w:t>
      </w:r>
      <w:r w:rsidR="00F613A4">
        <w:t>fers the following attribution:</w:t>
      </w:r>
    </w:p>
    <w:p w14:paraId="35EBC80B" w14:textId="77777777" w:rsidR="000464B6" w:rsidRPr="006627B4" w:rsidRDefault="000464B6" w:rsidP="000464B6">
      <w:pPr>
        <w:ind w:firstLine="720"/>
      </w:pPr>
      <w:r w:rsidRPr="002F1BC2">
        <w:rPr>
          <w:i/>
        </w:rPr>
        <w:t>Based on The Australian Government the Treasury data</w:t>
      </w:r>
    </w:p>
    <w:p w14:paraId="31660E10" w14:textId="77777777" w:rsidR="000464B6" w:rsidRPr="006627B4" w:rsidRDefault="000464B6" w:rsidP="000464B6">
      <w:pPr>
        <w:spacing w:after="40"/>
        <w:rPr>
          <w:b/>
        </w:rPr>
      </w:pPr>
      <w:r w:rsidRPr="006627B4">
        <w:rPr>
          <w:b/>
        </w:rPr>
        <w:t>Use of the Coat of Arms</w:t>
      </w:r>
    </w:p>
    <w:p w14:paraId="33363AE7" w14:textId="167D97EA" w:rsidR="000464B6" w:rsidRPr="006627B4" w:rsidRDefault="000464B6" w:rsidP="000464B6">
      <w:r w:rsidRPr="006627B4">
        <w:t>The terms under which the Coat of Arms can be used are set out on the It’s an Honour website (see</w:t>
      </w:r>
      <w:r w:rsidR="00DF40B5">
        <w:t> </w:t>
      </w:r>
      <w:hyperlink r:id="rId17" w:history="1">
        <w:r w:rsidRPr="00DF40B5">
          <w:rPr>
            <w:rStyle w:val="Hyperlink"/>
          </w:rPr>
          <w:t>www.itsanhonour.gov.au</w:t>
        </w:r>
      </w:hyperlink>
      <w:r w:rsidRPr="006627B4">
        <w:t>)</w:t>
      </w:r>
    </w:p>
    <w:p w14:paraId="427E8782" w14:textId="77777777" w:rsidR="000464B6" w:rsidRPr="006627B4" w:rsidRDefault="00A57848" w:rsidP="000464B6">
      <w:pPr>
        <w:spacing w:after="40"/>
        <w:rPr>
          <w:b/>
        </w:rPr>
      </w:pPr>
      <w:r>
        <w:rPr>
          <w:b/>
        </w:rPr>
        <w:t>Other u</w:t>
      </w:r>
      <w:r w:rsidR="000464B6" w:rsidRPr="006627B4">
        <w:rPr>
          <w:b/>
        </w:rPr>
        <w:t>ses</w:t>
      </w:r>
    </w:p>
    <w:p w14:paraId="0B216D08" w14:textId="77777777" w:rsidR="000464B6" w:rsidRPr="006627B4" w:rsidRDefault="00A57848" w:rsidP="00A57848">
      <w:pPr>
        <w:spacing w:after="120"/>
      </w:pPr>
      <w:r>
        <w:t>E</w:t>
      </w:r>
      <w:r w:rsidR="000464B6" w:rsidRPr="006627B4">
        <w:t>nquiries regarding this licence and any other use of this document are welcome at:</w:t>
      </w:r>
    </w:p>
    <w:p w14:paraId="1C60877A" w14:textId="77777777" w:rsidR="000464B6" w:rsidRPr="006627B4" w:rsidRDefault="000464B6" w:rsidP="000464B6">
      <w:pPr>
        <w:spacing w:after="0"/>
        <w:ind w:left="720"/>
      </w:pPr>
      <w:r w:rsidRPr="006627B4">
        <w:t>Manager</w:t>
      </w:r>
    </w:p>
    <w:p w14:paraId="3E3A164F" w14:textId="77777777" w:rsidR="000464B6" w:rsidRPr="006627B4" w:rsidRDefault="00A57848" w:rsidP="000464B6">
      <w:pPr>
        <w:spacing w:after="0"/>
        <w:ind w:left="720"/>
      </w:pPr>
      <w:r>
        <w:t>Media Unit</w:t>
      </w:r>
    </w:p>
    <w:p w14:paraId="55769703" w14:textId="77777777" w:rsidR="000464B6" w:rsidRPr="006627B4" w:rsidRDefault="000464B6" w:rsidP="000464B6">
      <w:pPr>
        <w:spacing w:after="0"/>
        <w:ind w:left="720"/>
      </w:pPr>
      <w:r w:rsidRPr="006627B4">
        <w:t>The Treasury</w:t>
      </w:r>
    </w:p>
    <w:p w14:paraId="63C69596" w14:textId="77777777" w:rsidR="00F613A4" w:rsidRDefault="00F613A4" w:rsidP="000464B6">
      <w:pPr>
        <w:spacing w:after="0"/>
        <w:ind w:left="720"/>
      </w:pPr>
      <w:r>
        <w:t>Langton Crescent</w:t>
      </w:r>
    </w:p>
    <w:p w14:paraId="418C1E6A" w14:textId="546576AE" w:rsidR="000464B6" w:rsidRPr="006627B4" w:rsidRDefault="000464B6" w:rsidP="000464B6">
      <w:pPr>
        <w:spacing w:after="0"/>
        <w:ind w:left="720"/>
      </w:pPr>
      <w:r w:rsidRPr="006627B4">
        <w:t>Parkes ACT 2600</w:t>
      </w:r>
    </w:p>
    <w:p w14:paraId="3777978F" w14:textId="77777777" w:rsidR="000464B6" w:rsidRDefault="000464B6" w:rsidP="000464B6">
      <w:pPr>
        <w:spacing w:after="0"/>
        <w:ind w:left="720"/>
        <w:rPr>
          <w:rStyle w:val="Hyperlink"/>
        </w:rPr>
      </w:pPr>
      <w:r w:rsidRPr="006627B4">
        <w:t xml:space="preserve">Email: </w:t>
      </w:r>
      <w:hyperlink r:id="rId18" w:history="1">
        <w:r w:rsidRPr="00573329">
          <w:rPr>
            <w:rStyle w:val="Hyperlink"/>
          </w:rPr>
          <w:t>medialiaison@treasury.gov.au</w:t>
        </w:r>
      </w:hyperlink>
      <w:r w:rsidRPr="002F1BC2">
        <w:rPr>
          <w:rStyle w:val="Hyperlink"/>
        </w:rPr>
        <w:t xml:space="preserve"> </w:t>
      </w:r>
    </w:p>
    <w:p w14:paraId="01FE14A2" w14:textId="77777777" w:rsidR="000464B6" w:rsidRPr="000464B6" w:rsidRDefault="000464B6" w:rsidP="000464B6"/>
    <w:p w14:paraId="0B6A2980" w14:textId="77777777" w:rsidR="000464B6" w:rsidRDefault="000464B6" w:rsidP="000464B6">
      <w:pPr>
        <w:spacing w:after="0"/>
        <w:ind w:left="720"/>
        <w:rPr>
          <w:rStyle w:val="Hyperlink"/>
        </w:rPr>
        <w:sectPr w:rsidR="000464B6" w:rsidSect="008C0793">
          <w:headerReference w:type="first" r:id="rId19"/>
          <w:pgSz w:w="11906" w:h="16838" w:code="9"/>
          <w:pgMar w:top="1418" w:right="1304" w:bottom="1418" w:left="1304" w:header="567" w:footer="567" w:gutter="0"/>
          <w:cols w:space="708"/>
          <w:titlePg/>
          <w:docGrid w:linePitch="360"/>
        </w:sectPr>
      </w:pPr>
    </w:p>
    <w:p w14:paraId="02C6D225" w14:textId="77777777" w:rsidR="00F012EA" w:rsidRDefault="00485133" w:rsidP="00F012EA">
      <w:pPr>
        <w:pStyle w:val="SingleParagraph"/>
      </w:pPr>
      <w:r>
        <w:lastRenderedPageBreak/>
        <w:t>Does payroll tax affect firm behaviour?</w:t>
      </w:r>
    </w:p>
    <w:p w14:paraId="20789A38" w14:textId="77777777" w:rsidR="00F012EA" w:rsidRDefault="00485133" w:rsidP="00F012EA">
      <w:pPr>
        <w:pStyle w:val="SingleParagraph"/>
      </w:pPr>
      <w:r>
        <w:t>Ben Ralston</w:t>
      </w:r>
    </w:p>
    <w:p w14:paraId="4DC11730" w14:textId="7BF57F6D" w:rsidR="00F012EA" w:rsidRDefault="00F012EA" w:rsidP="00F012EA">
      <w:pPr>
        <w:pStyle w:val="SingleParagraph"/>
      </w:pPr>
      <w:r w:rsidRPr="003905D5">
        <w:t>20</w:t>
      </w:r>
      <w:r w:rsidR="00485133" w:rsidRPr="003905D5">
        <w:t>18</w:t>
      </w:r>
      <w:r w:rsidR="003905D5" w:rsidRPr="003905D5">
        <w:noBreakHyphen/>
        <w:t>01</w:t>
      </w:r>
    </w:p>
    <w:p w14:paraId="546DA11F" w14:textId="277C74A8" w:rsidR="006448EF" w:rsidRDefault="005E4841" w:rsidP="00F012EA">
      <w:pPr>
        <w:pStyle w:val="SingleParagraph"/>
      </w:pPr>
      <w:r>
        <w:t>13 April 2018</w:t>
      </w:r>
    </w:p>
    <w:p w14:paraId="2E162949" w14:textId="77777777" w:rsidR="00F012EA" w:rsidRDefault="00F012EA" w:rsidP="00AD479A">
      <w:pPr>
        <w:pStyle w:val="Heading1"/>
      </w:pPr>
      <w:bookmarkStart w:id="1" w:name="_Toc509305834"/>
      <w:bookmarkStart w:id="2" w:name="_Toc509306058"/>
      <w:r>
        <w:t>Abstract</w:t>
      </w:r>
      <w:bookmarkEnd w:id="1"/>
      <w:bookmarkEnd w:id="2"/>
    </w:p>
    <w:p w14:paraId="233AA88B" w14:textId="0C308977" w:rsidR="00226FEC" w:rsidRDefault="00226FEC" w:rsidP="00226FEC">
      <w:r>
        <w:t xml:space="preserve">Payroll tax has been </w:t>
      </w:r>
      <w:r w:rsidR="002B11BE">
        <w:t>frequently</w:t>
      </w:r>
      <w:r>
        <w:t xml:space="preserve"> singled out as having an adverse effect on businesses and the economy in general. Payroll tax is levied by the States against the total sum of remuneration of employees within a firm for each dollar above a threshold. The threshold exempts small businesses from payroll tax. This could cause firms to try to avoid payroll tax by staying small and therefore bunching just below the threshold. To mitigate the potential distortions of payroll tax, the policy prescription is to have a low rate and a low threshold.</w:t>
      </w:r>
    </w:p>
    <w:p w14:paraId="1C6099DD" w14:textId="25918BD7" w:rsidR="00226FEC" w:rsidRDefault="00226FEC" w:rsidP="00226FEC">
      <w:r>
        <w:t>This paper uses administrative business income tax data covering 200</w:t>
      </w:r>
      <w:r w:rsidR="007871DA">
        <w:t>1-0</w:t>
      </w:r>
      <w:r>
        <w:t>2 to 20</w:t>
      </w:r>
      <w:r w:rsidR="007871DA">
        <w:t>14-</w:t>
      </w:r>
      <w:r>
        <w:t>15 to determine whether payroll tax affects the behaviour of businesses. The key observations that emerge are:</w:t>
      </w:r>
    </w:p>
    <w:p w14:paraId="40FB840F" w14:textId="22B949F5" w:rsidR="00226FEC" w:rsidRDefault="00226FEC" w:rsidP="00DF40B5">
      <w:pPr>
        <w:tabs>
          <w:tab w:val="left" w:pos="993"/>
        </w:tabs>
        <w:ind w:left="993" w:hanging="426"/>
      </w:pPr>
      <w:r>
        <w:t>1.</w:t>
      </w:r>
      <w:r w:rsidR="00A1600C">
        <w:tab/>
      </w:r>
      <w:r>
        <w:t>Firms generally do not bunch b</w:t>
      </w:r>
      <w:r w:rsidR="00F613A4">
        <w:t>elow the payroll tax threshold.</w:t>
      </w:r>
    </w:p>
    <w:p w14:paraId="0C0605F3" w14:textId="593C1BB0" w:rsidR="00600B15" w:rsidRDefault="00226FEC" w:rsidP="00DF40B5">
      <w:pPr>
        <w:tabs>
          <w:tab w:val="left" w:pos="993"/>
        </w:tabs>
        <w:ind w:left="993" w:hanging="426"/>
      </w:pPr>
      <w:r>
        <w:t>2.</w:t>
      </w:r>
      <w:r w:rsidR="00A1600C">
        <w:tab/>
      </w:r>
      <w:r w:rsidR="00600B15">
        <w:t xml:space="preserve">The limited bunching in Victoria, which had one of the lowest thresholds and </w:t>
      </w:r>
      <w:r w:rsidR="007475AD">
        <w:t xml:space="preserve">one of </w:t>
      </w:r>
      <w:r w:rsidR="00600B15">
        <w:t>the lowest tax rate</w:t>
      </w:r>
      <w:r w:rsidR="00C71AA9">
        <w:t>s</w:t>
      </w:r>
      <w:r w:rsidR="00600B15">
        <w:t xml:space="preserve"> during the sample period, is unexpected as Victoria had followed the policy prescription designed to mitigate the adverse effects of payroll tax.</w:t>
      </w:r>
    </w:p>
    <w:p w14:paraId="5E1EEE3A" w14:textId="61E6561B" w:rsidR="00226FEC" w:rsidRDefault="00226FEC" w:rsidP="00DF40B5">
      <w:pPr>
        <w:tabs>
          <w:tab w:val="left" w:pos="993"/>
        </w:tabs>
        <w:ind w:left="993" w:hanging="426"/>
      </w:pPr>
      <w:r>
        <w:t>3.</w:t>
      </w:r>
      <w:r w:rsidR="00A1600C">
        <w:tab/>
      </w:r>
      <w:r w:rsidR="00600B15">
        <w:t>Firms, in general, do not attempt to avoid payroll tax by hiring contractors.</w:t>
      </w:r>
    </w:p>
    <w:p w14:paraId="63A614B0" w14:textId="6D6AB502" w:rsidR="00F012EA" w:rsidRDefault="00485133" w:rsidP="00F012EA">
      <w:pPr>
        <w:pStyle w:val="SingleParagraph"/>
      </w:pPr>
      <w:r>
        <w:t>JEL Classification Number</w:t>
      </w:r>
      <w:r w:rsidR="00F012EA">
        <w:t xml:space="preserve">: </w:t>
      </w:r>
      <w:r>
        <w:t>H25</w:t>
      </w:r>
    </w:p>
    <w:p w14:paraId="154B7BF4" w14:textId="2D83E36E" w:rsidR="00F012EA" w:rsidRDefault="00F012EA" w:rsidP="00F613A4">
      <w:pPr>
        <w:pStyle w:val="SingleParagraph"/>
        <w:spacing w:after="240"/>
      </w:pPr>
      <w:r>
        <w:t xml:space="preserve">Keywords: </w:t>
      </w:r>
      <w:r w:rsidR="00485133">
        <w:t>Payroll tax, business tax, bunching</w:t>
      </w:r>
      <w:r w:rsidR="0082464E">
        <w:t>, distortionary tax</w:t>
      </w:r>
    </w:p>
    <w:p w14:paraId="0BDEFDC2" w14:textId="77777777" w:rsidR="00F012EA" w:rsidRDefault="00485133" w:rsidP="00F012EA">
      <w:pPr>
        <w:pStyle w:val="SingleParagraph"/>
      </w:pPr>
      <w:r>
        <w:t>Ben Ralston</w:t>
      </w:r>
    </w:p>
    <w:p w14:paraId="04B9C536" w14:textId="77777777" w:rsidR="00F012EA" w:rsidRDefault="00485133" w:rsidP="00F012EA">
      <w:pPr>
        <w:pStyle w:val="SingleParagraph"/>
      </w:pPr>
      <w:r>
        <w:t>Macroeconomic Modelling and Policy Division</w:t>
      </w:r>
    </w:p>
    <w:p w14:paraId="65CF51E7" w14:textId="77777777" w:rsidR="00F012EA" w:rsidRDefault="00485133" w:rsidP="00F012EA">
      <w:pPr>
        <w:pStyle w:val="SingleParagraph"/>
      </w:pPr>
      <w:r>
        <w:t>Macroeconomic Group</w:t>
      </w:r>
    </w:p>
    <w:p w14:paraId="5D85E7FA" w14:textId="77777777" w:rsidR="00F012EA" w:rsidRDefault="00F012EA" w:rsidP="00F012EA">
      <w:pPr>
        <w:pStyle w:val="SingleParagraph"/>
      </w:pPr>
      <w:r>
        <w:t>The Treasury</w:t>
      </w:r>
    </w:p>
    <w:p w14:paraId="75215296" w14:textId="77777777" w:rsidR="00F012EA" w:rsidRDefault="00F012EA" w:rsidP="00F012EA">
      <w:pPr>
        <w:pStyle w:val="SingleParagraph"/>
      </w:pPr>
      <w:r>
        <w:t>Langton Crescent</w:t>
      </w:r>
    </w:p>
    <w:p w14:paraId="5C8BEDA4" w14:textId="77777777" w:rsidR="008400E9" w:rsidRDefault="008400E9" w:rsidP="008400E9">
      <w:pPr>
        <w:pStyle w:val="SingleParagraph"/>
      </w:pPr>
      <w:proofErr w:type="gramStart"/>
      <w:r>
        <w:t>Parkes  ACT</w:t>
      </w:r>
      <w:proofErr w:type="gramEnd"/>
      <w:r>
        <w:t xml:space="preserve">  2600</w:t>
      </w:r>
    </w:p>
    <w:p w14:paraId="45DD70B7" w14:textId="77777777" w:rsidR="008400E9" w:rsidRDefault="008400E9" w:rsidP="008400E9">
      <w:pPr>
        <w:pStyle w:val="SingleParagraph"/>
      </w:pPr>
    </w:p>
    <w:p w14:paraId="5B3A095A" w14:textId="77777777" w:rsidR="008400E9" w:rsidRDefault="008400E9" w:rsidP="008400E9">
      <w:pPr>
        <w:pStyle w:val="SingleParagraph"/>
        <w:sectPr w:rsidR="008400E9" w:rsidSect="008C0793">
          <w:pgSz w:w="11906" w:h="16838" w:code="9"/>
          <w:pgMar w:top="1418" w:right="1304" w:bottom="1418" w:left="1304" w:header="567" w:footer="567" w:gutter="0"/>
          <w:cols w:space="708"/>
          <w:titlePg/>
          <w:docGrid w:linePitch="360"/>
        </w:sectPr>
      </w:pPr>
    </w:p>
    <w:p w14:paraId="2F706913" w14:textId="067BBE0B" w:rsidR="00D22AF2" w:rsidRDefault="00D22AF2" w:rsidP="00D22AF2">
      <w:pPr>
        <w:pStyle w:val="Heading1"/>
      </w:pPr>
      <w:bookmarkStart w:id="3" w:name="_Toc509306059"/>
      <w:r>
        <w:lastRenderedPageBreak/>
        <w:t>Contents</w:t>
      </w:r>
      <w:bookmarkEnd w:id="3"/>
    </w:p>
    <w:p w14:paraId="04AF643E" w14:textId="798158CD" w:rsidR="00D22AF2" w:rsidRDefault="00D22AF2">
      <w:pPr>
        <w:pStyle w:val="TOC1"/>
        <w:rPr>
          <w:rFonts w:asciiTheme="minorHAnsi" w:eastAsiaTheme="minorEastAsia" w:hAnsiTheme="minorHAnsi"/>
          <w:smallCaps w:val="0"/>
          <w:noProof/>
          <w:color w:val="auto"/>
          <w:lang w:eastAsia="en-AU"/>
        </w:rPr>
      </w:pPr>
      <w:r>
        <w:fldChar w:fldCharType="begin"/>
      </w:r>
      <w:r>
        <w:instrText xml:space="preserve"> TOC \o "1-1" \h \z \t "Heading 2,1,Appendix Heading Level 2 Not Numbered,1,Appendix Heading Level 2,1,Heading 2 Not Numbered,1" </w:instrText>
      </w:r>
      <w:r>
        <w:fldChar w:fldCharType="separate"/>
      </w:r>
      <w:hyperlink w:anchor="_Toc509306060" w:history="1">
        <w:r w:rsidRPr="00277E54">
          <w:rPr>
            <w:rStyle w:val="Hyperlink"/>
            <w:rFonts w:cs="Arial"/>
            <w:noProof/>
          </w:rPr>
          <w:t>1.</w:t>
        </w:r>
        <w:r>
          <w:rPr>
            <w:rFonts w:asciiTheme="minorHAnsi" w:eastAsiaTheme="minorEastAsia" w:hAnsiTheme="minorHAnsi"/>
            <w:smallCaps w:val="0"/>
            <w:noProof/>
            <w:color w:val="auto"/>
            <w:lang w:eastAsia="en-AU"/>
          </w:rPr>
          <w:tab/>
        </w:r>
        <w:r w:rsidRPr="00277E54">
          <w:rPr>
            <w:rStyle w:val="Hyperlink"/>
            <w:noProof/>
          </w:rPr>
          <w:t>Introduction</w:t>
        </w:r>
        <w:r>
          <w:rPr>
            <w:noProof/>
            <w:webHidden/>
          </w:rPr>
          <w:tab/>
        </w:r>
        <w:r>
          <w:rPr>
            <w:noProof/>
            <w:webHidden/>
          </w:rPr>
          <w:fldChar w:fldCharType="begin"/>
        </w:r>
        <w:r>
          <w:rPr>
            <w:noProof/>
            <w:webHidden/>
          </w:rPr>
          <w:instrText xml:space="preserve"> PAGEREF _Toc509306060 \h </w:instrText>
        </w:r>
        <w:r>
          <w:rPr>
            <w:noProof/>
            <w:webHidden/>
          </w:rPr>
        </w:r>
        <w:r>
          <w:rPr>
            <w:noProof/>
            <w:webHidden/>
          </w:rPr>
          <w:fldChar w:fldCharType="separate"/>
        </w:r>
        <w:r w:rsidR="006339B5">
          <w:rPr>
            <w:noProof/>
            <w:webHidden/>
          </w:rPr>
          <w:t>2</w:t>
        </w:r>
        <w:r>
          <w:rPr>
            <w:noProof/>
            <w:webHidden/>
          </w:rPr>
          <w:fldChar w:fldCharType="end"/>
        </w:r>
      </w:hyperlink>
    </w:p>
    <w:p w14:paraId="57A555D2" w14:textId="77777777" w:rsidR="00D22AF2" w:rsidRDefault="007265F0">
      <w:pPr>
        <w:pStyle w:val="TOC1"/>
        <w:rPr>
          <w:rFonts w:asciiTheme="minorHAnsi" w:eastAsiaTheme="minorEastAsia" w:hAnsiTheme="minorHAnsi"/>
          <w:smallCaps w:val="0"/>
          <w:noProof/>
          <w:color w:val="auto"/>
          <w:lang w:eastAsia="en-AU"/>
        </w:rPr>
      </w:pPr>
      <w:hyperlink w:anchor="_Toc509306061" w:history="1">
        <w:r w:rsidR="00D22AF2" w:rsidRPr="00277E54">
          <w:rPr>
            <w:rStyle w:val="Hyperlink"/>
            <w:rFonts w:cs="Arial"/>
            <w:noProof/>
          </w:rPr>
          <w:t>2.</w:t>
        </w:r>
        <w:r w:rsidR="00D22AF2">
          <w:rPr>
            <w:rFonts w:asciiTheme="minorHAnsi" w:eastAsiaTheme="minorEastAsia" w:hAnsiTheme="minorHAnsi"/>
            <w:smallCaps w:val="0"/>
            <w:noProof/>
            <w:color w:val="auto"/>
            <w:lang w:eastAsia="en-AU"/>
          </w:rPr>
          <w:tab/>
        </w:r>
        <w:r w:rsidR="00D22AF2" w:rsidRPr="00277E54">
          <w:rPr>
            <w:rStyle w:val="Hyperlink"/>
            <w:noProof/>
          </w:rPr>
          <w:t>Description of payroll taxes across Australia</w:t>
        </w:r>
        <w:r w:rsidR="00D22AF2">
          <w:rPr>
            <w:noProof/>
            <w:webHidden/>
          </w:rPr>
          <w:tab/>
        </w:r>
        <w:r w:rsidR="00D22AF2">
          <w:rPr>
            <w:noProof/>
            <w:webHidden/>
          </w:rPr>
          <w:fldChar w:fldCharType="begin"/>
        </w:r>
        <w:r w:rsidR="00D22AF2">
          <w:rPr>
            <w:noProof/>
            <w:webHidden/>
          </w:rPr>
          <w:instrText xml:space="preserve"> PAGEREF _Toc509306061 \h </w:instrText>
        </w:r>
        <w:r w:rsidR="00D22AF2">
          <w:rPr>
            <w:noProof/>
            <w:webHidden/>
          </w:rPr>
        </w:r>
        <w:r w:rsidR="00D22AF2">
          <w:rPr>
            <w:noProof/>
            <w:webHidden/>
          </w:rPr>
          <w:fldChar w:fldCharType="separate"/>
        </w:r>
        <w:r w:rsidR="006339B5">
          <w:rPr>
            <w:noProof/>
            <w:webHidden/>
          </w:rPr>
          <w:t>4</w:t>
        </w:r>
        <w:r w:rsidR="00D22AF2">
          <w:rPr>
            <w:noProof/>
            <w:webHidden/>
          </w:rPr>
          <w:fldChar w:fldCharType="end"/>
        </w:r>
      </w:hyperlink>
    </w:p>
    <w:p w14:paraId="7CDA3513" w14:textId="77777777" w:rsidR="00D22AF2" w:rsidRDefault="007265F0">
      <w:pPr>
        <w:pStyle w:val="TOC1"/>
        <w:rPr>
          <w:rFonts w:asciiTheme="minorHAnsi" w:eastAsiaTheme="minorEastAsia" w:hAnsiTheme="minorHAnsi"/>
          <w:smallCaps w:val="0"/>
          <w:noProof/>
          <w:color w:val="auto"/>
          <w:lang w:eastAsia="en-AU"/>
        </w:rPr>
      </w:pPr>
      <w:hyperlink w:anchor="_Toc509306062" w:history="1">
        <w:r w:rsidR="00D22AF2" w:rsidRPr="00277E54">
          <w:rPr>
            <w:rStyle w:val="Hyperlink"/>
            <w:rFonts w:cs="Arial"/>
            <w:noProof/>
          </w:rPr>
          <w:t>3.</w:t>
        </w:r>
        <w:r w:rsidR="00D22AF2">
          <w:rPr>
            <w:rFonts w:asciiTheme="minorHAnsi" w:eastAsiaTheme="minorEastAsia" w:hAnsiTheme="minorHAnsi"/>
            <w:smallCaps w:val="0"/>
            <w:noProof/>
            <w:color w:val="auto"/>
            <w:lang w:eastAsia="en-AU"/>
          </w:rPr>
          <w:tab/>
        </w:r>
        <w:r w:rsidR="00D22AF2" w:rsidRPr="00277E54">
          <w:rPr>
            <w:rStyle w:val="Hyperlink"/>
            <w:noProof/>
          </w:rPr>
          <w:t>Data</w:t>
        </w:r>
        <w:r w:rsidR="00D22AF2">
          <w:rPr>
            <w:noProof/>
            <w:webHidden/>
          </w:rPr>
          <w:tab/>
        </w:r>
        <w:r w:rsidR="00D22AF2">
          <w:rPr>
            <w:noProof/>
            <w:webHidden/>
          </w:rPr>
          <w:fldChar w:fldCharType="begin"/>
        </w:r>
        <w:r w:rsidR="00D22AF2">
          <w:rPr>
            <w:noProof/>
            <w:webHidden/>
          </w:rPr>
          <w:instrText xml:space="preserve"> PAGEREF _Toc509306062 \h </w:instrText>
        </w:r>
        <w:r w:rsidR="00D22AF2">
          <w:rPr>
            <w:noProof/>
            <w:webHidden/>
          </w:rPr>
        </w:r>
        <w:r w:rsidR="00D22AF2">
          <w:rPr>
            <w:noProof/>
            <w:webHidden/>
          </w:rPr>
          <w:fldChar w:fldCharType="separate"/>
        </w:r>
        <w:r w:rsidR="006339B5">
          <w:rPr>
            <w:noProof/>
            <w:webHidden/>
          </w:rPr>
          <w:t>6</w:t>
        </w:r>
        <w:r w:rsidR="00D22AF2">
          <w:rPr>
            <w:noProof/>
            <w:webHidden/>
          </w:rPr>
          <w:fldChar w:fldCharType="end"/>
        </w:r>
      </w:hyperlink>
    </w:p>
    <w:p w14:paraId="5A33074C" w14:textId="77777777" w:rsidR="00D22AF2" w:rsidRDefault="007265F0">
      <w:pPr>
        <w:pStyle w:val="TOC1"/>
        <w:rPr>
          <w:rFonts w:asciiTheme="minorHAnsi" w:eastAsiaTheme="minorEastAsia" w:hAnsiTheme="minorHAnsi"/>
          <w:smallCaps w:val="0"/>
          <w:noProof/>
          <w:color w:val="auto"/>
          <w:lang w:eastAsia="en-AU"/>
        </w:rPr>
      </w:pPr>
      <w:hyperlink w:anchor="_Toc509306063" w:history="1">
        <w:r w:rsidR="00D22AF2" w:rsidRPr="00277E54">
          <w:rPr>
            <w:rStyle w:val="Hyperlink"/>
            <w:rFonts w:cs="Arial"/>
            <w:noProof/>
          </w:rPr>
          <w:t>4.</w:t>
        </w:r>
        <w:r w:rsidR="00D22AF2">
          <w:rPr>
            <w:rFonts w:asciiTheme="minorHAnsi" w:eastAsiaTheme="minorEastAsia" w:hAnsiTheme="minorHAnsi"/>
            <w:smallCaps w:val="0"/>
            <w:noProof/>
            <w:color w:val="auto"/>
            <w:lang w:eastAsia="en-AU"/>
          </w:rPr>
          <w:tab/>
        </w:r>
        <w:r w:rsidR="00D22AF2" w:rsidRPr="00277E54">
          <w:rPr>
            <w:rStyle w:val="Hyperlink"/>
            <w:noProof/>
          </w:rPr>
          <w:t>Methodology</w:t>
        </w:r>
        <w:r w:rsidR="00D22AF2">
          <w:rPr>
            <w:noProof/>
            <w:webHidden/>
          </w:rPr>
          <w:tab/>
        </w:r>
        <w:r w:rsidR="00D22AF2">
          <w:rPr>
            <w:noProof/>
            <w:webHidden/>
          </w:rPr>
          <w:fldChar w:fldCharType="begin"/>
        </w:r>
        <w:r w:rsidR="00D22AF2">
          <w:rPr>
            <w:noProof/>
            <w:webHidden/>
          </w:rPr>
          <w:instrText xml:space="preserve"> PAGEREF _Toc509306063 \h </w:instrText>
        </w:r>
        <w:r w:rsidR="00D22AF2">
          <w:rPr>
            <w:noProof/>
            <w:webHidden/>
          </w:rPr>
        </w:r>
        <w:r w:rsidR="00D22AF2">
          <w:rPr>
            <w:noProof/>
            <w:webHidden/>
          </w:rPr>
          <w:fldChar w:fldCharType="separate"/>
        </w:r>
        <w:r w:rsidR="006339B5">
          <w:rPr>
            <w:noProof/>
            <w:webHidden/>
          </w:rPr>
          <w:t>10</w:t>
        </w:r>
        <w:r w:rsidR="00D22AF2">
          <w:rPr>
            <w:noProof/>
            <w:webHidden/>
          </w:rPr>
          <w:fldChar w:fldCharType="end"/>
        </w:r>
      </w:hyperlink>
    </w:p>
    <w:p w14:paraId="72ABCFF0" w14:textId="77777777" w:rsidR="00D22AF2" w:rsidRDefault="007265F0">
      <w:pPr>
        <w:pStyle w:val="TOC1"/>
        <w:rPr>
          <w:rFonts w:asciiTheme="minorHAnsi" w:eastAsiaTheme="minorEastAsia" w:hAnsiTheme="minorHAnsi"/>
          <w:smallCaps w:val="0"/>
          <w:noProof/>
          <w:color w:val="auto"/>
          <w:lang w:eastAsia="en-AU"/>
        </w:rPr>
      </w:pPr>
      <w:hyperlink w:anchor="_Toc509306064" w:history="1">
        <w:r w:rsidR="00D22AF2" w:rsidRPr="00277E54">
          <w:rPr>
            <w:rStyle w:val="Hyperlink"/>
            <w:rFonts w:cs="Arial"/>
            <w:noProof/>
          </w:rPr>
          <w:t>5.</w:t>
        </w:r>
        <w:r w:rsidR="00D22AF2">
          <w:rPr>
            <w:rFonts w:asciiTheme="minorHAnsi" w:eastAsiaTheme="minorEastAsia" w:hAnsiTheme="minorHAnsi"/>
            <w:smallCaps w:val="0"/>
            <w:noProof/>
            <w:color w:val="auto"/>
            <w:lang w:eastAsia="en-AU"/>
          </w:rPr>
          <w:tab/>
        </w:r>
        <w:r w:rsidR="00D22AF2" w:rsidRPr="00277E54">
          <w:rPr>
            <w:rStyle w:val="Hyperlink"/>
            <w:noProof/>
          </w:rPr>
          <w:t>Results</w:t>
        </w:r>
        <w:r w:rsidR="00D22AF2">
          <w:rPr>
            <w:noProof/>
            <w:webHidden/>
          </w:rPr>
          <w:tab/>
        </w:r>
        <w:r w:rsidR="00D22AF2">
          <w:rPr>
            <w:noProof/>
            <w:webHidden/>
          </w:rPr>
          <w:fldChar w:fldCharType="begin"/>
        </w:r>
        <w:r w:rsidR="00D22AF2">
          <w:rPr>
            <w:noProof/>
            <w:webHidden/>
          </w:rPr>
          <w:instrText xml:space="preserve"> PAGEREF _Toc509306064 \h </w:instrText>
        </w:r>
        <w:r w:rsidR="00D22AF2">
          <w:rPr>
            <w:noProof/>
            <w:webHidden/>
          </w:rPr>
        </w:r>
        <w:r w:rsidR="00D22AF2">
          <w:rPr>
            <w:noProof/>
            <w:webHidden/>
          </w:rPr>
          <w:fldChar w:fldCharType="separate"/>
        </w:r>
        <w:r w:rsidR="006339B5">
          <w:rPr>
            <w:noProof/>
            <w:webHidden/>
          </w:rPr>
          <w:t>14</w:t>
        </w:r>
        <w:r w:rsidR="00D22AF2">
          <w:rPr>
            <w:noProof/>
            <w:webHidden/>
          </w:rPr>
          <w:fldChar w:fldCharType="end"/>
        </w:r>
      </w:hyperlink>
    </w:p>
    <w:p w14:paraId="44552884" w14:textId="77777777" w:rsidR="00D22AF2" w:rsidRDefault="007265F0">
      <w:pPr>
        <w:pStyle w:val="TOC1"/>
        <w:rPr>
          <w:rFonts w:asciiTheme="minorHAnsi" w:eastAsiaTheme="minorEastAsia" w:hAnsiTheme="minorHAnsi"/>
          <w:smallCaps w:val="0"/>
          <w:noProof/>
          <w:color w:val="auto"/>
          <w:lang w:eastAsia="en-AU"/>
        </w:rPr>
      </w:pPr>
      <w:hyperlink w:anchor="_Toc509306065" w:history="1">
        <w:r w:rsidR="00D22AF2" w:rsidRPr="00277E54">
          <w:rPr>
            <w:rStyle w:val="Hyperlink"/>
            <w:rFonts w:cs="Arial"/>
            <w:noProof/>
          </w:rPr>
          <w:t>6.</w:t>
        </w:r>
        <w:r w:rsidR="00D22AF2">
          <w:rPr>
            <w:rFonts w:asciiTheme="minorHAnsi" w:eastAsiaTheme="minorEastAsia" w:hAnsiTheme="minorHAnsi"/>
            <w:smallCaps w:val="0"/>
            <w:noProof/>
            <w:color w:val="auto"/>
            <w:lang w:eastAsia="en-AU"/>
          </w:rPr>
          <w:tab/>
        </w:r>
        <w:r w:rsidR="00D22AF2" w:rsidRPr="00277E54">
          <w:rPr>
            <w:rStyle w:val="Hyperlink"/>
            <w:noProof/>
          </w:rPr>
          <w:t>Conclusion</w:t>
        </w:r>
        <w:r w:rsidR="00D22AF2">
          <w:rPr>
            <w:noProof/>
            <w:webHidden/>
          </w:rPr>
          <w:tab/>
        </w:r>
        <w:r w:rsidR="00D22AF2">
          <w:rPr>
            <w:noProof/>
            <w:webHidden/>
          </w:rPr>
          <w:fldChar w:fldCharType="begin"/>
        </w:r>
        <w:r w:rsidR="00D22AF2">
          <w:rPr>
            <w:noProof/>
            <w:webHidden/>
          </w:rPr>
          <w:instrText xml:space="preserve"> PAGEREF _Toc509306065 \h </w:instrText>
        </w:r>
        <w:r w:rsidR="00D22AF2">
          <w:rPr>
            <w:noProof/>
            <w:webHidden/>
          </w:rPr>
        </w:r>
        <w:r w:rsidR="00D22AF2">
          <w:rPr>
            <w:noProof/>
            <w:webHidden/>
          </w:rPr>
          <w:fldChar w:fldCharType="separate"/>
        </w:r>
        <w:r w:rsidR="006339B5">
          <w:rPr>
            <w:noProof/>
            <w:webHidden/>
          </w:rPr>
          <w:t>19</w:t>
        </w:r>
        <w:r w:rsidR="00D22AF2">
          <w:rPr>
            <w:noProof/>
            <w:webHidden/>
          </w:rPr>
          <w:fldChar w:fldCharType="end"/>
        </w:r>
      </w:hyperlink>
    </w:p>
    <w:p w14:paraId="1200333C" w14:textId="77777777" w:rsidR="00D22AF2" w:rsidRDefault="007265F0">
      <w:pPr>
        <w:pStyle w:val="TOC1"/>
        <w:rPr>
          <w:rFonts w:asciiTheme="minorHAnsi" w:eastAsiaTheme="minorEastAsia" w:hAnsiTheme="minorHAnsi"/>
          <w:smallCaps w:val="0"/>
          <w:noProof/>
          <w:color w:val="auto"/>
          <w:lang w:eastAsia="en-AU"/>
        </w:rPr>
      </w:pPr>
      <w:hyperlink w:anchor="_Toc509306066" w:history="1">
        <w:r w:rsidR="00D22AF2" w:rsidRPr="00277E54">
          <w:rPr>
            <w:rStyle w:val="Hyperlink"/>
            <w:noProof/>
          </w:rPr>
          <w:t>References</w:t>
        </w:r>
        <w:r w:rsidR="00D22AF2">
          <w:rPr>
            <w:noProof/>
            <w:webHidden/>
          </w:rPr>
          <w:tab/>
        </w:r>
        <w:r w:rsidR="00D22AF2">
          <w:rPr>
            <w:noProof/>
            <w:webHidden/>
          </w:rPr>
          <w:fldChar w:fldCharType="begin"/>
        </w:r>
        <w:r w:rsidR="00D22AF2">
          <w:rPr>
            <w:noProof/>
            <w:webHidden/>
          </w:rPr>
          <w:instrText xml:space="preserve"> PAGEREF _Toc509306066 \h </w:instrText>
        </w:r>
        <w:r w:rsidR="00D22AF2">
          <w:rPr>
            <w:noProof/>
            <w:webHidden/>
          </w:rPr>
        </w:r>
        <w:r w:rsidR="00D22AF2">
          <w:rPr>
            <w:noProof/>
            <w:webHidden/>
          </w:rPr>
          <w:fldChar w:fldCharType="separate"/>
        </w:r>
        <w:r w:rsidR="006339B5">
          <w:rPr>
            <w:noProof/>
            <w:webHidden/>
          </w:rPr>
          <w:t>20</w:t>
        </w:r>
        <w:r w:rsidR="00D22AF2">
          <w:rPr>
            <w:noProof/>
            <w:webHidden/>
          </w:rPr>
          <w:fldChar w:fldCharType="end"/>
        </w:r>
      </w:hyperlink>
    </w:p>
    <w:p w14:paraId="2CBA5220" w14:textId="77777777" w:rsidR="00D22AF2" w:rsidRDefault="007265F0">
      <w:pPr>
        <w:pStyle w:val="TOC1"/>
        <w:rPr>
          <w:rFonts w:asciiTheme="minorHAnsi" w:eastAsiaTheme="minorEastAsia" w:hAnsiTheme="minorHAnsi"/>
          <w:smallCaps w:val="0"/>
          <w:noProof/>
          <w:color w:val="auto"/>
          <w:lang w:eastAsia="en-AU"/>
        </w:rPr>
      </w:pPr>
      <w:hyperlink w:anchor="_Toc509306067" w:history="1">
        <w:r w:rsidR="00D22AF2" w:rsidRPr="00277E54">
          <w:rPr>
            <w:rStyle w:val="Hyperlink"/>
            <w:noProof/>
          </w:rPr>
          <w:t>Appendix A – Payroll tax thresholds and rates</w:t>
        </w:r>
        <w:r w:rsidR="00D22AF2">
          <w:rPr>
            <w:noProof/>
            <w:webHidden/>
          </w:rPr>
          <w:tab/>
        </w:r>
        <w:r w:rsidR="00D22AF2">
          <w:rPr>
            <w:noProof/>
            <w:webHidden/>
          </w:rPr>
          <w:fldChar w:fldCharType="begin"/>
        </w:r>
        <w:r w:rsidR="00D22AF2">
          <w:rPr>
            <w:noProof/>
            <w:webHidden/>
          </w:rPr>
          <w:instrText xml:space="preserve"> PAGEREF _Toc509306067 \h </w:instrText>
        </w:r>
        <w:r w:rsidR="00D22AF2">
          <w:rPr>
            <w:noProof/>
            <w:webHidden/>
          </w:rPr>
        </w:r>
        <w:r w:rsidR="00D22AF2">
          <w:rPr>
            <w:noProof/>
            <w:webHidden/>
          </w:rPr>
          <w:fldChar w:fldCharType="separate"/>
        </w:r>
        <w:r w:rsidR="006339B5">
          <w:rPr>
            <w:noProof/>
            <w:webHidden/>
          </w:rPr>
          <w:t>21</w:t>
        </w:r>
        <w:r w:rsidR="00D22AF2">
          <w:rPr>
            <w:noProof/>
            <w:webHidden/>
          </w:rPr>
          <w:fldChar w:fldCharType="end"/>
        </w:r>
      </w:hyperlink>
    </w:p>
    <w:p w14:paraId="02ED5A7D" w14:textId="77777777" w:rsidR="00D22AF2" w:rsidRDefault="007265F0">
      <w:pPr>
        <w:pStyle w:val="TOC1"/>
        <w:rPr>
          <w:rFonts w:asciiTheme="minorHAnsi" w:eastAsiaTheme="minorEastAsia" w:hAnsiTheme="minorHAnsi"/>
          <w:smallCaps w:val="0"/>
          <w:noProof/>
          <w:color w:val="auto"/>
          <w:lang w:eastAsia="en-AU"/>
        </w:rPr>
      </w:pPr>
      <w:hyperlink w:anchor="_Toc509306068" w:history="1">
        <w:r w:rsidR="00D22AF2" w:rsidRPr="00277E54">
          <w:rPr>
            <w:rStyle w:val="Hyperlink"/>
            <w:noProof/>
          </w:rPr>
          <w:t>Appendix B – Descriptive statistics – Taxable Wages</w:t>
        </w:r>
        <w:r w:rsidR="00D22AF2">
          <w:rPr>
            <w:noProof/>
            <w:webHidden/>
          </w:rPr>
          <w:tab/>
        </w:r>
        <w:r w:rsidR="00D22AF2">
          <w:rPr>
            <w:noProof/>
            <w:webHidden/>
          </w:rPr>
          <w:fldChar w:fldCharType="begin"/>
        </w:r>
        <w:r w:rsidR="00D22AF2">
          <w:rPr>
            <w:noProof/>
            <w:webHidden/>
          </w:rPr>
          <w:instrText xml:space="preserve"> PAGEREF _Toc509306068 \h </w:instrText>
        </w:r>
        <w:r w:rsidR="00D22AF2">
          <w:rPr>
            <w:noProof/>
            <w:webHidden/>
          </w:rPr>
        </w:r>
        <w:r w:rsidR="00D22AF2">
          <w:rPr>
            <w:noProof/>
            <w:webHidden/>
          </w:rPr>
          <w:fldChar w:fldCharType="separate"/>
        </w:r>
        <w:r w:rsidR="006339B5">
          <w:rPr>
            <w:noProof/>
            <w:webHidden/>
          </w:rPr>
          <w:t>23</w:t>
        </w:r>
        <w:r w:rsidR="00D22AF2">
          <w:rPr>
            <w:noProof/>
            <w:webHidden/>
          </w:rPr>
          <w:fldChar w:fldCharType="end"/>
        </w:r>
      </w:hyperlink>
    </w:p>
    <w:p w14:paraId="66B51E1D" w14:textId="77777777" w:rsidR="00D22AF2" w:rsidRDefault="007265F0">
      <w:pPr>
        <w:pStyle w:val="TOC1"/>
        <w:rPr>
          <w:rFonts w:asciiTheme="minorHAnsi" w:eastAsiaTheme="minorEastAsia" w:hAnsiTheme="minorHAnsi"/>
          <w:smallCaps w:val="0"/>
          <w:noProof/>
          <w:color w:val="auto"/>
          <w:lang w:eastAsia="en-AU"/>
        </w:rPr>
      </w:pPr>
      <w:hyperlink w:anchor="_Toc509306069" w:history="1">
        <w:r w:rsidR="00D22AF2" w:rsidRPr="00277E54">
          <w:rPr>
            <w:rStyle w:val="Hyperlink"/>
            <w:noProof/>
          </w:rPr>
          <w:t>Appendix C</w:t>
        </w:r>
        <w:r w:rsidR="00D22AF2">
          <w:rPr>
            <w:noProof/>
            <w:webHidden/>
          </w:rPr>
          <w:tab/>
        </w:r>
        <w:r w:rsidR="00D22AF2">
          <w:rPr>
            <w:noProof/>
            <w:webHidden/>
          </w:rPr>
          <w:fldChar w:fldCharType="begin"/>
        </w:r>
        <w:r w:rsidR="00D22AF2">
          <w:rPr>
            <w:noProof/>
            <w:webHidden/>
          </w:rPr>
          <w:instrText xml:space="preserve"> PAGEREF _Toc509306069 \h </w:instrText>
        </w:r>
        <w:r w:rsidR="00D22AF2">
          <w:rPr>
            <w:noProof/>
            <w:webHidden/>
          </w:rPr>
        </w:r>
        <w:r w:rsidR="00D22AF2">
          <w:rPr>
            <w:noProof/>
            <w:webHidden/>
          </w:rPr>
          <w:fldChar w:fldCharType="separate"/>
        </w:r>
        <w:r w:rsidR="006339B5">
          <w:rPr>
            <w:noProof/>
            <w:webHidden/>
          </w:rPr>
          <w:t>27</w:t>
        </w:r>
        <w:r w:rsidR="00D22AF2">
          <w:rPr>
            <w:noProof/>
            <w:webHidden/>
          </w:rPr>
          <w:fldChar w:fldCharType="end"/>
        </w:r>
      </w:hyperlink>
    </w:p>
    <w:p w14:paraId="4D511AEC" w14:textId="77777777" w:rsidR="00D22AF2" w:rsidRDefault="007265F0">
      <w:pPr>
        <w:pStyle w:val="TOC1"/>
        <w:rPr>
          <w:rFonts w:asciiTheme="minorHAnsi" w:eastAsiaTheme="minorEastAsia" w:hAnsiTheme="minorHAnsi"/>
          <w:smallCaps w:val="0"/>
          <w:noProof/>
          <w:color w:val="auto"/>
          <w:lang w:eastAsia="en-AU"/>
        </w:rPr>
      </w:pPr>
      <w:hyperlink w:anchor="_Toc509306070" w:history="1">
        <w:r w:rsidR="00D22AF2" w:rsidRPr="00277E54">
          <w:rPr>
            <w:rStyle w:val="Hyperlink"/>
            <w:noProof/>
          </w:rPr>
          <w:t>Appendix D</w:t>
        </w:r>
        <w:r w:rsidR="00D22AF2">
          <w:rPr>
            <w:noProof/>
            <w:webHidden/>
          </w:rPr>
          <w:tab/>
        </w:r>
        <w:r w:rsidR="00D22AF2">
          <w:rPr>
            <w:noProof/>
            <w:webHidden/>
          </w:rPr>
          <w:fldChar w:fldCharType="begin"/>
        </w:r>
        <w:r w:rsidR="00D22AF2">
          <w:rPr>
            <w:noProof/>
            <w:webHidden/>
          </w:rPr>
          <w:instrText xml:space="preserve"> PAGEREF _Toc509306070 \h </w:instrText>
        </w:r>
        <w:r w:rsidR="00D22AF2">
          <w:rPr>
            <w:noProof/>
            <w:webHidden/>
          </w:rPr>
        </w:r>
        <w:r w:rsidR="00D22AF2">
          <w:rPr>
            <w:noProof/>
            <w:webHidden/>
          </w:rPr>
          <w:fldChar w:fldCharType="separate"/>
        </w:r>
        <w:r w:rsidR="006339B5">
          <w:rPr>
            <w:noProof/>
            <w:webHidden/>
          </w:rPr>
          <w:t>28</w:t>
        </w:r>
        <w:r w:rsidR="00D22AF2">
          <w:rPr>
            <w:noProof/>
            <w:webHidden/>
          </w:rPr>
          <w:fldChar w:fldCharType="end"/>
        </w:r>
      </w:hyperlink>
    </w:p>
    <w:p w14:paraId="3B82BF27" w14:textId="77777777" w:rsidR="00D22AF2" w:rsidRDefault="007265F0">
      <w:pPr>
        <w:pStyle w:val="TOC1"/>
        <w:rPr>
          <w:rFonts w:asciiTheme="minorHAnsi" w:eastAsiaTheme="minorEastAsia" w:hAnsiTheme="minorHAnsi"/>
          <w:smallCaps w:val="0"/>
          <w:noProof/>
          <w:color w:val="auto"/>
          <w:lang w:eastAsia="en-AU"/>
        </w:rPr>
      </w:pPr>
      <w:hyperlink w:anchor="_Toc509306071" w:history="1">
        <w:r w:rsidR="00D22AF2" w:rsidRPr="00277E54">
          <w:rPr>
            <w:rStyle w:val="Hyperlink"/>
            <w:noProof/>
          </w:rPr>
          <w:t>Appendix E</w:t>
        </w:r>
        <w:r w:rsidR="00D22AF2">
          <w:rPr>
            <w:noProof/>
            <w:webHidden/>
          </w:rPr>
          <w:tab/>
        </w:r>
        <w:r w:rsidR="00D22AF2">
          <w:rPr>
            <w:noProof/>
            <w:webHidden/>
          </w:rPr>
          <w:fldChar w:fldCharType="begin"/>
        </w:r>
        <w:r w:rsidR="00D22AF2">
          <w:rPr>
            <w:noProof/>
            <w:webHidden/>
          </w:rPr>
          <w:instrText xml:space="preserve"> PAGEREF _Toc509306071 \h </w:instrText>
        </w:r>
        <w:r w:rsidR="00D22AF2">
          <w:rPr>
            <w:noProof/>
            <w:webHidden/>
          </w:rPr>
        </w:r>
        <w:r w:rsidR="00D22AF2">
          <w:rPr>
            <w:noProof/>
            <w:webHidden/>
          </w:rPr>
          <w:fldChar w:fldCharType="separate"/>
        </w:r>
        <w:r w:rsidR="006339B5">
          <w:rPr>
            <w:noProof/>
            <w:webHidden/>
          </w:rPr>
          <w:t>31</w:t>
        </w:r>
        <w:r w:rsidR="00D22AF2">
          <w:rPr>
            <w:noProof/>
            <w:webHidden/>
          </w:rPr>
          <w:fldChar w:fldCharType="end"/>
        </w:r>
      </w:hyperlink>
    </w:p>
    <w:p w14:paraId="51B67D29" w14:textId="057F6CC4" w:rsidR="008400E9" w:rsidRDefault="00D22AF2" w:rsidP="00D22AF2">
      <w:pPr>
        <w:pStyle w:val="SingleParagraph"/>
      </w:pPr>
      <w:r>
        <w:fldChar w:fldCharType="end"/>
      </w:r>
      <w:r w:rsidR="008400E9">
        <w:br w:type="page"/>
      </w:r>
    </w:p>
    <w:p w14:paraId="554FEBBD" w14:textId="77777777" w:rsidR="00B0794C" w:rsidRPr="00A57848" w:rsidRDefault="00B0794C" w:rsidP="00AD479A">
      <w:pPr>
        <w:pStyle w:val="Heading2"/>
      </w:pPr>
      <w:bookmarkStart w:id="4" w:name="_Toc509306060"/>
      <w:bookmarkStart w:id="5" w:name="_Toc271526783"/>
      <w:bookmarkStart w:id="6" w:name="_Toc320810314"/>
      <w:r w:rsidRPr="00A57848">
        <w:lastRenderedPageBreak/>
        <w:t>Introduction</w:t>
      </w:r>
      <w:bookmarkEnd w:id="4"/>
    </w:p>
    <w:p w14:paraId="76138FD8" w14:textId="1EA6C849" w:rsidR="00B0794C" w:rsidRDefault="00600B15" w:rsidP="00B0794C">
      <w:r>
        <w:t>Payroll tax i</w:t>
      </w:r>
      <w:r w:rsidR="00B0794C">
        <w:t xml:space="preserve">s </w:t>
      </w:r>
      <w:r w:rsidR="002B11BE">
        <w:t>frequently</w:t>
      </w:r>
      <w:r w:rsidR="00B0794C">
        <w:t xml:space="preserve"> singled out as having an adverse </w:t>
      </w:r>
      <w:r w:rsidR="00DF512A">
        <w:t>effect</w:t>
      </w:r>
      <w:r w:rsidR="00B0794C">
        <w:t xml:space="preserve"> on businesses and the economy in general. This view has generally been guided by economists (through theory and modelling) and the business sector. This paper uses </w:t>
      </w:r>
      <w:r w:rsidR="00EF155A">
        <w:t xml:space="preserve">administrative business income tax (BIT) </w:t>
      </w:r>
      <w:r w:rsidR="00B0794C">
        <w:t xml:space="preserve">data from the Business Longitudinal Analysis Data Environment (BLADE) to determine whether payroll tax affects the behaviour of businesses in the way many have suggested. Three propositions regarding payroll tax are examined, namely: does the payroll tax threshold lead to </w:t>
      </w:r>
      <w:r w:rsidR="00E07ACE">
        <w:t xml:space="preserve">inefficiently small </w:t>
      </w:r>
      <w:r w:rsidR="00B0794C">
        <w:t>firms; is the low-rate, low-threshold policy prescription to reduce distortions effective; and, are firms (mistakenly) attempting to avoid pay</w:t>
      </w:r>
      <w:r w:rsidR="00AD479A">
        <w:t>roll tax by hiring contractors.</w:t>
      </w:r>
    </w:p>
    <w:p w14:paraId="678237AB" w14:textId="61517E31" w:rsidR="00B0794C" w:rsidRDefault="00B0794C" w:rsidP="00B0794C">
      <w:r>
        <w:t>The IMF (2017) notes that countries can reduce resource misallocation by ensuring firms’ decisions are made for business and not tax reasons. In Australia, tax settings may provide a disincentive for even highly productive firms to grow and increase their market share, and thus provide a drag on aggregate productivity growth, an</w:t>
      </w:r>
      <w:r w:rsidR="00AD479A">
        <w:t>d should be carefully examined.</w:t>
      </w:r>
    </w:p>
    <w:p w14:paraId="099E9209" w14:textId="5DFBC3A5" w:rsidR="00B0794C" w:rsidRDefault="00B0794C" w:rsidP="00B0794C">
      <w:r>
        <w:t xml:space="preserve">Payroll tax is levied against the total </w:t>
      </w:r>
      <w:r w:rsidR="008802D8">
        <w:t xml:space="preserve">sum of </w:t>
      </w:r>
      <w:r>
        <w:t xml:space="preserve">remuneration of employees within a firm. Remuneration includes wages, salaries and superannuation. A tax free threshold exists for payroll tax, which is called the small business exemption threshold. This threshold means that businesses with total remuneration below this threshold are not liable to </w:t>
      </w:r>
      <w:r w:rsidR="00E07ACE">
        <w:t xml:space="preserve">pay </w:t>
      </w:r>
      <w:r>
        <w:t xml:space="preserve">the tax. Businesses with total remuneration above the threshold are liable for every dollar </w:t>
      </w:r>
      <w:r w:rsidR="00FE1D26">
        <w:t>more than</w:t>
      </w:r>
      <w:r>
        <w:t xml:space="preserve"> the threshold. Due to the operation of the small business exemption, smaller firms have a cost advantage over larger firms. This cost advantage could encourage firms to stay small to avoid the tax which could re</w:t>
      </w:r>
      <w:r w:rsidR="00AD479A">
        <w:t>sult in an economic distortion.</w:t>
      </w:r>
    </w:p>
    <w:p w14:paraId="235520DD" w14:textId="75DD8B17" w:rsidR="00B0794C" w:rsidRDefault="00B0794C" w:rsidP="00B0794C">
      <w:r>
        <w:t>Payroll tax is a tax on labour, where the legal incidence falls on firms. Similarly, labour income tax is a tax on labour, but the legal incidence falls on the individual. However,</w:t>
      </w:r>
      <w:r w:rsidR="00674400">
        <w:t xml:space="preserve"> in the Australian context</w:t>
      </w:r>
      <w:r>
        <w:t xml:space="preserve"> the economic distortion of payroll tax is far greater than labour income tax (KPMG </w:t>
      </w:r>
      <w:proofErr w:type="spellStart"/>
      <w:r>
        <w:t>Econtech</w:t>
      </w:r>
      <w:proofErr w:type="spellEnd"/>
      <w:r>
        <w:t xml:space="preserve"> 2010). </w:t>
      </w:r>
      <w:r w:rsidR="002A3A4F">
        <w:t xml:space="preserve">This primarily reflects </w:t>
      </w:r>
      <w:r>
        <w:t xml:space="preserve">the significant difference </w:t>
      </w:r>
      <w:r w:rsidR="002A3A4F">
        <w:t>between payroll tax and labour income tax</w:t>
      </w:r>
      <w:r w:rsidR="007871DA">
        <w:t>:</w:t>
      </w:r>
      <w:r w:rsidR="002A3A4F">
        <w:t xml:space="preserve"> </w:t>
      </w:r>
      <w:r>
        <w:t>the small business exemption</w:t>
      </w:r>
      <w:r w:rsidR="002A3A4F">
        <w:t>. T</w:t>
      </w:r>
      <w:r>
        <w:t xml:space="preserve">he KPMG </w:t>
      </w:r>
      <w:proofErr w:type="spellStart"/>
      <w:r>
        <w:t>Econtech</w:t>
      </w:r>
      <w:proofErr w:type="spellEnd"/>
      <w:r>
        <w:t xml:space="preserve"> report identified </w:t>
      </w:r>
      <w:r w:rsidR="002A3A4F">
        <w:t xml:space="preserve">the small business exemption </w:t>
      </w:r>
      <w:r>
        <w:t>as creating an incentive for business</w:t>
      </w:r>
      <w:r w:rsidR="00AD479A">
        <w:t>es to be “inefficiently small”.</w:t>
      </w:r>
    </w:p>
    <w:p w14:paraId="13DA7D9A" w14:textId="49323A7D" w:rsidR="00B0794C" w:rsidRDefault="00B0794C" w:rsidP="00B0794C">
      <w:r>
        <w:t xml:space="preserve">The KPMG </w:t>
      </w:r>
      <w:proofErr w:type="spellStart"/>
      <w:r>
        <w:t>Econtech</w:t>
      </w:r>
      <w:proofErr w:type="spellEnd"/>
      <w:r>
        <w:t xml:space="preserve"> report is not alone in stating that payroll tax has a detrimental </w:t>
      </w:r>
      <w:r w:rsidR="00DF512A">
        <w:t>effect</w:t>
      </w:r>
      <w:r>
        <w:t xml:space="preserve"> on the size of firms. Other examples include Gabbitas and Eldridge (1998), Murphy (1999), Dixon, Picton and Rimmer (2004), and Murphy (2016). If the theoretical arguments are correct, one man</w:t>
      </w:r>
      <w:r w:rsidR="00546913">
        <w:t>ifestation of this distortion c</w:t>
      </w:r>
      <w:r>
        <w:t>ould be that there are more firms just below the threshold than just above the thre</w:t>
      </w:r>
      <w:r w:rsidR="00546913">
        <w:t>shold. Put differently, firms c</w:t>
      </w:r>
      <w:r>
        <w:t>ould bunch just below the threshold. This paper empirically tests this proposition.</w:t>
      </w:r>
    </w:p>
    <w:p w14:paraId="40114314" w14:textId="7E69BBF3" w:rsidR="00B0794C" w:rsidRDefault="00B0794C" w:rsidP="00B0794C">
      <w:r>
        <w:t>Payroll taxes raise a large amount of money for the various state and territory governments</w:t>
      </w:r>
      <w:r>
        <w:rPr>
          <w:rStyle w:val="FootnoteReference"/>
        </w:rPr>
        <w:footnoteReference w:id="4"/>
      </w:r>
      <w:r>
        <w:t>. In 2015</w:t>
      </w:r>
      <w:r>
        <w:noBreakHyphen/>
        <w:t xml:space="preserve">16 this was around $22.7 billion or about </w:t>
      </w:r>
      <w:r w:rsidRPr="00E9380C">
        <w:t>28 per cent</w:t>
      </w:r>
      <w:r>
        <w:t xml:space="preserve"> of total taxation revenue for the </w:t>
      </w:r>
      <w:r w:rsidR="00E51953">
        <w:t>s</w:t>
      </w:r>
      <w:r w:rsidR="002A3A4F">
        <w:t xml:space="preserve">tates </w:t>
      </w:r>
      <w:r>
        <w:t xml:space="preserve">(ABS 2017). Therefore, the states are reliant on payroll tax as a source of tax revenue. Appreciating this fact, the policy ideal </w:t>
      </w:r>
      <w:r w:rsidR="00B57867">
        <w:t xml:space="preserve">put forward by tax economists </w:t>
      </w:r>
      <w:r>
        <w:t xml:space="preserve">has been to minimise the distortion created. This is done by reducing the negative </w:t>
      </w:r>
      <w:r w:rsidR="00DF512A">
        <w:t>effect</w:t>
      </w:r>
      <w:r>
        <w:t xml:space="preserve"> of the exemption, while still raising the same amount of tax revenue. The general policy prescription is for a low exemption threshold and a low</w:t>
      </w:r>
      <w:r w:rsidRPr="001B7393">
        <w:t xml:space="preserve"> </w:t>
      </w:r>
      <w:r w:rsidR="004C1D02">
        <w:t>tax rate. During the observation period, Victoria appears</w:t>
      </w:r>
      <w:r>
        <w:t xml:space="preserve"> to be following this policy prescription</w:t>
      </w:r>
      <w:r w:rsidR="0021572E">
        <w:t xml:space="preserve"> the most</w:t>
      </w:r>
      <w:r w:rsidR="002B11BE">
        <w:t xml:space="preserve"> in the latter half</w:t>
      </w:r>
      <w:r>
        <w:t>. If the theoretical argument is correct that a low exemption threshold and low tax rate are less distortionary, we might expect to see less bunching in Victoria compared with the other states. This is the second proposition examined.</w:t>
      </w:r>
    </w:p>
    <w:p w14:paraId="6C978B32" w14:textId="77777777" w:rsidR="00DF40B5" w:rsidRDefault="00DF40B5">
      <w:pPr>
        <w:spacing w:after="200" w:line="276" w:lineRule="auto"/>
      </w:pPr>
      <w:r>
        <w:br w:type="page"/>
      </w:r>
    </w:p>
    <w:p w14:paraId="714730B4" w14:textId="5646938E" w:rsidR="00B0794C" w:rsidRDefault="00B0794C" w:rsidP="00B0794C">
      <w:r>
        <w:lastRenderedPageBreak/>
        <w:t xml:space="preserve">Anecdotally some firms state that they hire contractors to try </w:t>
      </w:r>
      <w:r w:rsidR="00C43B5D">
        <w:t>to</w:t>
      </w:r>
      <w:r>
        <w:t xml:space="preserve"> avoid payroll tax. This cannot be done legally where the true nature of the </w:t>
      </w:r>
      <w:r w:rsidR="00000BA6">
        <w:t>work performed by</w:t>
      </w:r>
      <w:r w:rsidR="00C43B5D">
        <w:t xml:space="preserve"> the </w:t>
      </w:r>
      <w:r>
        <w:t xml:space="preserve">contractor is </w:t>
      </w:r>
      <w:r w:rsidR="00E66F52">
        <w:t xml:space="preserve">that </w:t>
      </w:r>
      <w:r>
        <w:t>of an employee. Labour hire firms charge payroll tax either implicitly</w:t>
      </w:r>
      <w:r w:rsidR="007C5D60">
        <w:t xml:space="preserve"> (by higher fees)</w:t>
      </w:r>
      <w:r>
        <w:t xml:space="preserve"> or explicitly</w:t>
      </w:r>
      <w:r w:rsidR="007C5D60">
        <w:t xml:space="preserve"> (by including an item for payroll tax)</w:t>
      </w:r>
      <w:r>
        <w:t xml:space="preserve"> in this circumstance</w:t>
      </w:r>
      <w:r w:rsidR="00600B15">
        <w:t>.</w:t>
      </w:r>
      <w:r w:rsidR="003070C5">
        <w:rPr>
          <w:rStyle w:val="FootnoteReference"/>
        </w:rPr>
        <w:footnoteReference w:id="5"/>
      </w:r>
      <w:r>
        <w:t xml:space="preserve"> If f</w:t>
      </w:r>
      <w:r w:rsidR="004C1D02">
        <w:t>irms in general hire</w:t>
      </w:r>
      <w:r>
        <w:t xml:space="preserve"> contractors under the mistaken view that they c</w:t>
      </w:r>
      <w:r w:rsidR="004C1D02">
        <w:t xml:space="preserve">an </w:t>
      </w:r>
      <w:r>
        <w:t>avoid payroll tax, this w</w:t>
      </w:r>
      <w:r w:rsidR="004C1D02">
        <w:t>ill</w:t>
      </w:r>
      <w:r>
        <w:t xml:space="preserve"> weaken the likelihood of observing bunching around the threshold. The third proposition examined is whether firms just below the exemption threshold hire significantly more contractors. Other differences in firm characteristics around the thresholds ar</w:t>
      </w:r>
      <w:r w:rsidR="00F613A4">
        <w:t>e also examined for robustness.</w:t>
      </w:r>
    </w:p>
    <w:p w14:paraId="53244C72" w14:textId="1F94153B" w:rsidR="00B0794C" w:rsidRDefault="00B0794C" w:rsidP="00B0794C">
      <w:r>
        <w:t>The ana</w:t>
      </w:r>
      <w:r w:rsidR="00600B15">
        <w:t>lysis conducted in this paper i</w:t>
      </w:r>
      <w:r>
        <w:t xml:space="preserve">s based on </w:t>
      </w:r>
      <w:r w:rsidR="00000BA6">
        <w:t xml:space="preserve">BIT </w:t>
      </w:r>
      <w:r>
        <w:t xml:space="preserve">data submitted by individual firms. </w:t>
      </w:r>
      <w:r w:rsidR="00000BA6">
        <w:t>Ready access to t</w:t>
      </w:r>
      <w:r>
        <w:t xml:space="preserve">his </w:t>
      </w:r>
      <w:r w:rsidR="00000BA6">
        <w:t xml:space="preserve">data source </w:t>
      </w:r>
      <w:r>
        <w:t>is relatively new</w:t>
      </w:r>
      <w:r w:rsidR="00600B15">
        <w:t>. Examination of the data</w:t>
      </w:r>
      <w:r w:rsidR="004C1D02">
        <w:t>set</w:t>
      </w:r>
      <w:r w:rsidR="00600B15">
        <w:t xml:space="preserve"> shows</w:t>
      </w:r>
      <w:r>
        <w:t xml:space="preserve"> that firms largely do not bunch around the threshold. However, for a short period late in the </w:t>
      </w:r>
      <w:r w:rsidR="004C1D02">
        <w:t>period</w:t>
      </w:r>
      <w:r>
        <w:t xml:space="preserve"> examined Victoria and Western</w:t>
      </w:r>
      <w:r w:rsidR="00DF40B5">
        <w:t> </w:t>
      </w:r>
      <w:r>
        <w:t>Australia had bunching of firms around the relevant payroll tax threshold</w:t>
      </w:r>
      <w:r w:rsidRPr="00B00217">
        <w:t xml:space="preserve"> </w:t>
      </w:r>
      <w:r>
        <w:t>for certain consecutive years. Robustness tests of firm characteristics found that, in general, f</w:t>
      </w:r>
      <w:r w:rsidR="007306A1">
        <w:t>irms just above the threshold a</w:t>
      </w:r>
      <w:r>
        <w:t>re largely the same as firms just below the threshold, including with respect to the hiring of contractors.</w:t>
      </w:r>
    </w:p>
    <w:p w14:paraId="32959033" w14:textId="77777777" w:rsidR="00B0794C" w:rsidRDefault="00B0794C" w:rsidP="00B0794C">
      <w:r>
        <w:t>These results are surprising for two reasons. Firstly, it shows that empirically bunching generally does not occur. This is despite various analyses suggesting that it should. Secondly, bunching occurred in Victoria despite it having a low threshold and a low tax rate. Both of these factors should have minimised this type of distortion and therefore made Victoria the least likely to experience bunching. Though less surprising, there is no evidence in the data to support anecdotal reports that firms attempt to avoid payroll tax by hiring contractors, which suggests firms are aware that the tax is passed on by labour hire firms.</w:t>
      </w:r>
    </w:p>
    <w:p w14:paraId="2EC9C5C0" w14:textId="77777777" w:rsidR="00B0794C" w:rsidRDefault="00B0794C" w:rsidP="00B0794C">
      <w:r>
        <w:t xml:space="preserve">This paper shows that an expected distortion caused by payroll tax relative to labour income tax has not been detected empirically. A possible interpretation of this result is that payroll tax is not as distortionary as previously believed. However, at this point in time such an interpretation would be premature. The distortion could manifest in another way, such as slower growth for businesses as they approach the threshold. Therefore, further analysis is needed before a conclusion can be made about the </w:t>
      </w:r>
      <w:r w:rsidR="00DF512A">
        <w:t>effect</w:t>
      </w:r>
      <w:r>
        <w:t xml:space="preserve"> of payroll tax on the behaviour of businesses.</w:t>
      </w:r>
    </w:p>
    <w:p w14:paraId="0DB42CB2" w14:textId="2E57AB6D" w:rsidR="00F12EE0" w:rsidRDefault="00B0794C" w:rsidP="00B0794C">
      <w:r>
        <w:t xml:space="preserve">The rest of the paper is structured as </w:t>
      </w:r>
      <w:proofErr w:type="gramStart"/>
      <w:r>
        <w:t>follows,</w:t>
      </w:r>
      <w:proofErr w:type="gramEnd"/>
      <w:r>
        <w:t xml:space="preserve"> a description of payroll tax thresholds and rates is presented in Section 2. Then the </w:t>
      </w:r>
      <w:r w:rsidR="00E85DA2">
        <w:t>data</w:t>
      </w:r>
      <w:r>
        <w:t xml:space="preserve"> employed </w:t>
      </w:r>
      <w:r w:rsidR="00E85DA2">
        <w:t xml:space="preserve">in the analysis is discussed </w:t>
      </w:r>
      <w:r>
        <w:t xml:space="preserve">in Section 3. Discussion of the </w:t>
      </w:r>
      <w:r w:rsidR="00E85DA2">
        <w:t>methodology</w:t>
      </w:r>
      <w:r>
        <w:t xml:space="preserve"> </w:t>
      </w:r>
      <w:r w:rsidR="00E85DA2">
        <w:t xml:space="preserve">is </w:t>
      </w:r>
      <w:r>
        <w:t>in Section 4 followed by results in Section 5. Section 6 concludes.</w:t>
      </w:r>
    </w:p>
    <w:p w14:paraId="74583688" w14:textId="77777777" w:rsidR="00F12EE0" w:rsidRDefault="00F12EE0">
      <w:pPr>
        <w:spacing w:after="200" w:line="276" w:lineRule="auto"/>
      </w:pPr>
      <w:r>
        <w:br w:type="page"/>
      </w:r>
    </w:p>
    <w:p w14:paraId="54236940" w14:textId="77777777" w:rsidR="00B0794C" w:rsidRDefault="00B0794C" w:rsidP="00B0794C">
      <w:pPr>
        <w:pStyle w:val="Heading2"/>
        <w:numPr>
          <w:ilvl w:val="0"/>
          <w:numId w:val="32"/>
        </w:numPr>
        <w:ind w:left="0"/>
      </w:pPr>
      <w:bookmarkStart w:id="7" w:name="_Toc509306061"/>
      <w:r>
        <w:lastRenderedPageBreak/>
        <w:t>Description of payroll taxes across Australia</w:t>
      </w:r>
      <w:bookmarkEnd w:id="7"/>
    </w:p>
    <w:p w14:paraId="6D89AC1E" w14:textId="4A1623FD" w:rsidR="00BD08FF" w:rsidRDefault="00BD08FF" w:rsidP="00BD08FF">
      <w:r>
        <w:t>In 1941 payroll tax was introduced by the Commonwealth Government. The tax was then ceded to the states in 1971.</w:t>
      </w:r>
      <w:r>
        <w:rPr>
          <w:rStyle w:val="FootnoteReference"/>
        </w:rPr>
        <w:footnoteReference w:id="6"/>
      </w:r>
      <w:r>
        <w:t xml:space="preserve"> Since then, different </w:t>
      </w:r>
      <w:r w:rsidR="00FE1D26">
        <w:t xml:space="preserve">payroll tax </w:t>
      </w:r>
      <w:r>
        <w:t>rates and small business exemption thresholds have emerged</w:t>
      </w:r>
      <w:r w:rsidR="00FE1D26">
        <w:t xml:space="preserve"> between the states</w:t>
      </w:r>
      <w:r w:rsidR="00F613A4">
        <w:t>.</w:t>
      </w:r>
    </w:p>
    <w:p w14:paraId="559CDC01" w14:textId="4625AE9C" w:rsidR="00BD08FF" w:rsidRDefault="00BD08FF" w:rsidP="00BD08FF">
      <w:r>
        <w:t>The period of interest for this paper is from 200</w:t>
      </w:r>
      <w:r w:rsidR="00FE1D26">
        <w:t>1-0</w:t>
      </w:r>
      <w:r>
        <w:t xml:space="preserve">2 to 2014-15. </w:t>
      </w:r>
      <w:r w:rsidR="00FE1D26">
        <w:t xml:space="preserve">The policy ideal is to minimise the potential distortions created by payroll tax, which entails a low tax rate and a low threshold. </w:t>
      </w:r>
      <w:r>
        <w:t xml:space="preserve">During </w:t>
      </w:r>
      <w:r w:rsidR="007871DA">
        <w:t xml:space="preserve">the </w:t>
      </w:r>
      <w:r w:rsidR="00246CD9">
        <w:t xml:space="preserve">latter half of </w:t>
      </w:r>
      <w:r>
        <w:t>th</w:t>
      </w:r>
      <w:r w:rsidR="00EF378B">
        <w:t>e</w:t>
      </w:r>
      <w:r>
        <w:t xml:space="preserve"> period </w:t>
      </w:r>
      <w:r w:rsidR="00EF378B">
        <w:t>examined</w:t>
      </w:r>
      <w:r w:rsidR="007871DA">
        <w:t>,</w:t>
      </w:r>
      <w:r w:rsidR="00EF378B">
        <w:t xml:space="preserve"> </w:t>
      </w:r>
      <w:r>
        <w:t xml:space="preserve">Victoria was </w:t>
      </w:r>
      <w:r w:rsidR="00246CD9">
        <w:t xml:space="preserve">the </w:t>
      </w:r>
      <w:r>
        <w:t>closest to the policy ideal</w:t>
      </w:r>
      <w:r w:rsidR="00246CD9">
        <w:t xml:space="preserve"> with the lowest threshold and the lowest tax rate</w:t>
      </w:r>
      <w:r>
        <w:t xml:space="preserve">. </w:t>
      </w:r>
      <w:r w:rsidR="00EF378B">
        <w:t>From 2001-02 to 2014-15</w:t>
      </w:r>
      <w:r w:rsidR="00246CD9">
        <w:t xml:space="preserve"> </w:t>
      </w:r>
      <w:r>
        <w:t xml:space="preserve">Victoria had a very slow increase in the nominal threshold. The nominal threshold increased at an annualised rate of 0.5 </w:t>
      </w:r>
      <w:r w:rsidR="00EF378B">
        <w:t xml:space="preserve">per cent </w:t>
      </w:r>
      <w:r>
        <w:t xml:space="preserve">during this period. The real threshold, adjusted </w:t>
      </w:r>
      <w:r w:rsidR="00410544">
        <w:t>using</w:t>
      </w:r>
      <w:r>
        <w:t xml:space="preserve"> the Wage Price Index, </w:t>
      </w:r>
      <w:r w:rsidR="00650040">
        <w:t>fell during this period to be a little over $355,000 in 2001-02 dollars</w:t>
      </w:r>
      <w:r w:rsidR="00246CD9">
        <w:t xml:space="preserve"> in 2014-15</w:t>
      </w:r>
      <w:r w:rsidR="00650040">
        <w:t>.</w:t>
      </w:r>
      <w:r>
        <w:t xml:space="preserve"> </w:t>
      </w:r>
      <w:r w:rsidR="00650040">
        <w:t xml:space="preserve">The annualised </w:t>
      </w:r>
      <w:r w:rsidR="00246CD9">
        <w:t xml:space="preserve">growth rate </w:t>
      </w:r>
      <w:r w:rsidR="00650040">
        <w:t>in the real threshold was -2.8 per cent.</w:t>
      </w:r>
    </w:p>
    <w:p w14:paraId="7DB0FBC9" w14:textId="3F64029B" w:rsidR="009E122C" w:rsidRDefault="009E122C" w:rsidP="00B0794C">
      <w:r>
        <w:t>The real payroll tax threshold for Western Australia in 2014-15 of $482,634</w:t>
      </w:r>
      <w:r w:rsidR="007871DA">
        <w:t xml:space="preserve"> (in 2001-02 dollars)</w:t>
      </w:r>
      <w:r>
        <w:t xml:space="preserve"> was lower than the real threshold for New South Wales of $</w:t>
      </w:r>
      <w:proofErr w:type="gramStart"/>
      <w:r>
        <w:t>491,206</w:t>
      </w:r>
      <w:r w:rsidR="00CE0D62">
        <w:t>,</w:t>
      </w:r>
      <w:proofErr w:type="gramEnd"/>
      <w:r w:rsidR="00CE0D62">
        <w:t xml:space="preserve"> this is despite Western Australia having a higher nominal threshold. This was due to the strong</w:t>
      </w:r>
      <w:r w:rsidR="00246CD9">
        <w:t>er</w:t>
      </w:r>
      <w:r w:rsidR="00CE0D62">
        <w:t xml:space="preserve"> wages growth in Wester</w:t>
      </w:r>
      <w:r w:rsidR="00F613A4">
        <w:t>n Australia during this period.</w:t>
      </w:r>
    </w:p>
    <w:p w14:paraId="09B83DAB" w14:textId="21582412" w:rsidR="00B0794C" w:rsidRDefault="00246CD9" w:rsidP="00B0794C">
      <w:r>
        <w:t>Except for</w:t>
      </w:r>
      <w:r w:rsidR="00410544">
        <w:t xml:space="preserve"> the Northern Territory, the other states also </w:t>
      </w:r>
      <w:r w:rsidR="007871DA">
        <w:t xml:space="preserve">saw their </w:t>
      </w:r>
      <w:r w:rsidR="00410544">
        <w:t>payroll tax threshold</w:t>
      </w:r>
      <w:r w:rsidR="00822460">
        <w:t>s decrease in real terms</w:t>
      </w:r>
      <w:r w:rsidR="00410544">
        <w:t xml:space="preserve"> during this period. The increase in the real threshold in the Northern Territory was due to the strong nominal increase in the threshold of 7.3 per cent. </w:t>
      </w:r>
      <w:r w:rsidR="00B0794C">
        <w:t xml:space="preserve">Table 1 displays the </w:t>
      </w:r>
      <w:r w:rsidR="00410544">
        <w:t xml:space="preserve">nominal and real </w:t>
      </w:r>
      <w:r w:rsidR="00B0794C">
        <w:t>payroll tax thresholds for the various</w:t>
      </w:r>
      <w:r w:rsidR="00F613A4">
        <w:t xml:space="preserve"> states in 2001-02 and 2014-15.</w:t>
      </w:r>
    </w:p>
    <w:p w14:paraId="428C7458" w14:textId="7F729FB9" w:rsidR="003267E2" w:rsidRDefault="003267E2" w:rsidP="0003678D">
      <w:pPr>
        <w:pStyle w:val="TableMainHeading"/>
      </w:pPr>
      <w:r w:rsidRPr="00774134">
        <w:t>Table 1: Start and end payroll tax thresholds</w:t>
      </w:r>
      <w:r>
        <w:t>, sorted by growth rate</w:t>
      </w:r>
    </w:p>
    <w:tbl>
      <w:tblPr>
        <w:tblW w:w="9439" w:type="dxa"/>
        <w:tblLayout w:type="fixed"/>
        <w:tblLook w:val="04A0" w:firstRow="1" w:lastRow="0" w:firstColumn="1" w:lastColumn="0" w:noHBand="0" w:noVBand="1"/>
      </w:tblPr>
      <w:tblGrid>
        <w:gridCol w:w="1871"/>
        <w:gridCol w:w="1502"/>
        <w:gridCol w:w="1502"/>
        <w:gridCol w:w="1502"/>
        <w:gridCol w:w="1531"/>
        <w:gridCol w:w="1531"/>
      </w:tblGrid>
      <w:tr w:rsidR="00C11898" w:rsidRPr="00E7110C" w14:paraId="03981778" w14:textId="77777777" w:rsidTr="00116242">
        <w:trPr>
          <w:trHeight w:val="300"/>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029F9F2A" w14:textId="3E42BD2F" w:rsidR="00C11898" w:rsidRPr="00E7110C" w:rsidRDefault="00C11898" w:rsidP="000A4843">
            <w:pPr>
              <w:pStyle w:val="TableColumnHeadingLeft"/>
            </w:pPr>
            <w:r>
              <w:t>State</w:t>
            </w:r>
          </w:p>
        </w:tc>
        <w:tc>
          <w:tcPr>
            <w:tcW w:w="15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A9C362" w14:textId="6315CA2E" w:rsidR="00C11898" w:rsidRPr="00E7110C" w:rsidRDefault="009A0791" w:rsidP="00816CB0">
            <w:pPr>
              <w:pStyle w:val="TableColumnHeadingRight"/>
            </w:pPr>
            <w:r w:rsidRPr="00E7110C">
              <w:t>2001-02</w:t>
            </w:r>
            <w:r>
              <w:t xml:space="preserve"> </w:t>
            </w:r>
            <w:r w:rsidR="00C11898">
              <w:t>Threshold </w:t>
            </w:r>
            <w:r w:rsidR="00C11898" w:rsidRPr="00E7110C">
              <w:t>($</w:t>
            </w:r>
            <w:r w:rsidR="00C11898">
              <w:t>)</w:t>
            </w:r>
          </w:p>
        </w:tc>
        <w:tc>
          <w:tcPr>
            <w:tcW w:w="1502"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14:paraId="2076A615" w14:textId="6BD7668B" w:rsidR="00C11898" w:rsidRPr="00E7110C" w:rsidRDefault="00C11898" w:rsidP="00816CB0">
            <w:pPr>
              <w:pStyle w:val="TableColumnHeadingRight"/>
            </w:pPr>
            <w:r w:rsidRPr="00E7110C">
              <w:t>2014-15</w:t>
            </w:r>
            <w:r>
              <w:t xml:space="preserve"> Threshold </w:t>
            </w:r>
            <w:r w:rsidRPr="00E7110C">
              <w:t>($</w:t>
            </w:r>
            <w:r>
              <w:t xml:space="preserve">) </w:t>
            </w:r>
            <w:r w:rsidRPr="00E7110C">
              <w:t>Nominal</w:t>
            </w:r>
          </w:p>
        </w:tc>
        <w:tc>
          <w:tcPr>
            <w:tcW w:w="1502"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DA19BBC" w14:textId="5E69ECFB" w:rsidR="00C11898" w:rsidRPr="00E7110C" w:rsidRDefault="00C11898" w:rsidP="00816CB0">
            <w:pPr>
              <w:pStyle w:val="TableColumnHeadingRight"/>
            </w:pPr>
            <w:r w:rsidRPr="00E7110C">
              <w:t>2014-15</w:t>
            </w:r>
            <w:r>
              <w:t xml:space="preserve"> Threshold </w:t>
            </w:r>
            <w:r w:rsidRPr="00E7110C">
              <w:t>($</w:t>
            </w:r>
            <w:r>
              <w:t xml:space="preserve">) </w:t>
            </w:r>
            <w:r w:rsidRPr="00E7110C">
              <w:t>Rea</w:t>
            </w:r>
            <w:r>
              <w:t>l*</w:t>
            </w:r>
          </w:p>
        </w:tc>
        <w:tc>
          <w:tcPr>
            <w:tcW w:w="1531" w:type="dxa"/>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67269449" w14:textId="5B68EC54" w:rsidR="00C11898" w:rsidRPr="00E7110C" w:rsidRDefault="00C11898" w:rsidP="000A4843">
            <w:pPr>
              <w:pStyle w:val="TableColumnHeadingCentred"/>
            </w:pPr>
            <w:r w:rsidRPr="00E7110C">
              <w:t>Annualised Growth</w:t>
            </w:r>
            <w:r>
              <w:t xml:space="preserve"> rate (%)</w:t>
            </w:r>
            <w:r w:rsidR="000A4843">
              <w:t xml:space="preserve"> </w:t>
            </w:r>
            <w:r w:rsidR="000A4843" w:rsidRPr="00E7110C">
              <w:t>Nominal</w:t>
            </w:r>
          </w:p>
        </w:tc>
        <w:tc>
          <w:tcPr>
            <w:tcW w:w="1531"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2F246EF" w14:textId="28F7F215" w:rsidR="00C11898" w:rsidRPr="00E7110C" w:rsidRDefault="00C11898" w:rsidP="000A4843">
            <w:pPr>
              <w:pStyle w:val="TableColumnHeadingCentred"/>
            </w:pPr>
            <w:r w:rsidRPr="00E7110C">
              <w:t>Annualised Growth</w:t>
            </w:r>
            <w:r w:rsidR="000A4843">
              <w:t xml:space="preserve"> rate </w:t>
            </w:r>
            <w:r>
              <w:t>(%)</w:t>
            </w:r>
            <w:r w:rsidR="000A4843">
              <w:t xml:space="preserve"> </w:t>
            </w:r>
            <w:r w:rsidR="000A4843" w:rsidRPr="00E7110C">
              <w:t>Real</w:t>
            </w:r>
            <w:r>
              <w:t>*</w:t>
            </w:r>
          </w:p>
        </w:tc>
      </w:tr>
      <w:tr w:rsidR="00C11898" w:rsidRPr="00E7110C" w14:paraId="797B1283" w14:textId="77777777" w:rsidTr="00116242">
        <w:trPr>
          <w:trHeight w:val="300"/>
        </w:trPr>
        <w:tc>
          <w:tcPr>
            <w:tcW w:w="1871" w:type="dxa"/>
            <w:tcBorders>
              <w:top w:val="single" w:sz="4" w:space="0" w:color="auto"/>
              <w:left w:val="single" w:sz="4" w:space="0" w:color="auto"/>
              <w:bottom w:val="nil"/>
              <w:right w:val="single" w:sz="4" w:space="0" w:color="auto"/>
            </w:tcBorders>
            <w:shd w:val="clear" w:color="000000" w:fill="FFFFFF"/>
            <w:noWrap/>
            <w:vAlign w:val="bottom"/>
            <w:hideMark/>
          </w:tcPr>
          <w:p w14:paraId="7CC9057F" w14:textId="77777777" w:rsidR="00C11898" w:rsidRPr="00E7110C" w:rsidRDefault="00C11898" w:rsidP="000A4843">
            <w:pPr>
              <w:pStyle w:val="Tabletextleft0"/>
            </w:pPr>
            <w:r w:rsidRPr="006C0C0E">
              <w:t>Victoria</w:t>
            </w:r>
          </w:p>
        </w:tc>
        <w:tc>
          <w:tcPr>
            <w:tcW w:w="1502" w:type="dxa"/>
            <w:tcBorders>
              <w:top w:val="single" w:sz="4" w:space="0" w:color="auto"/>
              <w:left w:val="single" w:sz="4" w:space="0" w:color="auto"/>
              <w:bottom w:val="nil"/>
              <w:right w:val="single" w:sz="4" w:space="0" w:color="auto"/>
            </w:tcBorders>
            <w:shd w:val="clear" w:color="000000" w:fill="FFFFFF"/>
            <w:noWrap/>
            <w:vAlign w:val="bottom"/>
            <w:hideMark/>
          </w:tcPr>
          <w:p w14:paraId="46E4CE1A" w14:textId="77777777" w:rsidR="00C11898" w:rsidRPr="00E7110C" w:rsidRDefault="00C11898" w:rsidP="000A4843">
            <w:pPr>
              <w:pStyle w:val="TableTextRight"/>
            </w:pPr>
            <w:r w:rsidRPr="00E7110C">
              <w:t>515,000</w:t>
            </w:r>
          </w:p>
        </w:tc>
        <w:tc>
          <w:tcPr>
            <w:tcW w:w="1502" w:type="dxa"/>
            <w:tcBorders>
              <w:top w:val="single" w:sz="4" w:space="0" w:color="auto"/>
              <w:left w:val="single" w:sz="4" w:space="0" w:color="auto"/>
              <w:bottom w:val="nil"/>
              <w:right w:val="nil"/>
            </w:tcBorders>
            <w:shd w:val="clear" w:color="000000" w:fill="FFFFFF"/>
            <w:noWrap/>
            <w:vAlign w:val="bottom"/>
            <w:hideMark/>
          </w:tcPr>
          <w:p w14:paraId="31A24174" w14:textId="77777777" w:rsidR="00C11898" w:rsidRPr="00E7110C" w:rsidRDefault="00C11898" w:rsidP="000A4843">
            <w:pPr>
              <w:pStyle w:val="TableTextRight"/>
            </w:pPr>
            <w:r w:rsidRPr="00E7110C">
              <w:t>550,000</w:t>
            </w:r>
          </w:p>
        </w:tc>
        <w:tc>
          <w:tcPr>
            <w:tcW w:w="1502" w:type="dxa"/>
            <w:tcBorders>
              <w:top w:val="single" w:sz="4" w:space="0" w:color="auto"/>
              <w:left w:val="nil"/>
              <w:bottom w:val="nil"/>
              <w:right w:val="single" w:sz="4" w:space="0" w:color="auto"/>
            </w:tcBorders>
            <w:shd w:val="clear" w:color="000000" w:fill="FFFFFF"/>
            <w:noWrap/>
            <w:vAlign w:val="bottom"/>
            <w:hideMark/>
          </w:tcPr>
          <w:p w14:paraId="3409DE94" w14:textId="77777777" w:rsidR="00C11898" w:rsidRPr="00E7110C" w:rsidRDefault="00C11898" w:rsidP="000A4843">
            <w:pPr>
              <w:pStyle w:val="TableTextRight"/>
            </w:pPr>
            <w:r w:rsidRPr="00E7110C">
              <w:t>355,532</w:t>
            </w:r>
          </w:p>
        </w:tc>
        <w:tc>
          <w:tcPr>
            <w:tcW w:w="1531" w:type="dxa"/>
            <w:tcBorders>
              <w:top w:val="single" w:sz="4" w:space="0" w:color="auto"/>
              <w:left w:val="single" w:sz="4" w:space="0" w:color="auto"/>
              <w:bottom w:val="nil"/>
              <w:right w:val="nil"/>
            </w:tcBorders>
            <w:shd w:val="clear" w:color="000000" w:fill="FFFFFF"/>
            <w:noWrap/>
            <w:vAlign w:val="bottom"/>
            <w:hideMark/>
          </w:tcPr>
          <w:p w14:paraId="71339D7A" w14:textId="77777777" w:rsidR="00C11898" w:rsidRPr="00E7110C" w:rsidRDefault="00C11898" w:rsidP="000A4843">
            <w:pPr>
              <w:pStyle w:val="TableTextCentered"/>
            </w:pPr>
            <w:r w:rsidRPr="00E7110C">
              <w:t>0.5</w:t>
            </w:r>
          </w:p>
        </w:tc>
        <w:tc>
          <w:tcPr>
            <w:tcW w:w="1531" w:type="dxa"/>
            <w:tcBorders>
              <w:top w:val="single" w:sz="4" w:space="0" w:color="auto"/>
              <w:left w:val="nil"/>
              <w:bottom w:val="nil"/>
              <w:right w:val="single" w:sz="4" w:space="0" w:color="auto"/>
            </w:tcBorders>
            <w:shd w:val="clear" w:color="000000" w:fill="FFFFFF"/>
            <w:noWrap/>
            <w:vAlign w:val="bottom"/>
            <w:hideMark/>
          </w:tcPr>
          <w:p w14:paraId="3838E377" w14:textId="77777777" w:rsidR="00C11898" w:rsidRPr="00E7110C" w:rsidRDefault="00C11898" w:rsidP="000A4843">
            <w:pPr>
              <w:pStyle w:val="TableTextCentered"/>
            </w:pPr>
            <w:r w:rsidRPr="00E7110C">
              <w:t>-2.8</w:t>
            </w:r>
          </w:p>
        </w:tc>
      </w:tr>
      <w:tr w:rsidR="00C11898" w:rsidRPr="00E7110C" w14:paraId="34847B10" w14:textId="77777777" w:rsidTr="00116242">
        <w:trPr>
          <w:trHeight w:val="300"/>
        </w:trPr>
        <w:tc>
          <w:tcPr>
            <w:tcW w:w="1871" w:type="dxa"/>
            <w:tcBorders>
              <w:top w:val="nil"/>
              <w:left w:val="single" w:sz="4" w:space="0" w:color="auto"/>
              <w:bottom w:val="nil"/>
              <w:right w:val="single" w:sz="4" w:space="0" w:color="auto"/>
            </w:tcBorders>
            <w:shd w:val="clear" w:color="auto" w:fill="F2F2F2" w:themeFill="background1" w:themeFillShade="F2"/>
            <w:noWrap/>
            <w:vAlign w:val="bottom"/>
            <w:hideMark/>
          </w:tcPr>
          <w:p w14:paraId="018213F8" w14:textId="0A6598F8" w:rsidR="00C11898" w:rsidRPr="00E7110C" w:rsidRDefault="00C11898" w:rsidP="00116242">
            <w:pPr>
              <w:pStyle w:val="Tabletextleft0"/>
            </w:pPr>
            <w:r w:rsidRPr="006C0C0E">
              <w:t>Western</w:t>
            </w:r>
            <w:r w:rsidR="00116242">
              <w:t xml:space="preserve"> </w:t>
            </w:r>
            <w:r w:rsidRPr="006C0C0E">
              <w:t>Australia</w:t>
            </w:r>
          </w:p>
        </w:tc>
        <w:tc>
          <w:tcPr>
            <w:tcW w:w="1502" w:type="dxa"/>
            <w:tcBorders>
              <w:top w:val="nil"/>
              <w:left w:val="single" w:sz="4" w:space="0" w:color="auto"/>
              <w:bottom w:val="nil"/>
              <w:right w:val="single" w:sz="4" w:space="0" w:color="auto"/>
            </w:tcBorders>
            <w:shd w:val="clear" w:color="auto" w:fill="F2F2F2" w:themeFill="background1" w:themeFillShade="F2"/>
            <w:noWrap/>
            <w:vAlign w:val="bottom"/>
            <w:hideMark/>
          </w:tcPr>
          <w:p w14:paraId="7644C59E" w14:textId="77777777" w:rsidR="00C11898" w:rsidRPr="00E7110C" w:rsidRDefault="00C11898" w:rsidP="000A4843">
            <w:pPr>
              <w:pStyle w:val="TableTextRight"/>
            </w:pPr>
            <w:r w:rsidRPr="00E7110C">
              <w:t>675,000</w:t>
            </w:r>
          </w:p>
        </w:tc>
        <w:tc>
          <w:tcPr>
            <w:tcW w:w="1502" w:type="dxa"/>
            <w:tcBorders>
              <w:top w:val="nil"/>
              <w:left w:val="single" w:sz="4" w:space="0" w:color="auto"/>
              <w:bottom w:val="nil"/>
              <w:right w:val="nil"/>
            </w:tcBorders>
            <w:shd w:val="clear" w:color="auto" w:fill="F2F2F2" w:themeFill="background1" w:themeFillShade="F2"/>
            <w:noWrap/>
            <w:vAlign w:val="bottom"/>
            <w:hideMark/>
          </w:tcPr>
          <w:p w14:paraId="01BA8385" w14:textId="77777777" w:rsidR="00C11898" w:rsidRPr="00E7110C" w:rsidRDefault="00C11898" w:rsidP="000A4843">
            <w:pPr>
              <w:pStyle w:val="TableTextRight"/>
            </w:pPr>
            <w:r w:rsidRPr="00E7110C">
              <w:t>800,000</w:t>
            </w:r>
          </w:p>
        </w:tc>
        <w:tc>
          <w:tcPr>
            <w:tcW w:w="1502" w:type="dxa"/>
            <w:tcBorders>
              <w:top w:val="nil"/>
              <w:left w:val="nil"/>
              <w:bottom w:val="nil"/>
              <w:right w:val="single" w:sz="4" w:space="0" w:color="auto"/>
            </w:tcBorders>
            <w:shd w:val="clear" w:color="auto" w:fill="F2F2F2" w:themeFill="background1" w:themeFillShade="F2"/>
            <w:noWrap/>
            <w:vAlign w:val="bottom"/>
            <w:hideMark/>
          </w:tcPr>
          <w:p w14:paraId="17F7023A" w14:textId="77777777" w:rsidR="00C11898" w:rsidRPr="00E7110C" w:rsidRDefault="00C11898" w:rsidP="000A4843">
            <w:pPr>
              <w:pStyle w:val="TableTextRight"/>
            </w:pPr>
            <w:r w:rsidRPr="00E7110C">
              <w:t>482,634</w:t>
            </w:r>
          </w:p>
        </w:tc>
        <w:tc>
          <w:tcPr>
            <w:tcW w:w="1531" w:type="dxa"/>
            <w:tcBorders>
              <w:top w:val="nil"/>
              <w:left w:val="single" w:sz="4" w:space="0" w:color="auto"/>
              <w:bottom w:val="nil"/>
              <w:right w:val="nil"/>
            </w:tcBorders>
            <w:shd w:val="clear" w:color="auto" w:fill="F2F2F2" w:themeFill="background1" w:themeFillShade="F2"/>
            <w:noWrap/>
            <w:vAlign w:val="bottom"/>
            <w:hideMark/>
          </w:tcPr>
          <w:p w14:paraId="4B7163CA" w14:textId="77777777" w:rsidR="00C11898" w:rsidRPr="00E7110C" w:rsidRDefault="00C11898" w:rsidP="000A4843">
            <w:pPr>
              <w:pStyle w:val="TableTextCentered"/>
            </w:pPr>
            <w:r w:rsidRPr="00E7110C">
              <w:t>1.3</w:t>
            </w:r>
          </w:p>
        </w:tc>
        <w:tc>
          <w:tcPr>
            <w:tcW w:w="1531" w:type="dxa"/>
            <w:tcBorders>
              <w:top w:val="nil"/>
              <w:left w:val="nil"/>
              <w:bottom w:val="nil"/>
              <w:right w:val="single" w:sz="4" w:space="0" w:color="auto"/>
            </w:tcBorders>
            <w:shd w:val="clear" w:color="auto" w:fill="F2F2F2" w:themeFill="background1" w:themeFillShade="F2"/>
            <w:noWrap/>
            <w:vAlign w:val="bottom"/>
            <w:hideMark/>
          </w:tcPr>
          <w:p w14:paraId="2DFBEB74" w14:textId="77777777" w:rsidR="00C11898" w:rsidRPr="00E7110C" w:rsidRDefault="00C11898" w:rsidP="000A4843">
            <w:pPr>
              <w:pStyle w:val="TableTextCentered"/>
            </w:pPr>
            <w:r w:rsidRPr="00E7110C">
              <w:t>-2.5</w:t>
            </w:r>
          </w:p>
        </w:tc>
      </w:tr>
      <w:tr w:rsidR="00C11898" w:rsidRPr="00E7110C" w14:paraId="5B5D19A0" w14:textId="77777777" w:rsidTr="00116242">
        <w:trPr>
          <w:trHeight w:val="300"/>
        </w:trPr>
        <w:tc>
          <w:tcPr>
            <w:tcW w:w="1871" w:type="dxa"/>
            <w:tcBorders>
              <w:top w:val="nil"/>
              <w:left w:val="single" w:sz="4" w:space="0" w:color="auto"/>
              <w:bottom w:val="nil"/>
              <w:right w:val="single" w:sz="4" w:space="0" w:color="auto"/>
            </w:tcBorders>
            <w:shd w:val="clear" w:color="000000" w:fill="FFFFFF"/>
            <w:noWrap/>
            <w:vAlign w:val="bottom"/>
            <w:hideMark/>
          </w:tcPr>
          <w:p w14:paraId="5971D7F2" w14:textId="77777777" w:rsidR="00C11898" w:rsidRPr="00E7110C" w:rsidRDefault="00C11898" w:rsidP="000A4843">
            <w:pPr>
              <w:pStyle w:val="Tabletextleft0"/>
            </w:pPr>
            <w:r w:rsidRPr="006C0C0E">
              <w:t>Tasmania</w:t>
            </w:r>
          </w:p>
        </w:tc>
        <w:tc>
          <w:tcPr>
            <w:tcW w:w="1502" w:type="dxa"/>
            <w:tcBorders>
              <w:top w:val="nil"/>
              <w:left w:val="single" w:sz="4" w:space="0" w:color="auto"/>
              <w:bottom w:val="nil"/>
              <w:right w:val="single" w:sz="4" w:space="0" w:color="auto"/>
            </w:tcBorders>
            <w:shd w:val="clear" w:color="000000" w:fill="FFFFFF"/>
            <w:noWrap/>
            <w:vAlign w:val="bottom"/>
            <w:hideMark/>
          </w:tcPr>
          <w:p w14:paraId="7F765586" w14:textId="77777777" w:rsidR="00C11898" w:rsidRPr="00E7110C" w:rsidRDefault="00C11898" w:rsidP="000A4843">
            <w:pPr>
              <w:pStyle w:val="TableTextRight"/>
            </w:pPr>
            <w:r w:rsidRPr="00E7110C">
              <w:t>1,000,000</w:t>
            </w:r>
          </w:p>
        </w:tc>
        <w:tc>
          <w:tcPr>
            <w:tcW w:w="1502" w:type="dxa"/>
            <w:tcBorders>
              <w:top w:val="nil"/>
              <w:left w:val="single" w:sz="4" w:space="0" w:color="auto"/>
              <w:bottom w:val="nil"/>
              <w:right w:val="nil"/>
            </w:tcBorders>
            <w:shd w:val="clear" w:color="000000" w:fill="FFFFFF"/>
            <w:noWrap/>
            <w:vAlign w:val="bottom"/>
            <w:hideMark/>
          </w:tcPr>
          <w:p w14:paraId="382B6F6D" w14:textId="77777777" w:rsidR="00C11898" w:rsidRPr="00E7110C" w:rsidRDefault="00C11898" w:rsidP="000A4843">
            <w:pPr>
              <w:pStyle w:val="TableTextRight"/>
            </w:pPr>
            <w:r w:rsidRPr="00E7110C">
              <w:t>1,250,000</w:t>
            </w:r>
          </w:p>
        </w:tc>
        <w:tc>
          <w:tcPr>
            <w:tcW w:w="1502" w:type="dxa"/>
            <w:tcBorders>
              <w:top w:val="nil"/>
              <w:left w:val="nil"/>
              <w:bottom w:val="nil"/>
              <w:right w:val="single" w:sz="4" w:space="0" w:color="auto"/>
            </w:tcBorders>
            <w:shd w:val="clear" w:color="000000" w:fill="FFFFFF"/>
            <w:noWrap/>
            <w:vAlign w:val="bottom"/>
            <w:hideMark/>
          </w:tcPr>
          <w:p w14:paraId="429438D4" w14:textId="77777777" w:rsidR="00C11898" w:rsidRPr="00E7110C" w:rsidRDefault="00C11898" w:rsidP="000A4843">
            <w:pPr>
              <w:pStyle w:val="TableTextRight"/>
            </w:pPr>
            <w:r w:rsidRPr="00E7110C">
              <w:t>803,125</w:t>
            </w:r>
          </w:p>
        </w:tc>
        <w:tc>
          <w:tcPr>
            <w:tcW w:w="1531" w:type="dxa"/>
            <w:tcBorders>
              <w:top w:val="nil"/>
              <w:left w:val="single" w:sz="4" w:space="0" w:color="auto"/>
              <w:bottom w:val="nil"/>
              <w:right w:val="nil"/>
            </w:tcBorders>
            <w:shd w:val="clear" w:color="000000" w:fill="FFFFFF"/>
            <w:noWrap/>
            <w:vAlign w:val="bottom"/>
            <w:hideMark/>
          </w:tcPr>
          <w:p w14:paraId="172CEE9C" w14:textId="77777777" w:rsidR="00C11898" w:rsidRPr="00E7110C" w:rsidRDefault="00C11898" w:rsidP="000A4843">
            <w:pPr>
              <w:pStyle w:val="TableTextCentered"/>
            </w:pPr>
            <w:r w:rsidRPr="00E7110C">
              <w:t>1.7</w:t>
            </w:r>
          </w:p>
        </w:tc>
        <w:tc>
          <w:tcPr>
            <w:tcW w:w="1531" w:type="dxa"/>
            <w:tcBorders>
              <w:top w:val="nil"/>
              <w:left w:val="nil"/>
              <w:bottom w:val="nil"/>
              <w:right w:val="single" w:sz="4" w:space="0" w:color="auto"/>
            </w:tcBorders>
            <w:shd w:val="clear" w:color="000000" w:fill="FFFFFF"/>
            <w:noWrap/>
            <w:vAlign w:val="bottom"/>
            <w:hideMark/>
          </w:tcPr>
          <w:p w14:paraId="451F4313" w14:textId="77777777" w:rsidR="00C11898" w:rsidRPr="00E7110C" w:rsidRDefault="00C11898" w:rsidP="000A4843">
            <w:pPr>
              <w:pStyle w:val="TableTextCentered"/>
            </w:pPr>
            <w:r w:rsidRPr="00E7110C">
              <w:t>-1.7</w:t>
            </w:r>
          </w:p>
        </w:tc>
      </w:tr>
      <w:tr w:rsidR="00C11898" w:rsidRPr="00E7110C" w14:paraId="27BA6D19" w14:textId="77777777" w:rsidTr="00116242">
        <w:trPr>
          <w:trHeight w:val="300"/>
        </w:trPr>
        <w:tc>
          <w:tcPr>
            <w:tcW w:w="1871" w:type="dxa"/>
            <w:tcBorders>
              <w:top w:val="nil"/>
              <w:left w:val="single" w:sz="4" w:space="0" w:color="auto"/>
              <w:bottom w:val="nil"/>
              <w:right w:val="single" w:sz="4" w:space="0" w:color="auto"/>
            </w:tcBorders>
            <w:shd w:val="clear" w:color="auto" w:fill="F2F2F2" w:themeFill="background1" w:themeFillShade="F2"/>
            <w:noWrap/>
            <w:vAlign w:val="bottom"/>
            <w:hideMark/>
          </w:tcPr>
          <w:p w14:paraId="1DACF448" w14:textId="5FBA0E68" w:rsidR="00C11898" w:rsidRPr="00E7110C" w:rsidRDefault="00C11898" w:rsidP="00116242">
            <w:pPr>
              <w:pStyle w:val="Tabletextleft0"/>
            </w:pPr>
            <w:r w:rsidRPr="006C0C0E">
              <w:t>New South</w:t>
            </w:r>
            <w:r w:rsidR="00116242">
              <w:t xml:space="preserve"> </w:t>
            </w:r>
            <w:r w:rsidRPr="006C0C0E">
              <w:t>Wales</w:t>
            </w:r>
          </w:p>
        </w:tc>
        <w:tc>
          <w:tcPr>
            <w:tcW w:w="1502" w:type="dxa"/>
            <w:tcBorders>
              <w:top w:val="nil"/>
              <w:left w:val="single" w:sz="4" w:space="0" w:color="auto"/>
              <w:bottom w:val="nil"/>
              <w:right w:val="single" w:sz="4" w:space="0" w:color="auto"/>
            </w:tcBorders>
            <w:shd w:val="clear" w:color="auto" w:fill="F2F2F2" w:themeFill="background1" w:themeFillShade="F2"/>
            <w:noWrap/>
            <w:vAlign w:val="bottom"/>
            <w:hideMark/>
          </w:tcPr>
          <w:p w14:paraId="0F2429E1" w14:textId="77777777" w:rsidR="00C11898" w:rsidRPr="00E7110C" w:rsidRDefault="00C11898" w:rsidP="000A4843">
            <w:pPr>
              <w:pStyle w:val="TableTextRight"/>
            </w:pPr>
            <w:r w:rsidRPr="00E7110C">
              <w:t>600,000</w:t>
            </w:r>
          </w:p>
        </w:tc>
        <w:tc>
          <w:tcPr>
            <w:tcW w:w="1502" w:type="dxa"/>
            <w:tcBorders>
              <w:top w:val="nil"/>
              <w:left w:val="single" w:sz="4" w:space="0" w:color="auto"/>
              <w:bottom w:val="nil"/>
              <w:right w:val="nil"/>
            </w:tcBorders>
            <w:shd w:val="clear" w:color="auto" w:fill="F2F2F2" w:themeFill="background1" w:themeFillShade="F2"/>
            <w:noWrap/>
            <w:vAlign w:val="bottom"/>
            <w:hideMark/>
          </w:tcPr>
          <w:p w14:paraId="0A270F0C" w14:textId="77777777" w:rsidR="00C11898" w:rsidRPr="00E7110C" w:rsidRDefault="00C11898" w:rsidP="000A4843">
            <w:pPr>
              <w:pStyle w:val="TableTextRight"/>
            </w:pPr>
            <w:r w:rsidRPr="00E7110C">
              <w:t>750,000</w:t>
            </w:r>
          </w:p>
        </w:tc>
        <w:tc>
          <w:tcPr>
            <w:tcW w:w="1502" w:type="dxa"/>
            <w:tcBorders>
              <w:top w:val="nil"/>
              <w:left w:val="nil"/>
              <w:bottom w:val="nil"/>
              <w:right w:val="single" w:sz="4" w:space="0" w:color="auto"/>
            </w:tcBorders>
            <w:shd w:val="clear" w:color="auto" w:fill="F2F2F2" w:themeFill="background1" w:themeFillShade="F2"/>
            <w:noWrap/>
            <w:vAlign w:val="bottom"/>
            <w:hideMark/>
          </w:tcPr>
          <w:p w14:paraId="14BB5C6B" w14:textId="77777777" w:rsidR="00C11898" w:rsidRPr="00E7110C" w:rsidRDefault="00C11898" w:rsidP="000A4843">
            <w:pPr>
              <w:pStyle w:val="TableTextRight"/>
            </w:pPr>
            <w:r w:rsidRPr="00E7110C">
              <w:t>491,206</w:t>
            </w:r>
          </w:p>
        </w:tc>
        <w:tc>
          <w:tcPr>
            <w:tcW w:w="1531" w:type="dxa"/>
            <w:tcBorders>
              <w:top w:val="nil"/>
              <w:left w:val="single" w:sz="4" w:space="0" w:color="auto"/>
              <w:bottom w:val="nil"/>
              <w:right w:val="nil"/>
            </w:tcBorders>
            <w:shd w:val="clear" w:color="auto" w:fill="F2F2F2" w:themeFill="background1" w:themeFillShade="F2"/>
            <w:noWrap/>
            <w:vAlign w:val="bottom"/>
            <w:hideMark/>
          </w:tcPr>
          <w:p w14:paraId="790ED241" w14:textId="77777777" w:rsidR="00C11898" w:rsidRPr="00E7110C" w:rsidRDefault="00C11898" w:rsidP="000A4843">
            <w:pPr>
              <w:pStyle w:val="TableTextCentered"/>
            </w:pPr>
            <w:r w:rsidRPr="00E7110C">
              <w:t>1.7</w:t>
            </w:r>
          </w:p>
        </w:tc>
        <w:tc>
          <w:tcPr>
            <w:tcW w:w="1531" w:type="dxa"/>
            <w:tcBorders>
              <w:top w:val="nil"/>
              <w:left w:val="nil"/>
              <w:bottom w:val="nil"/>
              <w:right w:val="single" w:sz="4" w:space="0" w:color="auto"/>
            </w:tcBorders>
            <w:shd w:val="clear" w:color="auto" w:fill="F2F2F2" w:themeFill="background1" w:themeFillShade="F2"/>
            <w:noWrap/>
            <w:vAlign w:val="bottom"/>
            <w:hideMark/>
          </w:tcPr>
          <w:p w14:paraId="7FC79C0C" w14:textId="77777777" w:rsidR="00C11898" w:rsidRPr="00E7110C" w:rsidRDefault="00C11898" w:rsidP="000A4843">
            <w:pPr>
              <w:pStyle w:val="TableTextCentered"/>
            </w:pPr>
            <w:r w:rsidRPr="00E7110C">
              <w:t>-1.5</w:t>
            </w:r>
          </w:p>
        </w:tc>
      </w:tr>
      <w:tr w:rsidR="00C11898" w:rsidRPr="00E7110C" w14:paraId="68F25987" w14:textId="77777777" w:rsidTr="00116242">
        <w:trPr>
          <w:trHeight w:val="300"/>
        </w:trPr>
        <w:tc>
          <w:tcPr>
            <w:tcW w:w="1871" w:type="dxa"/>
            <w:tcBorders>
              <w:top w:val="nil"/>
              <w:left w:val="single" w:sz="4" w:space="0" w:color="auto"/>
              <w:bottom w:val="nil"/>
              <w:right w:val="single" w:sz="4" w:space="0" w:color="auto"/>
            </w:tcBorders>
            <w:shd w:val="clear" w:color="000000" w:fill="FFFFFF"/>
            <w:noWrap/>
            <w:vAlign w:val="bottom"/>
            <w:hideMark/>
          </w:tcPr>
          <w:p w14:paraId="35F831C6" w14:textId="77777777" w:rsidR="00C11898" w:rsidRPr="00E7110C" w:rsidRDefault="00C11898" w:rsidP="000A4843">
            <w:pPr>
              <w:pStyle w:val="Tabletextleft0"/>
            </w:pPr>
            <w:r w:rsidRPr="006C0C0E">
              <w:t>Queensland</w:t>
            </w:r>
          </w:p>
        </w:tc>
        <w:tc>
          <w:tcPr>
            <w:tcW w:w="1502" w:type="dxa"/>
            <w:tcBorders>
              <w:top w:val="nil"/>
              <w:left w:val="single" w:sz="4" w:space="0" w:color="auto"/>
              <w:bottom w:val="nil"/>
              <w:right w:val="single" w:sz="4" w:space="0" w:color="auto"/>
            </w:tcBorders>
            <w:shd w:val="clear" w:color="000000" w:fill="FFFFFF"/>
            <w:noWrap/>
            <w:vAlign w:val="bottom"/>
            <w:hideMark/>
          </w:tcPr>
          <w:p w14:paraId="0D9A3CAB" w14:textId="77777777" w:rsidR="00C11898" w:rsidRPr="00E7110C" w:rsidRDefault="00C11898" w:rsidP="000A4843">
            <w:pPr>
              <w:pStyle w:val="TableTextRight"/>
            </w:pPr>
            <w:r w:rsidRPr="00E7110C">
              <w:t>850,000</w:t>
            </w:r>
          </w:p>
        </w:tc>
        <w:tc>
          <w:tcPr>
            <w:tcW w:w="1502" w:type="dxa"/>
            <w:tcBorders>
              <w:top w:val="nil"/>
              <w:left w:val="single" w:sz="4" w:space="0" w:color="auto"/>
              <w:bottom w:val="nil"/>
              <w:right w:val="nil"/>
            </w:tcBorders>
            <w:shd w:val="clear" w:color="000000" w:fill="FFFFFF"/>
            <w:noWrap/>
            <w:vAlign w:val="bottom"/>
            <w:hideMark/>
          </w:tcPr>
          <w:p w14:paraId="79F1F4CD" w14:textId="77777777" w:rsidR="00C11898" w:rsidRPr="00E7110C" w:rsidRDefault="00C11898" w:rsidP="000A4843">
            <w:pPr>
              <w:pStyle w:val="TableTextRight"/>
            </w:pPr>
            <w:r w:rsidRPr="00E7110C">
              <w:t>1,100,000</w:t>
            </w:r>
          </w:p>
        </w:tc>
        <w:tc>
          <w:tcPr>
            <w:tcW w:w="1502" w:type="dxa"/>
            <w:tcBorders>
              <w:top w:val="nil"/>
              <w:left w:val="nil"/>
              <w:bottom w:val="nil"/>
              <w:right w:val="single" w:sz="4" w:space="0" w:color="auto"/>
            </w:tcBorders>
            <w:shd w:val="clear" w:color="000000" w:fill="FFFFFF"/>
            <w:noWrap/>
            <w:vAlign w:val="bottom"/>
            <w:hideMark/>
          </w:tcPr>
          <w:p w14:paraId="6266F6C0" w14:textId="77777777" w:rsidR="00C11898" w:rsidRPr="00E7110C" w:rsidRDefault="00C11898" w:rsidP="000A4843">
            <w:pPr>
              <w:pStyle w:val="TableTextRight"/>
            </w:pPr>
            <w:r w:rsidRPr="00E7110C">
              <w:t>699,168</w:t>
            </w:r>
          </w:p>
        </w:tc>
        <w:tc>
          <w:tcPr>
            <w:tcW w:w="1531" w:type="dxa"/>
            <w:tcBorders>
              <w:top w:val="nil"/>
              <w:left w:val="single" w:sz="4" w:space="0" w:color="auto"/>
              <w:bottom w:val="nil"/>
              <w:right w:val="nil"/>
            </w:tcBorders>
            <w:shd w:val="clear" w:color="000000" w:fill="FFFFFF"/>
            <w:noWrap/>
            <w:vAlign w:val="bottom"/>
            <w:hideMark/>
          </w:tcPr>
          <w:p w14:paraId="78DB29CE" w14:textId="77777777" w:rsidR="00C11898" w:rsidRPr="00E7110C" w:rsidRDefault="00C11898" w:rsidP="000A4843">
            <w:pPr>
              <w:pStyle w:val="TableTextCentered"/>
            </w:pPr>
            <w:r w:rsidRPr="00E7110C">
              <w:t>2.0</w:t>
            </w:r>
          </w:p>
        </w:tc>
        <w:tc>
          <w:tcPr>
            <w:tcW w:w="1531" w:type="dxa"/>
            <w:tcBorders>
              <w:top w:val="nil"/>
              <w:left w:val="nil"/>
              <w:bottom w:val="nil"/>
              <w:right w:val="single" w:sz="4" w:space="0" w:color="auto"/>
            </w:tcBorders>
            <w:shd w:val="clear" w:color="000000" w:fill="FFFFFF"/>
            <w:noWrap/>
            <w:vAlign w:val="bottom"/>
            <w:hideMark/>
          </w:tcPr>
          <w:p w14:paraId="47001354" w14:textId="77777777" w:rsidR="00C11898" w:rsidRPr="00E7110C" w:rsidRDefault="00C11898" w:rsidP="000A4843">
            <w:pPr>
              <w:pStyle w:val="TableTextCentered"/>
            </w:pPr>
            <w:r w:rsidRPr="00E7110C">
              <w:t>-1.5</w:t>
            </w:r>
          </w:p>
        </w:tc>
      </w:tr>
      <w:tr w:rsidR="00C11898" w:rsidRPr="00E7110C" w14:paraId="07F2DB1F" w14:textId="77777777" w:rsidTr="00116242">
        <w:trPr>
          <w:trHeight w:val="300"/>
        </w:trPr>
        <w:tc>
          <w:tcPr>
            <w:tcW w:w="1871" w:type="dxa"/>
            <w:tcBorders>
              <w:top w:val="nil"/>
              <w:left w:val="single" w:sz="4" w:space="0" w:color="auto"/>
              <w:bottom w:val="nil"/>
              <w:right w:val="single" w:sz="4" w:space="0" w:color="auto"/>
            </w:tcBorders>
            <w:shd w:val="clear" w:color="auto" w:fill="F2F2F2" w:themeFill="background1" w:themeFillShade="F2"/>
            <w:noWrap/>
            <w:vAlign w:val="bottom"/>
            <w:hideMark/>
          </w:tcPr>
          <w:p w14:paraId="34616BFB" w14:textId="64956250" w:rsidR="00C11898" w:rsidRPr="00E7110C" w:rsidRDefault="00C11898" w:rsidP="00116242">
            <w:pPr>
              <w:pStyle w:val="Tabletextleft0"/>
            </w:pPr>
            <w:r w:rsidRPr="006C0C0E">
              <w:t>South Australia</w:t>
            </w:r>
          </w:p>
        </w:tc>
        <w:tc>
          <w:tcPr>
            <w:tcW w:w="1502" w:type="dxa"/>
            <w:tcBorders>
              <w:top w:val="nil"/>
              <w:left w:val="single" w:sz="4" w:space="0" w:color="auto"/>
              <w:bottom w:val="nil"/>
              <w:right w:val="single" w:sz="4" w:space="0" w:color="auto"/>
            </w:tcBorders>
            <w:shd w:val="clear" w:color="auto" w:fill="F2F2F2" w:themeFill="background1" w:themeFillShade="F2"/>
            <w:noWrap/>
            <w:vAlign w:val="bottom"/>
            <w:hideMark/>
          </w:tcPr>
          <w:p w14:paraId="18785128" w14:textId="77777777" w:rsidR="00C11898" w:rsidRPr="00E7110C" w:rsidRDefault="00C11898" w:rsidP="000A4843">
            <w:pPr>
              <w:pStyle w:val="TableTextRight"/>
            </w:pPr>
            <w:r w:rsidRPr="00E7110C">
              <w:t>456,000</w:t>
            </w:r>
          </w:p>
        </w:tc>
        <w:tc>
          <w:tcPr>
            <w:tcW w:w="1502" w:type="dxa"/>
            <w:tcBorders>
              <w:top w:val="nil"/>
              <w:left w:val="single" w:sz="4" w:space="0" w:color="auto"/>
              <w:bottom w:val="nil"/>
              <w:right w:val="nil"/>
            </w:tcBorders>
            <w:shd w:val="clear" w:color="auto" w:fill="F2F2F2" w:themeFill="background1" w:themeFillShade="F2"/>
            <w:noWrap/>
            <w:vAlign w:val="bottom"/>
            <w:hideMark/>
          </w:tcPr>
          <w:p w14:paraId="306BA2B1" w14:textId="77777777" w:rsidR="00C11898" w:rsidRPr="00E7110C" w:rsidRDefault="00C11898" w:rsidP="000A4843">
            <w:pPr>
              <w:pStyle w:val="TableTextRight"/>
            </w:pPr>
            <w:r w:rsidRPr="00E7110C">
              <w:t>600,000</w:t>
            </w:r>
          </w:p>
        </w:tc>
        <w:tc>
          <w:tcPr>
            <w:tcW w:w="1502" w:type="dxa"/>
            <w:tcBorders>
              <w:top w:val="nil"/>
              <w:left w:val="nil"/>
              <w:bottom w:val="nil"/>
              <w:right w:val="single" w:sz="4" w:space="0" w:color="auto"/>
            </w:tcBorders>
            <w:shd w:val="clear" w:color="auto" w:fill="F2F2F2" w:themeFill="background1" w:themeFillShade="F2"/>
            <w:noWrap/>
            <w:vAlign w:val="bottom"/>
            <w:hideMark/>
          </w:tcPr>
          <w:p w14:paraId="2A18449D" w14:textId="77777777" w:rsidR="00C11898" w:rsidRPr="00E7110C" w:rsidRDefault="00C11898" w:rsidP="000A4843">
            <w:pPr>
              <w:pStyle w:val="TableTextRight"/>
            </w:pPr>
            <w:r w:rsidRPr="00E7110C">
              <w:t>383,223</w:t>
            </w:r>
          </w:p>
        </w:tc>
        <w:tc>
          <w:tcPr>
            <w:tcW w:w="1531" w:type="dxa"/>
            <w:tcBorders>
              <w:top w:val="nil"/>
              <w:left w:val="single" w:sz="4" w:space="0" w:color="auto"/>
              <w:bottom w:val="nil"/>
              <w:right w:val="nil"/>
            </w:tcBorders>
            <w:shd w:val="clear" w:color="auto" w:fill="F2F2F2" w:themeFill="background1" w:themeFillShade="F2"/>
            <w:noWrap/>
            <w:vAlign w:val="bottom"/>
            <w:hideMark/>
          </w:tcPr>
          <w:p w14:paraId="0E5184CC" w14:textId="77777777" w:rsidR="00C11898" w:rsidRPr="00E7110C" w:rsidRDefault="00C11898" w:rsidP="000A4843">
            <w:pPr>
              <w:pStyle w:val="TableTextCentered"/>
            </w:pPr>
            <w:r w:rsidRPr="00E7110C">
              <w:t>2.1</w:t>
            </w:r>
          </w:p>
        </w:tc>
        <w:tc>
          <w:tcPr>
            <w:tcW w:w="1531" w:type="dxa"/>
            <w:tcBorders>
              <w:top w:val="nil"/>
              <w:left w:val="nil"/>
              <w:bottom w:val="nil"/>
              <w:right w:val="single" w:sz="4" w:space="0" w:color="auto"/>
            </w:tcBorders>
            <w:shd w:val="clear" w:color="auto" w:fill="F2F2F2" w:themeFill="background1" w:themeFillShade="F2"/>
            <w:noWrap/>
            <w:vAlign w:val="bottom"/>
            <w:hideMark/>
          </w:tcPr>
          <w:p w14:paraId="4CCDA2FE" w14:textId="77777777" w:rsidR="00C11898" w:rsidRPr="00E7110C" w:rsidRDefault="00C11898" w:rsidP="000A4843">
            <w:pPr>
              <w:pStyle w:val="TableTextCentered"/>
            </w:pPr>
            <w:r w:rsidRPr="00E7110C">
              <w:t>-1.3</w:t>
            </w:r>
          </w:p>
        </w:tc>
      </w:tr>
      <w:tr w:rsidR="00C11898" w:rsidRPr="00E7110C" w14:paraId="176D4B3D" w14:textId="77777777" w:rsidTr="00116242">
        <w:trPr>
          <w:trHeight w:val="300"/>
        </w:trPr>
        <w:tc>
          <w:tcPr>
            <w:tcW w:w="1871" w:type="dxa"/>
            <w:tcBorders>
              <w:top w:val="nil"/>
              <w:left w:val="single" w:sz="4" w:space="0" w:color="auto"/>
              <w:right w:val="single" w:sz="4" w:space="0" w:color="auto"/>
            </w:tcBorders>
            <w:shd w:val="clear" w:color="000000" w:fill="FFFFFF"/>
            <w:noWrap/>
            <w:vAlign w:val="bottom"/>
            <w:hideMark/>
          </w:tcPr>
          <w:p w14:paraId="0ACCD682" w14:textId="50388138" w:rsidR="00C11898" w:rsidRPr="00E7110C" w:rsidRDefault="00C11898" w:rsidP="00116242">
            <w:pPr>
              <w:pStyle w:val="Tabletextleft0"/>
            </w:pPr>
            <w:r w:rsidRPr="006C0C0E">
              <w:t>Australian</w:t>
            </w:r>
            <w:r w:rsidR="00116242">
              <w:t xml:space="preserve"> </w:t>
            </w:r>
            <w:r w:rsidRPr="006C0C0E">
              <w:t>Capital</w:t>
            </w:r>
            <w:r w:rsidR="00A1600C">
              <w:br/>
            </w:r>
            <w:r w:rsidRPr="006C0C0E">
              <w:t xml:space="preserve"> Territory</w:t>
            </w:r>
          </w:p>
        </w:tc>
        <w:tc>
          <w:tcPr>
            <w:tcW w:w="1502" w:type="dxa"/>
            <w:tcBorders>
              <w:top w:val="nil"/>
              <w:left w:val="single" w:sz="4" w:space="0" w:color="auto"/>
              <w:right w:val="single" w:sz="4" w:space="0" w:color="auto"/>
            </w:tcBorders>
            <w:shd w:val="clear" w:color="000000" w:fill="FFFFFF"/>
            <w:noWrap/>
            <w:vAlign w:val="bottom"/>
            <w:hideMark/>
          </w:tcPr>
          <w:p w14:paraId="6F4DED13" w14:textId="77777777" w:rsidR="00C11898" w:rsidRPr="00E7110C" w:rsidRDefault="00C11898" w:rsidP="000A4843">
            <w:pPr>
              <w:pStyle w:val="TableTextRight"/>
            </w:pPr>
            <w:r w:rsidRPr="00E7110C">
              <w:t>1,250,000</w:t>
            </w:r>
          </w:p>
        </w:tc>
        <w:tc>
          <w:tcPr>
            <w:tcW w:w="1502" w:type="dxa"/>
            <w:tcBorders>
              <w:top w:val="nil"/>
              <w:left w:val="single" w:sz="4" w:space="0" w:color="auto"/>
              <w:right w:val="nil"/>
            </w:tcBorders>
            <w:shd w:val="clear" w:color="000000" w:fill="FFFFFF"/>
            <w:noWrap/>
            <w:vAlign w:val="bottom"/>
            <w:hideMark/>
          </w:tcPr>
          <w:p w14:paraId="07705BBC" w14:textId="77777777" w:rsidR="00C11898" w:rsidRPr="00E7110C" w:rsidRDefault="00C11898" w:rsidP="000A4843">
            <w:pPr>
              <w:pStyle w:val="TableTextRight"/>
            </w:pPr>
            <w:r w:rsidRPr="00E7110C">
              <w:t>1,850,000</w:t>
            </w:r>
          </w:p>
        </w:tc>
        <w:tc>
          <w:tcPr>
            <w:tcW w:w="1502" w:type="dxa"/>
            <w:tcBorders>
              <w:top w:val="nil"/>
              <w:left w:val="nil"/>
              <w:right w:val="single" w:sz="4" w:space="0" w:color="auto"/>
            </w:tcBorders>
            <w:shd w:val="clear" w:color="000000" w:fill="FFFFFF"/>
            <w:noWrap/>
            <w:vAlign w:val="bottom"/>
            <w:hideMark/>
          </w:tcPr>
          <w:p w14:paraId="39199863" w14:textId="77777777" w:rsidR="00C11898" w:rsidRPr="00E7110C" w:rsidRDefault="00C11898" w:rsidP="000A4843">
            <w:pPr>
              <w:pStyle w:val="TableTextRight"/>
            </w:pPr>
            <w:r w:rsidRPr="00E7110C">
              <w:t>1,209,975</w:t>
            </w:r>
          </w:p>
        </w:tc>
        <w:tc>
          <w:tcPr>
            <w:tcW w:w="1531" w:type="dxa"/>
            <w:tcBorders>
              <w:top w:val="nil"/>
              <w:left w:val="single" w:sz="4" w:space="0" w:color="auto"/>
              <w:right w:val="nil"/>
            </w:tcBorders>
            <w:shd w:val="clear" w:color="000000" w:fill="FFFFFF"/>
            <w:noWrap/>
            <w:vAlign w:val="bottom"/>
            <w:hideMark/>
          </w:tcPr>
          <w:p w14:paraId="3250DDD6" w14:textId="77777777" w:rsidR="00C11898" w:rsidRPr="00E7110C" w:rsidRDefault="00C11898" w:rsidP="000A4843">
            <w:pPr>
              <w:pStyle w:val="TableTextCentered"/>
            </w:pPr>
            <w:r w:rsidRPr="00E7110C">
              <w:t>3.1</w:t>
            </w:r>
          </w:p>
        </w:tc>
        <w:tc>
          <w:tcPr>
            <w:tcW w:w="1531" w:type="dxa"/>
            <w:tcBorders>
              <w:top w:val="nil"/>
              <w:left w:val="nil"/>
              <w:right w:val="single" w:sz="4" w:space="0" w:color="auto"/>
            </w:tcBorders>
            <w:shd w:val="clear" w:color="000000" w:fill="FFFFFF"/>
            <w:noWrap/>
            <w:vAlign w:val="bottom"/>
            <w:hideMark/>
          </w:tcPr>
          <w:p w14:paraId="3C8A0EF9" w14:textId="77777777" w:rsidR="00C11898" w:rsidRPr="00E7110C" w:rsidRDefault="00C11898" w:rsidP="000A4843">
            <w:pPr>
              <w:pStyle w:val="TableTextCentered"/>
            </w:pPr>
            <w:r w:rsidRPr="00E7110C">
              <w:t>-0.3</w:t>
            </w:r>
          </w:p>
        </w:tc>
      </w:tr>
      <w:tr w:rsidR="00C11898" w:rsidRPr="00E7110C" w14:paraId="1D3AE2A9" w14:textId="77777777" w:rsidTr="00116242">
        <w:trPr>
          <w:trHeight w:val="300"/>
        </w:trPr>
        <w:tc>
          <w:tcPr>
            <w:tcW w:w="187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6EC2266" w14:textId="0DF55F3A" w:rsidR="00C11898" w:rsidRPr="00E7110C" w:rsidRDefault="00C11898" w:rsidP="00116242">
            <w:pPr>
              <w:pStyle w:val="Tabletextleft0"/>
            </w:pPr>
            <w:r w:rsidRPr="006C0C0E">
              <w:t>Northern</w:t>
            </w:r>
            <w:r w:rsidR="00116242">
              <w:t xml:space="preserve"> </w:t>
            </w:r>
            <w:r w:rsidRPr="006C0C0E">
              <w:t xml:space="preserve"> Territory</w:t>
            </w:r>
          </w:p>
        </w:tc>
        <w:tc>
          <w:tcPr>
            <w:tcW w:w="150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BF08895" w14:textId="77777777" w:rsidR="00C11898" w:rsidRPr="00E7110C" w:rsidRDefault="00C11898" w:rsidP="000A4843">
            <w:pPr>
              <w:pStyle w:val="TableTextRight"/>
            </w:pPr>
            <w:r w:rsidRPr="00E7110C">
              <w:t>600,000</w:t>
            </w:r>
          </w:p>
        </w:tc>
        <w:tc>
          <w:tcPr>
            <w:tcW w:w="1502" w:type="dxa"/>
            <w:tcBorders>
              <w:top w:val="nil"/>
              <w:left w:val="single" w:sz="4" w:space="0" w:color="auto"/>
              <w:bottom w:val="single" w:sz="4" w:space="0" w:color="auto"/>
              <w:right w:val="nil"/>
            </w:tcBorders>
            <w:shd w:val="clear" w:color="auto" w:fill="F2F2F2" w:themeFill="background1" w:themeFillShade="F2"/>
            <w:noWrap/>
            <w:vAlign w:val="bottom"/>
            <w:hideMark/>
          </w:tcPr>
          <w:p w14:paraId="4C9F349E" w14:textId="77777777" w:rsidR="00C11898" w:rsidRPr="00E7110C" w:rsidRDefault="00C11898" w:rsidP="000A4843">
            <w:pPr>
              <w:pStyle w:val="TableTextRight"/>
            </w:pPr>
            <w:r w:rsidRPr="00E7110C">
              <w:t>1,500,000</w:t>
            </w:r>
          </w:p>
        </w:tc>
        <w:tc>
          <w:tcPr>
            <w:tcW w:w="1502" w:type="dxa"/>
            <w:tcBorders>
              <w:top w:val="nil"/>
              <w:left w:val="nil"/>
              <w:bottom w:val="single" w:sz="4" w:space="0" w:color="auto"/>
              <w:right w:val="single" w:sz="4" w:space="0" w:color="auto"/>
            </w:tcBorders>
            <w:shd w:val="clear" w:color="auto" w:fill="F2F2F2" w:themeFill="background1" w:themeFillShade="F2"/>
            <w:noWrap/>
            <w:vAlign w:val="bottom"/>
            <w:hideMark/>
          </w:tcPr>
          <w:p w14:paraId="630DA637" w14:textId="77777777" w:rsidR="00C11898" w:rsidRPr="00E7110C" w:rsidRDefault="00C11898" w:rsidP="000A4843">
            <w:pPr>
              <w:pStyle w:val="TableTextRight"/>
            </w:pPr>
            <w:r w:rsidRPr="00E7110C">
              <w:t>950,826</w:t>
            </w:r>
          </w:p>
        </w:tc>
        <w:tc>
          <w:tcPr>
            <w:tcW w:w="1531" w:type="dxa"/>
            <w:tcBorders>
              <w:top w:val="nil"/>
              <w:left w:val="single" w:sz="4" w:space="0" w:color="auto"/>
              <w:bottom w:val="single" w:sz="4" w:space="0" w:color="auto"/>
              <w:right w:val="nil"/>
            </w:tcBorders>
            <w:shd w:val="clear" w:color="auto" w:fill="F2F2F2" w:themeFill="background1" w:themeFillShade="F2"/>
            <w:noWrap/>
            <w:vAlign w:val="bottom"/>
            <w:hideMark/>
          </w:tcPr>
          <w:p w14:paraId="4B6762B4" w14:textId="77777777" w:rsidR="00C11898" w:rsidRPr="00E7110C" w:rsidRDefault="00C11898" w:rsidP="000A4843">
            <w:pPr>
              <w:pStyle w:val="TableTextCentered"/>
            </w:pPr>
            <w:r w:rsidRPr="00E7110C">
              <w:t>7.3</w:t>
            </w:r>
          </w:p>
        </w:tc>
        <w:tc>
          <w:tcPr>
            <w:tcW w:w="1531" w:type="dxa"/>
            <w:tcBorders>
              <w:top w:val="nil"/>
              <w:left w:val="nil"/>
              <w:bottom w:val="single" w:sz="4" w:space="0" w:color="auto"/>
              <w:right w:val="single" w:sz="4" w:space="0" w:color="auto"/>
            </w:tcBorders>
            <w:shd w:val="clear" w:color="auto" w:fill="F2F2F2" w:themeFill="background1" w:themeFillShade="F2"/>
            <w:noWrap/>
            <w:vAlign w:val="bottom"/>
            <w:hideMark/>
          </w:tcPr>
          <w:p w14:paraId="08E390E9" w14:textId="77777777" w:rsidR="00C11898" w:rsidRPr="00E7110C" w:rsidRDefault="00C11898" w:rsidP="000A4843">
            <w:pPr>
              <w:pStyle w:val="TableTextCentered"/>
            </w:pPr>
            <w:r w:rsidRPr="00E7110C">
              <w:t>3.6</w:t>
            </w:r>
          </w:p>
        </w:tc>
      </w:tr>
    </w:tbl>
    <w:p w14:paraId="771620B8" w14:textId="54E6A9B3" w:rsidR="00457170" w:rsidRPr="0048031D" w:rsidRDefault="00457170" w:rsidP="00F30ADA">
      <w:pPr>
        <w:pStyle w:val="ChartorTableNote"/>
      </w:pPr>
      <w:r w:rsidRPr="0048031D">
        <w:t xml:space="preserve">* </w:t>
      </w:r>
      <w:r>
        <w:t>The Wage Price Index was used to calculate the real threshold</w:t>
      </w:r>
      <w:r w:rsidR="00246CD9">
        <w:t xml:space="preserve"> in 2001-02 dollars</w:t>
      </w:r>
      <w:r>
        <w:t xml:space="preserve">. Data source: Australian Bureau of Statistics publication cat. No. </w:t>
      </w:r>
      <w:r w:rsidRPr="0048031D">
        <w:t>6345.0 Table</w:t>
      </w:r>
      <w:r>
        <w:t> </w:t>
      </w:r>
      <w:r w:rsidRPr="0048031D">
        <w:t>3a</w:t>
      </w:r>
      <w:r>
        <w:t>, Total Hourly Rates of Pay Excluding Bonuses: Private Sector by State</w:t>
      </w:r>
      <w:r w:rsidR="00550818">
        <w:t xml:space="preserve">. </w:t>
      </w:r>
      <w:r w:rsidR="006271CF">
        <w:t>Thresholds s</w:t>
      </w:r>
      <w:r w:rsidR="00550818">
        <w:t>ource: Various State Governments.</w:t>
      </w:r>
    </w:p>
    <w:p w14:paraId="77B636D3" w14:textId="77777777" w:rsidR="00A1600C" w:rsidRDefault="00A1600C">
      <w:pPr>
        <w:spacing w:after="200" w:line="276" w:lineRule="auto"/>
      </w:pPr>
      <w:r>
        <w:br w:type="page"/>
      </w:r>
    </w:p>
    <w:p w14:paraId="3E30C79F" w14:textId="7D210B2A" w:rsidR="00B97E53" w:rsidRDefault="00B5417D" w:rsidP="00F12EE0">
      <w:r>
        <w:lastRenderedPageBreak/>
        <w:t xml:space="preserve">Although Queensland did have a lower legislated payroll tax </w:t>
      </w:r>
      <w:r w:rsidR="007475AD">
        <w:t>rate</w:t>
      </w:r>
      <w:r>
        <w:t xml:space="preserve">, </w:t>
      </w:r>
      <w:r w:rsidR="00AA0DE6">
        <w:t xml:space="preserve">Victoria had the lowest </w:t>
      </w:r>
      <w:r>
        <w:t xml:space="preserve">effective </w:t>
      </w:r>
      <w:r w:rsidR="00303ADE">
        <w:t xml:space="preserve">marginal </w:t>
      </w:r>
      <w:r>
        <w:t xml:space="preserve">payroll tax rate during this period for firms near the threshold. This occurs due to Queensland </w:t>
      </w:r>
      <w:r w:rsidR="00D3529A">
        <w:t xml:space="preserve">phasing out its payroll tax exemption threshold by one dollar for every four dollars of total remuneration </w:t>
      </w:r>
      <w:r w:rsidR="00C95F07">
        <w:t>above the threshold.</w:t>
      </w:r>
      <w:r>
        <w:t xml:space="preserve"> </w:t>
      </w:r>
      <w:r w:rsidR="00C95F07">
        <w:t xml:space="preserve">The Northern Territory </w:t>
      </w:r>
      <w:r w:rsidR="00206B9F">
        <w:t xml:space="preserve">introduced phasing out of the threshold from the 2011-12 financial </w:t>
      </w:r>
      <w:proofErr w:type="gramStart"/>
      <w:r w:rsidR="00206B9F">
        <w:t>year</w:t>
      </w:r>
      <w:proofErr w:type="gramEnd"/>
      <w:r w:rsidR="00206B9F">
        <w:t>. This had the effect of increasing the effective</w:t>
      </w:r>
      <w:r w:rsidR="00B97E53">
        <w:t xml:space="preserve"> marginal</w:t>
      </w:r>
      <w:r w:rsidR="00206B9F">
        <w:t xml:space="preserve"> payroll tax rate for firms near the threshold despite the legislated headline rat</w:t>
      </w:r>
      <w:r w:rsidR="00F613A4">
        <w:t>e falling.</w:t>
      </w:r>
    </w:p>
    <w:p w14:paraId="39B6925C" w14:textId="3FBA22EE" w:rsidR="00D207B4" w:rsidRPr="00D207B4" w:rsidRDefault="00D207B4" w:rsidP="0003678D">
      <w:pPr>
        <w:pStyle w:val="TableMainHeading"/>
      </w:pPr>
      <w:r w:rsidRPr="00D207B4">
        <w:t>Table 2: Payroll tax rates for selected financial years sorted by effective* marginal payroll tax rates for 2014-15</w:t>
      </w:r>
    </w:p>
    <w:tbl>
      <w:tblPr>
        <w:tblW w:w="9466" w:type="dxa"/>
        <w:tblLayout w:type="fixed"/>
        <w:tblLook w:val="04A0" w:firstRow="1" w:lastRow="0" w:firstColumn="1" w:lastColumn="0" w:noHBand="0" w:noVBand="1"/>
      </w:tblPr>
      <w:tblGrid>
        <w:gridCol w:w="1984"/>
        <w:gridCol w:w="1247"/>
        <w:gridCol w:w="1247"/>
        <w:gridCol w:w="1247"/>
        <w:gridCol w:w="1247"/>
        <w:gridCol w:w="1247"/>
        <w:gridCol w:w="1247"/>
      </w:tblGrid>
      <w:tr w:rsidR="00D207B4" w:rsidRPr="00E7110C" w14:paraId="6EDD4E4B" w14:textId="134BAC98" w:rsidTr="00116242">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43CBC8C" w14:textId="77777777" w:rsidR="00D207B4" w:rsidRPr="00E7110C" w:rsidRDefault="00D207B4" w:rsidP="00D207B4">
            <w:pPr>
              <w:pStyle w:val="TableColumnHeadingLeft"/>
            </w:pPr>
            <w:r>
              <w:t>State</w:t>
            </w:r>
          </w:p>
        </w:tc>
        <w:tc>
          <w:tcPr>
            <w:tcW w:w="1247" w:type="dxa"/>
            <w:tcBorders>
              <w:top w:val="single" w:sz="4" w:space="0" w:color="auto"/>
              <w:left w:val="single" w:sz="4" w:space="0" w:color="auto"/>
              <w:bottom w:val="single" w:sz="4" w:space="0" w:color="auto"/>
              <w:right w:val="nil"/>
            </w:tcBorders>
            <w:shd w:val="clear" w:color="auto" w:fill="C6D9F1" w:themeFill="text2" w:themeFillTint="33"/>
            <w:vAlign w:val="bottom"/>
            <w:hideMark/>
          </w:tcPr>
          <w:p w14:paraId="391A2CFD" w14:textId="07C60F35" w:rsidR="00D207B4" w:rsidRPr="00E7110C" w:rsidRDefault="00D207B4" w:rsidP="00A1600C">
            <w:pPr>
              <w:pStyle w:val="TableColumnHeadingCentred"/>
            </w:pPr>
            <w:r>
              <w:t>2008–09 Headline</w:t>
            </w:r>
          </w:p>
        </w:tc>
        <w:tc>
          <w:tcPr>
            <w:tcW w:w="1247"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3C3CBAF4" w14:textId="3E0C061C" w:rsidR="00D207B4" w:rsidRPr="00E7110C" w:rsidRDefault="00D207B4" w:rsidP="00A1600C">
            <w:pPr>
              <w:pStyle w:val="TableColumnHeadingCentred"/>
            </w:pPr>
            <w:r>
              <w:t>2008–09 Effective marginal</w:t>
            </w:r>
          </w:p>
        </w:tc>
        <w:tc>
          <w:tcPr>
            <w:tcW w:w="1247" w:type="dxa"/>
            <w:tcBorders>
              <w:top w:val="single" w:sz="4" w:space="0" w:color="auto"/>
              <w:left w:val="single" w:sz="4" w:space="0" w:color="auto"/>
              <w:bottom w:val="single" w:sz="4" w:space="0" w:color="auto"/>
              <w:right w:val="nil"/>
            </w:tcBorders>
            <w:shd w:val="clear" w:color="auto" w:fill="C6D9F1" w:themeFill="text2" w:themeFillTint="33"/>
            <w:noWrap/>
            <w:vAlign w:val="bottom"/>
            <w:hideMark/>
          </w:tcPr>
          <w:p w14:paraId="00DD02B4" w14:textId="1CDAD3A8" w:rsidR="00D207B4" w:rsidRPr="00E7110C" w:rsidRDefault="00D207B4" w:rsidP="00A1600C">
            <w:pPr>
              <w:pStyle w:val="TableColumnHeadingCentred"/>
            </w:pPr>
            <w:r>
              <w:t>2014–</w:t>
            </w:r>
            <w:r w:rsidRPr="00E7110C">
              <w:t>15</w:t>
            </w:r>
            <w:r>
              <w:t xml:space="preserve"> Headline</w:t>
            </w:r>
          </w:p>
        </w:tc>
        <w:tc>
          <w:tcPr>
            <w:tcW w:w="124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39BD619F" w14:textId="298EEA50" w:rsidR="00D207B4" w:rsidRPr="00E7110C" w:rsidRDefault="00F12EE0" w:rsidP="00A1600C">
            <w:pPr>
              <w:pStyle w:val="TableColumnHeadingCentred"/>
            </w:pPr>
            <w:r>
              <w:t>2014–</w:t>
            </w:r>
            <w:r w:rsidR="00D207B4">
              <w:t>15 Effective marginal</w:t>
            </w:r>
          </w:p>
        </w:tc>
        <w:tc>
          <w:tcPr>
            <w:tcW w:w="1247" w:type="dxa"/>
            <w:tcBorders>
              <w:top w:val="single" w:sz="4" w:space="0" w:color="auto"/>
              <w:left w:val="single" w:sz="4" w:space="0" w:color="auto"/>
              <w:bottom w:val="single" w:sz="4" w:space="0" w:color="auto"/>
              <w:right w:val="nil"/>
            </w:tcBorders>
            <w:shd w:val="clear" w:color="auto" w:fill="C6D9F1" w:themeFill="text2" w:themeFillTint="33"/>
            <w:noWrap/>
            <w:vAlign w:val="bottom"/>
            <w:hideMark/>
          </w:tcPr>
          <w:p w14:paraId="3156ED60" w14:textId="5921F4A9" w:rsidR="00D207B4" w:rsidRPr="00E7110C" w:rsidRDefault="00D207B4" w:rsidP="00A1600C">
            <w:pPr>
              <w:pStyle w:val="TableColumnHeadingCentred"/>
            </w:pPr>
            <w:r>
              <w:t>Headline change</w:t>
            </w:r>
          </w:p>
        </w:tc>
        <w:tc>
          <w:tcPr>
            <w:tcW w:w="124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7E1F9BC5" w14:textId="7AF99DE6" w:rsidR="00D207B4" w:rsidRDefault="00D207B4" w:rsidP="00A1600C">
            <w:pPr>
              <w:pStyle w:val="TableColumnHeadingCentred"/>
            </w:pPr>
            <w:r>
              <w:t>Effective marginal</w:t>
            </w:r>
            <w:r w:rsidR="00A1600C">
              <w:br/>
            </w:r>
            <w:r>
              <w:t>change</w:t>
            </w:r>
          </w:p>
        </w:tc>
      </w:tr>
      <w:tr w:rsidR="00D207B4" w:rsidRPr="00E7110C" w14:paraId="2B6211F0" w14:textId="1DA7C855" w:rsidTr="00116242">
        <w:trPr>
          <w:trHeight w:val="186"/>
        </w:trPr>
        <w:tc>
          <w:tcPr>
            <w:tcW w:w="1984" w:type="dxa"/>
            <w:tcBorders>
              <w:top w:val="single" w:sz="4" w:space="0" w:color="auto"/>
              <w:left w:val="single" w:sz="4" w:space="0" w:color="auto"/>
              <w:bottom w:val="nil"/>
              <w:right w:val="single" w:sz="4" w:space="0" w:color="auto"/>
            </w:tcBorders>
            <w:shd w:val="clear" w:color="000000" w:fill="FFFFFF"/>
            <w:noWrap/>
            <w:vAlign w:val="bottom"/>
            <w:hideMark/>
          </w:tcPr>
          <w:p w14:paraId="3B118BF5" w14:textId="070B9905" w:rsidR="00D207B4" w:rsidRPr="00D207B4" w:rsidRDefault="00D207B4" w:rsidP="00A1600C">
            <w:pPr>
              <w:pStyle w:val="Tabletextleft0"/>
              <w:spacing w:before="80" w:after="80"/>
            </w:pPr>
            <w:r w:rsidRPr="00D207B4">
              <w:t>Victoria</w:t>
            </w:r>
          </w:p>
        </w:tc>
        <w:tc>
          <w:tcPr>
            <w:tcW w:w="1247" w:type="dxa"/>
            <w:tcBorders>
              <w:top w:val="single" w:sz="4" w:space="0" w:color="auto"/>
              <w:left w:val="single" w:sz="4" w:space="0" w:color="auto"/>
              <w:bottom w:val="nil"/>
              <w:right w:val="nil"/>
            </w:tcBorders>
            <w:shd w:val="clear" w:color="000000" w:fill="FFFFFF"/>
            <w:noWrap/>
            <w:vAlign w:val="bottom"/>
            <w:hideMark/>
          </w:tcPr>
          <w:p w14:paraId="2B330175" w14:textId="75D70AEF" w:rsidR="00D207B4" w:rsidRPr="00E7110C" w:rsidRDefault="00D207B4" w:rsidP="00A1600C">
            <w:pPr>
              <w:pStyle w:val="TableTextRight"/>
              <w:spacing w:before="80" w:after="80"/>
            </w:pPr>
            <w:r w:rsidRPr="00206B9F">
              <w:t>4.9500</w:t>
            </w:r>
          </w:p>
        </w:tc>
        <w:tc>
          <w:tcPr>
            <w:tcW w:w="1247" w:type="dxa"/>
            <w:tcBorders>
              <w:top w:val="single" w:sz="4" w:space="0" w:color="auto"/>
              <w:left w:val="nil"/>
              <w:bottom w:val="nil"/>
              <w:right w:val="single" w:sz="4" w:space="0" w:color="auto"/>
            </w:tcBorders>
            <w:shd w:val="clear" w:color="000000" w:fill="FFFFFF"/>
            <w:noWrap/>
            <w:vAlign w:val="bottom"/>
            <w:hideMark/>
          </w:tcPr>
          <w:p w14:paraId="5ECBBBF8" w14:textId="35D8640E" w:rsidR="00D207B4" w:rsidRPr="00E7110C" w:rsidRDefault="00D207B4" w:rsidP="00A1600C">
            <w:pPr>
              <w:pStyle w:val="TableTextRight"/>
              <w:spacing w:before="80" w:after="80"/>
            </w:pPr>
            <w:r w:rsidRPr="00206B9F">
              <w:t>4.9500</w:t>
            </w:r>
          </w:p>
        </w:tc>
        <w:tc>
          <w:tcPr>
            <w:tcW w:w="1247" w:type="dxa"/>
            <w:tcBorders>
              <w:top w:val="single" w:sz="4" w:space="0" w:color="auto"/>
              <w:left w:val="single" w:sz="4" w:space="0" w:color="auto"/>
              <w:bottom w:val="nil"/>
              <w:right w:val="nil"/>
            </w:tcBorders>
            <w:shd w:val="clear" w:color="000000" w:fill="FFFFFF"/>
            <w:noWrap/>
            <w:vAlign w:val="bottom"/>
            <w:hideMark/>
          </w:tcPr>
          <w:p w14:paraId="48F70A76" w14:textId="54212780" w:rsidR="00D207B4" w:rsidRPr="00E7110C" w:rsidRDefault="00D207B4" w:rsidP="00A1600C">
            <w:pPr>
              <w:pStyle w:val="TableTextRight"/>
              <w:spacing w:before="80" w:after="80"/>
            </w:pPr>
            <w:r w:rsidRPr="00206B9F">
              <w:t>4.8500</w:t>
            </w:r>
          </w:p>
        </w:tc>
        <w:tc>
          <w:tcPr>
            <w:tcW w:w="1247" w:type="dxa"/>
            <w:tcBorders>
              <w:top w:val="single" w:sz="4" w:space="0" w:color="auto"/>
              <w:left w:val="nil"/>
              <w:bottom w:val="nil"/>
              <w:right w:val="single" w:sz="4" w:space="0" w:color="auto"/>
            </w:tcBorders>
            <w:shd w:val="clear" w:color="000000" w:fill="FFFFFF"/>
            <w:noWrap/>
            <w:vAlign w:val="bottom"/>
            <w:hideMark/>
          </w:tcPr>
          <w:p w14:paraId="485923E3" w14:textId="5AE43E11" w:rsidR="00D207B4" w:rsidRPr="00E7110C" w:rsidRDefault="00D207B4" w:rsidP="00A1600C">
            <w:pPr>
              <w:pStyle w:val="TableTextRight"/>
              <w:spacing w:before="80" w:after="80"/>
            </w:pPr>
            <w:r w:rsidRPr="00206B9F">
              <w:t>4.8500</w:t>
            </w:r>
          </w:p>
        </w:tc>
        <w:tc>
          <w:tcPr>
            <w:tcW w:w="1247" w:type="dxa"/>
            <w:tcBorders>
              <w:top w:val="single" w:sz="4" w:space="0" w:color="auto"/>
              <w:left w:val="single" w:sz="4" w:space="0" w:color="auto"/>
              <w:bottom w:val="nil"/>
              <w:right w:val="nil"/>
            </w:tcBorders>
            <w:shd w:val="clear" w:color="000000" w:fill="FFFFFF"/>
            <w:noWrap/>
            <w:vAlign w:val="bottom"/>
            <w:hideMark/>
          </w:tcPr>
          <w:p w14:paraId="1EC29F32" w14:textId="199D9E84" w:rsidR="00D207B4" w:rsidRPr="00E7110C" w:rsidRDefault="00D207B4" w:rsidP="00A1600C">
            <w:pPr>
              <w:pStyle w:val="TableTextRight"/>
              <w:spacing w:before="80" w:after="80"/>
            </w:pPr>
            <w:r w:rsidRPr="00206B9F">
              <w:t>-0.1000</w:t>
            </w:r>
          </w:p>
        </w:tc>
        <w:tc>
          <w:tcPr>
            <w:tcW w:w="1247" w:type="dxa"/>
            <w:tcBorders>
              <w:top w:val="single" w:sz="4" w:space="0" w:color="auto"/>
              <w:left w:val="nil"/>
              <w:bottom w:val="nil"/>
              <w:right w:val="single" w:sz="4" w:space="0" w:color="auto"/>
            </w:tcBorders>
            <w:shd w:val="clear" w:color="000000" w:fill="FFFFFF"/>
            <w:vAlign w:val="bottom"/>
          </w:tcPr>
          <w:p w14:paraId="48BD30C8" w14:textId="4ED6F177" w:rsidR="00D207B4" w:rsidRPr="00E7110C" w:rsidRDefault="00D207B4" w:rsidP="00A1600C">
            <w:pPr>
              <w:pStyle w:val="TableTextRight"/>
              <w:spacing w:before="80" w:after="80"/>
            </w:pPr>
            <w:r w:rsidRPr="00206B9F">
              <w:t>-0.1000</w:t>
            </w:r>
          </w:p>
        </w:tc>
      </w:tr>
      <w:tr w:rsidR="00D207B4" w:rsidRPr="00E7110C" w14:paraId="5E68F7CA" w14:textId="1D054293" w:rsidTr="00116242">
        <w:trPr>
          <w:trHeight w:val="171"/>
        </w:trPr>
        <w:tc>
          <w:tcPr>
            <w:tcW w:w="1984" w:type="dxa"/>
            <w:tcBorders>
              <w:top w:val="nil"/>
              <w:left w:val="single" w:sz="4" w:space="0" w:color="auto"/>
              <w:bottom w:val="nil"/>
              <w:right w:val="single" w:sz="4" w:space="0" w:color="auto"/>
            </w:tcBorders>
            <w:shd w:val="clear" w:color="auto" w:fill="F2F2F2" w:themeFill="background1" w:themeFillShade="F2"/>
            <w:noWrap/>
            <w:vAlign w:val="bottom"/>
            <w:hideMark/>
          </w:tcPr>
          <w:p w14:paraId="6C56F6AE" w14:textId="2C791E4B" w:rsidR="00D207B4" w:rsidRPr="00D207B4" w:rsidRDefault="00D207B4" w:rsidP="00A1600C">
            <w:pPr>
              <w:pStyle w:val="Tabletextleft0"/>
              <w:spacing w:before="80" w:after="80"/>
            </w:pPr>
            <w:r w:rsidRPr="00D207B4">
              <w:t>South Australia</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5F4270E3" w14:textId="75FAC877" w:rsidR="00D207B4" w:rsidRPr="00E7110C" w:rsidRDefault="00D207B4" w:rsidP="00A1600C">
            <w:pPr>
              <w:pStyle w:val="TableTextRight"/>
              <w:spacing w:before="80" w:after="80"/>
            </w:pPr>
            <w:r w:rsidRPr="00206B9F">
              <w:t>5.0000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12F1A217" w14:textId="48AA0D48" w:rsidR="00D207B4" w:rsidRPr="00E7110C" w:rsidRDefault="00D207B4" w:rsidP="00A1600C">
            <w:pPr>
              <w:pStyle w:val="TableTextRight"/>
              <w:spacing w:before="80" w:after="80"/>
            </w:pPr>
            <w:r w:rsidRPr="00206B9F">
              <w:t>5.0000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5AE3F5DD" w14:textId="593FED13" w:rsidR="00D207B4" w:rsidRPr="00E7110C" w:rsidRDefault="00D207B4" w:rsidP="00A1600C">
            <w:pPr>
              <w:pStyle w:val="TableTextRight"/>
              <w:spacing w:before="80" w:after="80"/>
            </w:pPr>
            <w:r w:rsidRPr="00206B9F">
              <w:t>4.9500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765C1140" w14:textId="5C0B99D0" w:rsidR="00D207B4" w:rsidRPr="00E7110C" w:rsidRDefault="00D207B4" w:rsidP="00A1600C">
            <w:pPr>
              <w:pStyle w:val="TableTextRight"/>
              <w:spacing w:before="80" w:after="80"/>
            </w:pPr>
            <w:r w:rsidRPr="00206B9F">
              <w:t>4.9500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450EA8A7" w14:textId="66E846D7" w:rsidR="00D207B4" w:rsidRPr="00E7110C" w:rsidRDefault="00D207B4" w:rsidP="00A1600C">
            <w:pPr>
              <w:pStyle w:val="TableTextRight"/>
              <w:spacing w:before="80" w:after="80"/>
            </w:pPr>
            <w:r w:rsidRPr="00206B9F">
              <w:t>-0.0500</w:t>
            </w:r>
          </w:p>
        </w:tc>
        <w:tc>
          <w:tcPr>
            <w:tcW w:w="1247" w:type="dxa"/>
            <w:tcBorders>
              <w:top w:val="nil"/>
              <w:left w:val="nil"/>
              <w:bottom w:val="nil"/>
              <w:right w:val="single" w:sz="4" w:space="0" w:color="auto"/>
            </w:tcBorders>
            <w:shd w:val="clear" w:color="auto" w:fill="F2F2F2" w:themeFill="background1" w:themeFillShade="F2"/>
            <w:vAlign w:val="bottom"/>
          </w:tcPr>
          <w:p w14:paraId="6DD7B3AD" w14:textId="77F29E23" w:rsidR="00D207B4" w:rsidRPr="00E7110C" w:rsidRDefault="00D207B4" w:rsidP="00A1600C">
            <w:pPr>
              <w:pStyle w:val="TableTextRight"/>
              <w:spacing w:before="80" w:after="80"/>
            </w:pPr>
            <w:r w:rsidRPr="00206B9F">
              <w:t>-0.0500</w:t>
            </w:r>
          </w:p>
        </w:tc>
      </w:tr>
      <w:tr w:rsidR="00D207B4" w:rsidRPr="00E7110C" w14:paraId="626A01C0" w14:textId="0714EF7C" w:rsidTr="00116242">
        <w:trPr>
          <w:trHeight w:val="134"/>
        </w:trPr>
        <w:tc>
          <w:tcPr>
            <w:tcW w:w="1984" w:type="dxa"/>
            <w:tcBorders>
              <w:top w:val="nil"/>
              <w:left w:val="single" w:sz="4" w:space="0" w:color="auto"/>
              <w:bottom w:val="nil"/>
              <w:right w:val="single" w:sz="4" w:space="0" w:color="auto"/>
            </w:tcBorders>
            <w:shd w:val="clear" w:color="000000" w:fill="FFFFFF"/>
            <w:noWrap/>
            <w:vAlign w:val="bottom"/>
            <w:hideMark/>
          </w:tcPr>
          <w:p w14:paraId="7BF6FA83" w14:textId="0FBFCE38" w:rsidR="00D207B4" w:rsidRPr="00D207B4" w:rsidRDefault="00D207B4" w:rsidP="00A1600C">
            <w:pPr>
              <w:pStyle w:val="Tabletextleft0"/>
              <w:spacing w:before="80" w:after="80"/>
            </w:pPr>
            <w:r w:rsidRPr="00D207B4">
              <w:t>New South</w:t>
            </w:r>
            <w:r w:rsidR="00A1600C">
              <w:t xml:space="preserve"> </w:t>
            </w:r>
            <w:r w:rsidRPr="00D207B4">
              <w:t>Wales</w:t>
            </w:r>
          </w:p>
        </w:tc>
        <w:tc>
          <w:tcPr>
            <w:tcW w:w="1247" w:type="dxa"/>
            <w:tcBorders>
              <w:top w:val="nil"/>
              <w:left w:val="single" w:sz="4" w:space="0" w:color="auto"/>
              <w:bottom w:val="nil"/>
              <w:right w:val="nil"/>
            </w:tcBorders>
            <w:shd w:val="clear" w:color="000000" w:fill="FFFFFF"/>
            <w:noWrap/>
            <w:vAlign w:val="bottom"/>
            <w:hideMark/>
          </w:tcPr>
          <w:p w14:paraId="4CF576A4" w14:textId="04FA257B" w:rsidR="00D207B4" w:rsidRPr="00E7110C" w:rsidRDefault="00D207B4" w:rsidP="00A1600C">
            <w:pPr>
              <w:pStyle w:val="TableTextRight"/>
              <w:spacing w:before="80" w:after="80"/>
            </w:pPr>
            <w:r w:rsidRPr="00206B9F">
              <w:t>5.8750</w:t>
            </w:r>
          </w:p>
        </w:tc>
        <w:tc>
          <w:tcPr>
            <w:tcW w:w="1247" w:type="dxa"/>
            <w:tcBorders>
              <w:top w:val="nil"/>
              <w:left w:val="nil"/>
              <w:bottom w:val="nil"/>
              <w:right w:val="single" w:sz="4" w:space="0" w:color="auto"/>
            </w:tcBorders>
            <w:shd w:val="clear" w:color="000000" w:fill="FFFFFF"/>
            <w:noWrap/>
            <w:vAlign w:val="bottom"/>
            <w:hideMark/>
          </w:tcPr>
          <w:p w14:paraId="7FD53F93" w14:textId="43CD3524" w:rsidR="00D207B4" w:rsidRPr="00E7110C" w:rsidRDefault="00D207B4" w:rsidP="00A1600C">
            <w:pPr>
              <w:pStyle w:val="TableTextRight"/>
              <w:spacing w:before="80" w:after="80"/>
            </w:pPr>
            <w:r w:rsidRPr="00206B9F">
              <w:t>5.8750</w:t>
            </w:r>
          </w:p>
        </w:tc>
        <w:tc>
          <w:tcPr>
            <w:tcW w:w="1247" w:type="dxa"/>
            <w:tcBorders>
              <w:top w:val="nil"/>
              <w:left w:val="single" w:sz="4" w:space="0" w:color="auto"/>
              <w:bottom w:val="nil"/>
              <w:right w:val="nil"/>
            </w:tcBorders>
            <w:shd w:val="clear" w:color="000000" w:fill="FFFFFF"/>
            <w:noWrap/>
            <w:vAlign w:val="bottom"/>
            <w:hideMark/>
          </w:tcPr>
          <w:p w14:paraId="32F4EDFA" w14:textId="029FA849" w:rsidR="00D207B4" w:rsidRPr="00E7110C" w:rsidRDefault="00D207B4" w:rsidP="00A1600C">
            <w:pPr>
              <w:pStyle w:val="TableTextRight"/>
              <w:spacing w:before="80" w:after="80"/>
            </w:pPr>
            <w:r w:rsidRPr="00206B9F">
              <w:t>5.4500</w:t>
            </w:r>
          </w:p>
        </w:tc>
        <w:tc>
          <w:tcPr>
            <w:tcW w:w="1247" w:type="dxa"/>
            <w:tcBorders>
              <w:top w:val="nil"/>
              <w:left w:val="nil"/>
              <w:bottom w:val="nil"/>
              <w:right w:val="single" w:sz="4" w:space="0" w:color="auto"/>
            </w:tcBorders>
            <w:shd w:val="clear" w:color="000000" w:fill="FFFFFF"/>
            <w:noWrap/>
            <w:vAlign w:val="bottom"/>
            <w:hideMark/>
          </w:tcPr>
          <w:p w14:paraId="795A6828" w14:textId="3DD96ABB" w:rsidR="00D207B4" w:rsidRPr="00E7110C" w:rsidRDefault="00D207B4" w:rsidP="00A1600C">
            <w:pPr>
              <w:pStyle w:val="TableTextRight"/>
              <w:spacing w:before="80" w:after="80"/>
            </w:pPr>
            <w:r w:rsidRPr="00206B9F">
              <w:t>5.4500</w:t>
            </w:r>
          </w:p>
        </w:tc>
        <w:tc>
          <w:tcPr>
            <w:tcW w:w="1247" w:type="dxa"/>
            <w:tcBorders>
              <w:top w:val="nil"/>
              <w:left w:val="single" w:sz="4" w:space="0" w:color="auto"/>
              <w:bottom w:val="nil"/>
              <w:right w:val="nil"/>
            </w:tcBorders>
            <w:shd w:val="clear" w:color="000000" w:fill="FFFFFF"/>
            <w:noWrap/>
            <w:vAlign w:val="bottom"/>
            <w:hideMark/>
          </w:tcPr>
          <w:p w14:paraId="1C5ACCA8" w14:textId="54175DE5" w:rsidR="00D207B4" w:rsidRPr="00E7110C" w:rsidRDefault="00D207B4" w:rsidP="00A1600C">
            <w:pPr>
              <w:pStyle w:val="TableTextRight"/>
              <w:spacing w:before="80" w:after="80"/>
            </w:pPr>
            <w:r w:rsidRPr="00206B9F">
              <w:t>-0.4250</w:t>
            </w:r>
          </w:p>
        </w:tc>
        <w:tc>
          <w:tcPr>
            <w:tcW w:w="1247" w:type="dxa"/>
            <w:tcBorders>
              <w:top w:val="nil"/>
              <w:left w:val="nil"/>
              <w:bottom w:val="nil"/>
              <w:right w:val="single" w:sz="4" w:space="0" w:color="auto"/>
            </w:tcBorders>
            <w:shd w:val="clear" w:color="000000" w:fill="FFFFFF"/>
            <w:vAlign w:val="bottom"/>
          </w:tcPr>
          <w:p w14:paraId="49341048" w14:textId="1F79ECEA" w:rsidR="00D207B4" w:rsidRPr="00E7110C" w:rsidRDefault="00D207B4" w:rsidP="00A1600C">
            <w:pPr>
              <w:pStyle w:val="TableTextRight"/>
              <w:spacing w:before="80" w:after="80"/>
            </w:pPr>
            <w:r w:rsidRPr="00206B9F">
              <w:t>-0.4250</w:t>
            </w:r>
          </w:p>
        </w:tc>
      </w:tr>
      <w:tr w:rsidR="00D207B4" w:rsidRPr="00E7110C" w14:paraId="3AD74AB0" w14:textId="6D6188BF" w:rsidTr="00116242">
        <w:trPr>
          <w:trHeight w:val="123"/>
        </w:trPr>
        <w:tc>
          <w:tcPr>
            <w:tcW w:w="1984" w:type="dxa"/>
            <w:tcBorders>
              <w:top w:val="nil"/>
              <w:left w:val="single" w:sz="4" w:space="0" w:color="auto"/>
              <w:bottom w:val="nil"/>
              <w:right w:val="single" w:sz="4" w:space="0" w:color="auto"/>
            </w:tcBorders>
            <w:shd w:val="clear" w:color="auto" w:fill="F2F2F2" w:themeFill="background1" w:themeFillShade="F2"/>
            <w:noWrap/>
            <w:vAlign w:val="bottom"/>
            <w:hideMark/>
          </w:tcPr>
          <w:p w14:paraId="17D20FD9" w14:textId="10D8ADD3" w:rsidR="00D207B4" w:rsidRPr="00D207B4" w:rsidRDefault="00D207B4" w:rsidP="00A1600C">
            <w:pPr>
              <w:pStyle w:val="Tabletextleft0"/>
              <w:spacing w:before="80" w:after="80"/>
            </w:pPr>
            <w:r w:rsidRPr="00D207B4">
              <w:t>Western</w:t>
            </w:r>
            <w:r w:rsidR="00A1600C">
              <w:t xml:space="preserve"> </w:t>
            </w:r>
            <w:r w:rsidRPr="00D207B4">
              <w:t>Australia</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70B6BD4A" w14:textId="42EA574D" w:rsidR="00D207B4" w:rsidRPr="00E7110C" w:rsidRDefault="00D207B4" w:rsidP="00A1600C">
            <w:pPr>
              <w:pStyle w:val="TableTextRight"/>
              <w:spacing w:before="80" w:after="80"/>
            </w:pPr>
            <w:r w:rsidRPr="00206B9F">
              <w:t>5.5000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2D88A856" w14:textId="6DD6C572" w:rsidR="00D207B4" w:rsidRPr="00E7110C" w:rsidRDefault="00D207B4" w:rsidP="00A1600C">
            <w:pPr>
              <w:pStyle w:val="TableTextRight"/>
              <w:spacing w:before="80" w:after="80"/>
            </w:pPr>
            <w:r w:rsidRPr="00206B9F">
              <w:t>5.5000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6EAEA6A8" w14:textId="323384B1" w:rsidR="00D207B4" w:rsidRPr="00E7110C" w:rsidRDefault="00D207B4" w:rsidP="00A1600C">
            <w:pPr>
              <w:pStyle w:val="TableTextRight"/>
              <w:spacing w:before="80" w:after="80"/>
            </w:pPr>
            <w:r w:rsidRPr="00206B9F">
              <w:t>5.5000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3D3C7CCF" w14:textId="3BE364A7" w:rsidR="00D207B4" w:rsidRPr="00E7110C" w:rsidRDefault="00D207B4" w:rsidP="00A1600C">
            <w:pPr>
              <w:pStyle w:val="TableTextRight"/>
              <w:spacing w:before="80" w:after="80"/>
            </w:pPr>
            <w:r w:rsidRPr="00206B9F">
              <w:t>5.5000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548CDBC0" w14:textId="6395C38A" w:rsidR="00D207B4" w:rsidRPr="00E7110C" w:rsidRDefault="00D207B4" w:rsidP="00A1600C">
            <w:pPr>
              <w:pStyle w:val="TableTextRight"/>
              <w:spacing w:before="80" w:after="80"/>
            </w:pPr>
            <w:r w:rsidRPr="00206B9F">
              <w:t>0.0000</w:t>
            </w:r>
          </w:p>
        </w:tc>
        <w:tc>
          <w:tcPr>
            <w:tcW w:w="1247" w:type="dxa"/>
            <w:tcBorders>
              <w:top w:val="nil"/>
              <w:left w:val="nil"/>
              <w:bottom w:val="nil"/>
              <w:right w:val="single" w:sz="4" w:space="0" w:color="auto"/>
            </w:tcBorders>
            <w:shd w:val="clear" w:color="auto" w:fill="F2F2F2" w:themeFill="background1" w:themeFillShade="F2"/>
            <w:vAlign w:val="bottom"/>
          </w:tcPr>
          <w:p w14:paraId="51C80B7C" w14:textId="037B7C7F" w:rsidR="00D207B4" w:rsidRPr="00E7110C" w:rsidRDefault="00D207B4" w:rsidP="00A1600C">
            <w:pPr>
              <w:pStyle w:val="TableTextRight"/>
              <w:spacing w:before="80" w:after="80"/>
            </w:pPr>
            <w:r w:rsidRPr="00206B9F">
              <w:t>0.0000</w:t>
            </w:r>
          </w:p>
        </w:tc>
      </w:tr>
      <w:tr w:rsidR="00D207B4" w:rsidRPr="00E7110C" w14:paraId="036DE6F6" w14:textId="026D76E2" w:rsidTr="00116242">
        <w:trPr>
          <w:trHeight w:val="85"/>
        </w:trPr>
        <w:tc>
          <w:tcPr>
            <w:tcW w:w="1984" w:type="dxa"/>
            <w:tcBorders>
              <w:top w:val="nil"/>
              <w:left w:val="single" w:sz="4" w:space="0" w:color="auto"/>
              <w:bottom w:val="nil"/>
              <w:right w:val="single" w:sz="4" w:space="0" w:color="auto"/>
            </w:tcBorders>
            <w:shd w:val="clear" w:color="000000" w:fill="FFFFFF"/>
            <w:noWrap/>
            <w:vAlign w:val="bottom"/>
            <w:hideMark/>
          </w:tcPr>
          <w:p w14:paraId="70591807" w14:textId="13047FF2" w:rsidR="00D207B4" w:rsidRPr="00D207B4" w:rsidRDefault="00D207B4" w:rsidP="00A1600C">
            <w:pPr>
              <w:pStyle w:val="Tabletextleft0"/>
              <w:spacing w:before="80" w:after="80"/>
            </w:pPr>
            <w:r w:rsidRPr="00D207B4">
              <w:t>Queensland</w:t>
            </w:r>
          </w:p>
        </w:tc>
        <w:tc>
          <w:tcPr>
            <w:tcW w:w="1247" w:type="dxa"/>
            <w:tcBorders>
              <w:top w:val="nil"/>
              <w:left w:val="single" w:sz="4" w:space="0" w:color="auto"/>
              <w:bottom w:val="nil"/>
              <w:right w:val="nil"/>
            </w:tcBorders>
            <w:shd w:val="clear" w:color="000000" w:fill="FFFFFF"/>
            <w:noWrap/>
            <w:vAlign w:val="bottom"/>
            <w:hideMark/>
          </w:tcPr>
          <w:p w14:paraId="24FBB96F" w14:textId="090CCB0E" w:rsidR="00D207B4" w:rsidRPr="00E7110C" w:rsidRDefault="00D207B4" w:rsidP="00A1600C">
            <w:pPr>
              <w:pStyle w:val="TableTextRight"/>
              <w:spacing w:before="80" w:after="80"/>
            </w:pPr>
            <w:r w:rsidRPr="00206B9F">
              <w:t>4.7500</w:t>
            </w:r>
          </w:p>
        </w:tc>
        <w:tc>
          <w:tcPr>
            <w:tcW w:w="1247" w:type="dxa"/>
            <w:tcBorders>
              <w:top w:val="nil"/>
              <w:left w:val="nil"/>
              <w:bottom w:val="nil"/>
              <w:right w:val="single" w:sz="4" w:space="0" w:color="auto"/>
            </w:tcBorders>
            <w:shd w:val="clear" w:color="000000" w:fill="FFFFFF"/>
            <w:noWrap/>
            <w:vAlign w:val="bottom"/>
            <w:hideMark/>
          </w:tcPr>
          <w:p w14:paraId="68059896" w14:textId="31704D88" w:rsidR="00D207B4" w:rsidRPr="00E7110C" w:rsidRDefault="00D207B4" w:rsidP="00A1600C">
            <w:pPr>
              <w:pStyle w:val="TableTextRight"/>
              <w:spacing w:before="80" w:after="80"/>
            </w:pPr>
            <w:r w:rsidRPr="00206B9F">
              <w:t>5.9375</w:t>
            </w:r>
          </w:p>
        </w:tc>
        <w:tc>
          <w:tcPr>
            <w:tcW w:w="1247" w:type="dxa"/>
            <w:tcBorders>
              <w:top w:val="nil"/>
              <w:left w:val="single" w:sz="4" w:space="0" w:color="auto"/>
              <w:bottom w:val="nil"/>
              <w:right w:val="nil"/>
            </w:tcBorders>
            <w:shd w:val="clear" w:color="000000" w:fill="FFFFFF"/>
            <w:noWrap/>
            <w:vAlign w:val="bottom"/>
            <w:hideMark/>
          </w:tcPr>
          <w:p w14:paraId="39BB9459" w14:textId="184F7E9C" w:rsidR="00D207B4" w:rsidRPr="00E7110C" w:rsidRDefault="00D207B4" w:rsidP="00A1600C">
            <w:pPr>
              <w:pStyle w:val="TableTextRight"/>
              <w:spacing w:before="80" w:after="80"/>
            </w:pPr>
            <w:r w:rsidRPr="00206B9F">
              <w:t>4.7500</w:t>
            </w:r>
          </w:p>
        </w:tc>
        <w:tc>
          <w:tcPr>
            <w:tcW w:w="1247" w:type="dxa"/>
            <w:tcBorders>
              <w:top w:val="nil"/>
              <w:left w:val="nil"/>
              <w:bottom w:val="nil"/>
              <w:right w:val="single" w:sz="4" w:space="0" w:color="auto"/>
            </w:tcBorders>
            <w:shd w:val="clear" w:color="000000" w:fill="FFFFFF"/>
            <w:noWrap/>
            <w:vAlign w:val="bottom"/>
            <w:hideMark/>
          </w:tcPr>
          <w:p w14:paraId="6C36FCB6" w14:textId="1CBD9CA6" w:rsidR="00D207B4" w:rsidRPr="00E7110C" w:rsidRDefault="00D207B4" w:rsidP="00A1600C">
            <w:pPr>
              <w:pStyle w:val="TableTextRight"/>
              <w:spacing w:before="80" w:after="80"/>
            </w:pPr>
            <w:r w:rsidRPr="00206B9F">
              <w:t>5.9375</w:t>
            </w:r>
          </w:p>
        </w:tc>
        <w:tc>
          <w:tcPr>
            <w:tcW w:w="1247" w:type="dxa"/>
            <w:tcBorders>
              <w:top w:val="nil"/>
              <w:left w:val="single" w:sz="4" w:space="0" w:color="auto"/>
              <w:bottom w:val="nil"/>
              <w:right w:val="nil"/>
            </w:tcBorders>
            <w:shd w:val="clear" w:color="000000" w:fill="FFFFFF"/>
            <w:noWrap/>
            <w:vAlign w:val="bottom"/>
            <w:hideMark/>
          </w:tcPr>
          <w:p w14:paraId="1489BEEB" w14:textId="17F5EC4D" w:rsidR="00D207B4" w:rsidRPr="00E7110C" w:rsidRDefault="00D207B4" w:rsidP="00A1600C">
            <w:pPr>
              <w:pStyle w:val="TableTextRight"/>
              <w:spacing w:before="80" w:after="80"/>
            </w:pPr>
            <w:r w:rsidRPr="00206B9F">
              <w:t>0.0000</w:t>
            </w:r>
          </w:p>
        </w:tc>
        <w:tc>
          <w:tcPr>
            <w:tcW w:w="1247" w:type="dxa"/>
            <w:tcBorders>
              <w:top w:val="nil"/>
              <w:left w:val="nil"/>
              <w:bottom w:val="nil"/>
              <w:right w:val="single" w:sz="4" w:space="0" w:color="auto"/>
            </w:tcBorders>
            <w:shd w:val="clear" w:color="000000" w:fill="FFFFFF"/>
            <w:vAlign w:val="bottom"/>
          </w:tcPr>
          <w:p w14:paraId="3C765F9E" w14:textId="50770E5A" w:rsidR="00D207B4" w:rsidRPr="00E7110C" w:rsidRDefault="00D207B4" w:rsidP="00A1600C">
            <w:pPr>
              <w:pStyle w:val="TableTextRight"/>
              <w:spacing w:before="80" w:after="80"/>
            </w:pPr>
            <w:r w:rsidRPr="00206B9F">
              <w:t>0.0000</w:t>
            </w:r>
          </w:p>
        </w:tc>
      </w:tr>
      <w:tr w:rsidR="00D207B4" w:rsidRPr="00E7110C" w14:paraId="08B2BC5C" w14:textId="243F0DFD" w:rsidTr="00116242">
        <w:trPr>
          <w:trHeight w:val="203"/>
        </w:trPr>
        <w:tc>
          <w:tcPr>
            <w:tcW w:w="1984" w:type="dxa"/>
            <w:tcBorders>
              <w:top w:val="nil"/>
              <w:left w:val="single" w:sz="4" w:space="0" w:color="auto"/>
              <w:bottom w:val="nil"/>
              <w:right w:val="single" w:sz="4" w:space="0" w:color="auto"/>
            </w:tcBorders>
            <w:shd w:val="clear" w:color="auto" w:fill="F2F2F2" w:themeFill="background1" w:themeFillShade="F2"/>
            <w:noWrap/>
            <w:vAlign w:val="bottom"/>
            <w:hideMark/>
          </w:tcPr>
          <w:p w14:paraId="2A421794" w14:textId="41A96233" w:rsidR="00D207B4" w:rsidRPr="00D207B4" w:rsidRDefault="00D207B4" w:rsidP="00A1600C">
            <w:pPr>
              <w:pStyle w:val="Tabletextleft0"/>
              <w:spacing w:before="80" w:after="80"/>
            </w:pPr>
            <w:r w:rsidRPr="00D207B4">
              <w:t>Tasmania</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448F42AF" w14:textId="23224B95" w:rsidR="00D207B4" w:rsidRPr="00E7110C" w:rsidRDefault="00D207B4" w:rsidP="00A1600C">
            <w:pPr>
              <w:pStyle w:val="TableTextRight"/>
              <w:spacing w:before="80" w:after="80"/>
            </w:pPr>
            <w:r w:rsidRPr="00206B9F">
              <w:t>6.1000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46FE1D13" w14:textId="11A849CB" w:rsidR="00D207B4" w:rsidRPr="00E7110C" w:rsidRDefault="00D207B4" w:rsidP="00A1600C">
            <w:pPr>
              <w:pStyle w:val="TableTextRight"/>
              <w:spacing w:before="80" w:after="80"/>
            </w:pPr>
            <w:r w:rsidRPr="00206B9F">
              <w:t>6.1000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1DAE3227" w14:textId="7EC55545" w:rsidR="00D207B4" w:rsidRPr="00E7110C" w:rsidRDefault="00D207B4" w:rsidP="00A1600C">
            <w:pPr>
              <w:pStyle w:val="TableTextRight"/>
              <w:spacing w:before="80" w:after="80"/>
            </w:pPr>
            <w:r w:rsidRPr="00206B9F">
              <w:t>6.1000</w:t>
            </w:r>
          </w:p>
        </w:tc>
        <w:tc>
          <w:tcPr>
            <w:tcW w:w="1247" w:type="dxa"/>
            <w:tcBorders>
              <w:top w:val="nil"/>
              <w:left w:val="nil"/>
              <w:bottom w:val="nil"/>
              <w:right w:val="single" w:sz="4" w:space="0" w:color="auto"/>
            </w:tcBorders>
            <w:shd w:val="clear" w:color="auto" w:fill="F2F2F2" w:themeFill="background1" w:themeFillShade="F2"/>
            <w:noWrap/>
            <w:vAlign w:val="bottom"/>
            <w:hideMark/>
          </w:tcPr>
          <w:p w14:paraId="3EC6CA40" w14:textId="0D38004D" w:rsidR="00D207B4" w:rsidRPr="00E7110C" w:rsidRDefault="00D207B4" w:rsidP="00A1600C">
            <w:pPr>
              <w:pStyle w:val="TableTextRight"/>
              <w:spacing w:before="80" w:after="80"/>
            </w:pPr>
            <w:r w:rsidRPr="00206B9F">
              <w:t>6.1000</w:t>
            </w:r>
          </w:p>
        </w:tc>
        <w:tc>
          <w:tcPr>
            <w:tcW w:w="1247" w:type="dxa"/>
            <w:tcBorders>
              <w:top w:val="nil"/>
              <w:left w:val="single" w:sz="4" w:space="0" w:color="auto"/>
              <w:bottom w:val="nil"/>
              <w:right w:val="nil"/>
            </w:tcBorders>
            <w:shd w:val="clear" w:color="auto" w:fill="F2F2F2" w:themeFill="background1" w:themeFillShade="F2"/>
            <w:noWrap/>
            <w:vAlign w:val="bottom"/>
            <w:hideMark/>
          </w:tcPr>
          <w:p w14:paraId="6B49C90C" w14:textId="63F2B6A9" w:rsidR="00D207B4" w:rsidRPr="00E7110C" w:rsidRDefault="00D207B4" w:rsidP="00A1600C">
            <w:pPr>
              <w:pStyle w:val="TableTextRight"/>
              <w:spacing w:before="80" w:after="80"/>
            </w:pPr>
            <w:r w:rsidRPr="00206B9F">
              <w:t>0.0000</w:t>
            </w:r>
          </w:p>
        </w:tc>
        <w:tc>
          <w:tcPr>
            <w:tcW w:w="1247" w:type="dxa"/>
            <w:tcBorders>
              <w:top w:val="nil"/>
              <w:left w:val="nil"/>
              <w:bottom w:val="nil"/>
              <w:right w:val="single" w:sz="4" w:space="0" w:color="auto"/>
            </w:tcBorders>
            <w:shd w:val="clear" w:color="auto" w:fill="F2F2F2" w:themeFill="background1" w:themeFillShade="F2"/>
            <w:vAlign w:val="bottom"/>
          </w:tcPr>
          <w:p w14:paraId="2208685F" w14:textId="71565B6B" w:rsidR="00D207B4" w:rsidRPr="00E7110C" w:rsidRDefault="00D207B4" w:rsidP="00A1600C">
            <w:pPr>
              <w:pStyle w:val="TableTextRight"/>
              <w:spacing w:before="80" w:after="80"/>
            </w:pPr>
            <w:r w:rsidRPr="00206B9F">
              <w:t>0.0000</w:t>
            </w:r>
          </w:p>
        </w:tc>
      </w:tr>
      <w:tr w:rsidR="00D207B4" w:rsidRPr="00E7110C" w14:paraId="203EF52F" w14:textId="3798C699" w:rsidTr="00116242">
        <w:trPr>
          <w:trHeight w:val="469"/>
        </w:trPr>
        <w:tc>
          <w:tcPr>
            <w:tcW w:w="1984" w:type="dxa"/>
            <w:tcBorders>
              <w:top w:val="nil"/>
              <w:left w:val="single" w:sz="4" w:space="0" w:color="auto"/>
              <w:right w:val="single" w:sz="4" w:space="0" w:color="auto"/>
            </w:tcBorders>
            <w:shd w:val="clear" w:color="000000" w:fill="FFFFFF"/>
            <w:noWrap/>
            <w:vAlign w:val="bottom"/>
            <w:hideMark/>
          </w:tcPr>
          <w:p w14:paraId="4BF0D795" w14:textId="4D9509F1" w:rsidR="00D207B4" w:rsidRPr="00D207B4" w:rsidRDefault="00D207B4" w:rsidP="00A1600C">
            <w:pPr>
              <w:pStyle w:val="Tabletextleft0"/>
              <w:spacing w:before="80" w:after="80"/>
            </w:pPr>
            <w:r w:rsidRPr="00D207B4">
              <w:t>Australian Capital</w:t>
            </w:r>
            <w:r w:rsidR="00A1600C">
              <w:br/>
            </w:r>
            <w:r w:rsidRPr="00D207B4">
              <w:t xml:space="preserve"> Territory</w:t>
            </w:r>
          </w:p>
        </w:tc>
        <w:tc>
          <w:tcPr>
            <w:tcW w:w="1247" w:type="dxa"/>
            <w:tcBorders>
              <w:top w:val="nil"/>
              <w:left w:val="single" w:sz="4" w:space="0" w:color="auto"/>
              <w:right w:val="nil"/>
            </w:tcBorders>
            <w:shd w:val="clear" w:color="000000" w:fill="FFFFFF"/>
            <w:noWrap/>
            <w:vAlign w:val="bottom"/>
            <w:hideMark/>
          </w:tcPr>
          <w:p w14:paraId="718B57E0" w14:textId="08E27B13" w:rsidR="00D207B4" w:rsidRPr="00E7110C" w:rsidRDefault="00D207B4" w:rsidP="00A1600C">
            <w:pPr>
              <w:pStyle w:val="TableTextRight"/>
              <w:spacing w:before="80" w:after="80"/>
            </w:pPr>
            <w:r w:rsidRPr="00206B9F">
              <w:t>6.8500</w:t>
            </w:r>
          </w:p>
        </w:tc>
        <w:tc>
          <w:tcPr>
            <w:tcW w:w="1247" w:type="dxa"/>
            <w:tcBorders>
              <w:top w:val="nil"/>
              <w:left w:val="nil"/>
              <w:right w:val="single" w:sz="4" w:space="0" w:color="auto"/>
            </w:tcBorders>
            <w:shd w:val="clear" w:color="000000" w:fill="FFFFFF"/>
            <w:noWrap/>
            <w:vAlign w:val="bottom"/>
            <w:hideMark/>
          </w:tcPr>
          <w:p w14:paraId="09B72A09" w14:textId="763FA3C2" w:rsidR="00D207B4" w:rsidRPr="00E7110C" w:rsidRDefault="00D207B4" w:rsidP="00A1600C">
            <w:pPr>
              <w:pStyle w:val="TableTextRight"/>
              <w:spacing w:before="80" w:after="80"/>
            </w:pPr>
            <w:r w:rsidRPr="00206B9F">
              <w:t>6.8500</w:t>
            </w:r>
          </w:p>
        </w:tc>
        <w:tc>
          <w:tcPr>
            <w:tcW w:w="1247" w:type="dxa"/>
            <w:tcBorders>
              <w:top w:val="nil"/>
              <w:left w:val="single" w:sz="4" w:space="0" w:color="auto"/>
              <w:right w:val="nil"/>
            </w:tcBorders>
            <w:shd w:val="clear" w:color="000000" w:fill="FFFFFF"/>
            <w:noWrap/>
            <w:vAlign w:val="bottom"/>
            <w:hideMark/>
          </w:tcPr>
          <w:p w14:paraId="52D43FE9" w14:textId="4376C785" w:rsidR="00D207B4" w:rsidRPr="00E7110C" w:rsidRDefault="00D207B4" w:rsidP="00A1600C">
            <w:pPr>
              <w:pStyle w:val="TableTextRight"/>
              <w:spacing w:before="80" w:after="80"/>
            </w:pPr>
            <w:r w:rsidRPr="00206B9F">
              <w:t>6.8500</w:t>
            </w:r>
          </w:p>
        </w:tc>
        <w:tc>
          <w:tcPr>
            <w:tcW w:w="1247" w:type="dxa"/>
            <w:tcBorders>
              <w:top w:val="nil"/>
              <w:left w:val="nil"/>
              <w:right w:val="single" w:sz="4" w:space="0" w:color="auto"/>
            </w:tcBorders>
            <w:shd w:val="clear" w:color="000000" w:fill="FFFFFF"/>
            <w:noWrap/>
            <w:vAlign w:val="bottom"/>
            <w:hideMark/>
          </w:tcPr>
          <w:p w14:paraId="33A4A0AB" w14:textId="76CFEC14" w:rsidR="00D207B4" w:rsidRPr="00E7110C" w:rsidRDefault="00D207B4" w:rsidP="00A1600C">
            <w:pPr>
              <w:pStyle w:val="TableTextRight"/>
              <w:spacing w:before="80" w:after="80"/>
            </w:pPr>
            <w:r w:rsidRPr="00206B9F">
              <w:t>6.8500</w:t>
            </w:r>
          </w:p>
        </w:tc>
        <w:tc>
          <w:tcPr>
            <w:tcW w:w="1247" w:type="dxa"/>
            <w:tcBorders>
              <w:top w:val="nil"/>
              <w:left w:val="single" w:sz="4" w:space="0" w:color="auto"/>
              <w:right w:val="nil"/>
            </w:tcBorders>
            <w:shd w:val="clear" w:color="000000" w:fill="FFFFFF"/>
            <w:noWrap/>
            <w:vAlign w:val="bottom"/>
            <w:hideMark/>
          </w:tcPr>
          <w:p w14:paraId="4DB47D7D" w14:textId="64C0BBBD" w:rsidR="00D207B4" w:rsidRPr="00E7110C" w:rsidRDefault="00D207B4" w:rsidP="00A1600C">
            <w:pPr>
              <w:pStyle w:val="TableTextRight"/>
              <w:spacing w:before="80" w:after="80"/>
            </w:pPr>
            <w:r w:rsidRPr="00206B9F">
              <w:t>0.0000</w:t>
            </w:r>
          </w:p>
        </w:tc>
        <w:tc>
          <w:tcPr>
            <w:tcW w:w="1247" w:type="dxa"/>
            <w:tcBorders>
              <w:top w:val="nil"/>
              <w:left w:val="nil"/>
              <w:right w:val="single" w:sz="4" w:space="0" w:color="auto"/>
            </w:tcBorders>
            <w:shd w:val="clear" w:color="000000" w:fill="FFFFFF"/>
            <w:vAlign w:val="bottom"/>
          </w:tcPr>
          <w:p w14:paraId="7B07BD5C" w14:textId="50EF1BE0" w:rsidR="00D207B4" w:rsidRPr="00E7110C" w:rsidRDefault="00D207B4" w:rsidP="00A1600C">
            <w:pPr>
              <w:pStyle w:val="TableTextRight"/>
              <w:spacing w:before="80" w:after="80"/>
            </w:pPr>
            <w:r w:rsidRPr="00206B9F">
              <w:t>0.0000</w:t>
            </w:r>
          </w:p>
        </w:tc>
      </w:tr>
      <w:tr w:rsidR="00D207B4" w:rsidRPr="00E7110C" w14:paraId="58745D29" w14:textId="72F87432" w:rsidTr="00116242">
        <w:trPr>
          <w:trHeight w:val="215"/>
        </w:trPr>
        <w:tc>
          <w:tcPr>
            <w:tcW w:w="198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A50DE92" w14:textId="1F2A7B11" w:rsidR="00D207B4" w:rsidRPr="00D207B4" w:rsidRDefault="00D207B4" w:rsidP="00A1600C">
            <w:pPr>
              <w:pStyle w:val="Tabletextleft0"/>
              <w:spacing w:before="80" w:after="80"/>
            </w:pPr>
            <w:r w:rsidRPr="00D207B4">
              <w:t>Northern</w:t>
            </w:r>
            <w:r w:rsidR="00A1600C">
              <w:t xml:space="preserve"> </w:t>
            </w:r>
            <w:r w:rsidRPr="00D207B4">
              <w:t>Territory</w:t>
            </w:r>
          </w:p>
        </w:tc>
        <w:tc>
          <w:tcPr>
            <w:tcW w:w="1247" w:type="dxa"/>
            <w:tcBorders>
              <w:top w:val="nil"/>
              <w:left w:val="single" w:sz="4" w:space="0" w:color="auto"/>
              <w:bottom w:val="single" w:sz="4" w:space="0" w:color="auto"/>
              <w:right w:val="nil"/>
            </w:tcBorders>
            <w:shd w:val="clear" w:color="auto" w:fill="F2F2F2" w:themeFill="background1" w:themeFillShade="F2"/>
            <w:noWrap/>
            <w:vAlign w:val="bottom"/>
            <w:hideMark/>
          </w:tcPr>
          <w:p w14:paraId="7B77605A" w14:textId="33FC74F6" w:rsidR="00D207B4" w:rsidRPr="00E7110C" w:rsidRDefault="00D207B4" w:rsidP="00A1600C">
            <w:pPr>
              <w:pStyle w:val="TableTextRight"/>
              <w:spacing w:before="80" w:after="80"/>
            </w:pPr>
            <w:r w:rsidRPr="00206B9F">
              <w:t>5.9000</w:t>
            </w:r>
          </w:p>
        </w:tc>
        <w:tc>
          <w:tcPr>
            <w:tcW w:w="1247" w:type="dxa"/>
            <w:tcBorders>
              <w:top w:val="nil"/>
              <w:left w:val="nil"/>
              <w:bottom w:val="single" w:sz="4" w:space="0" w:color="auto"/>
              <w:right w:val="single" w:sz="4" w:space="0" w:color="auto"/>
            </w:tcBorders>
            <w:shd w:val="clear" w:color="auto" w:fill="F2F2F2" w:themeFill="background1" w:themeFillShade="F2"/>
            <w:noWrap/>
            <w:vAlign w:val="bottom"/>
            <w:hideMark/>
          </w:tcPr>
          <w:p w14:paraId="2DB84A51" w14:textId="27FF1D0E" w:rsidR="00D207B4" w:rsidRPr="00E7110C" w:rsidRDefault="00D207B4" w:rsidP="00A1600C">
            <w:pPr>
              <w:pStyle w:val="TableTextRight"/>
              <w:spacing w:before="80" w:after="80"/>
            </w:pPr>
            <w:r w:rsidRPr="00206B9F">
              <w:t>5.9000</w:t>
            </w:r>
          </w:p>
        </w:tc>
        <w:tc>
          <w:tcPr>
            <w:tcW w:w="1247" w:type="dxa"/>
            <w:tcBorders>
              <w:top w:val="nil"/>
              <w:left w:val="single" w:sz="4" w:space="0" w:color="auto"/>
              <w:bottom w:val="single" w:sz="4" w:space="0" w:color="auto"/>
              <w:right w:val="nil"/>
            </w:tcBorders>
            <w:shd w:val="clear" w:color="auto" w:fill="F2F2F2" w:themeFill="background1" w:themeFillShade="F2"/>
            <w:noWrap/>
            <w:vAlign w:val="bottom"/>
            <w:hideMark/>
          </w:tcPr>
          <w:p w14:paraId="1207D561" w14:textId="2CD4CCE5" w:rsidR="00D207B4" w:rsidRPr="00E7110C" w:rsidRDefault="00D207B4" w:rsidP="00A1600C">
            <w:pPr>
              <w:pStyle w:val="TableTextRight"/>
              <w:spacing w:before="80" w:after="80"/>
            </w:pPr>
            <w:r w:rsidRPr="00206B9F">
              <w:t>5.5000</w:t>
            </w:r>
          </w:p>
        </w:tc>
        <w:tc>
          <w:tcPr>
            <w:tcW w:w="1247" w:type="dxa"/>
            <w:tcBorders>
              <w:top w:val="nil"/>
              <w:left w:val="nil"/>
              <w:bottom w:val="single" w:sz="4" w:space="0" w:color="auto"/>
              <w:right w:val="single" w:sz="4" w:space="0" w:color="auto"/>
            </w:tcBorders>
            <w:shd w:val="clear" w:color="auto" w:fill="F2F2F2" w:themeFill="background1" w:themeFillShade="F2"/>
            <w:noWrap/>
            <w:vAlign w:val="bottom"/>
            <w:hideMark/>
          </w:tcPr>
          <w:p w14:paraId="51919672" w14:textId="7CCCF4E1" w:rsidR="00D207B4" w:rsidRPr="00E7110C" w:rsidRDefault="00D207B4" w:rsidP="00A1600C">
            <w:pPr>
              <w:pStyle w:val="TableTextRight"/>
              <w:spacing w:before="80" w:after="80"/>
            </w:pPr>
            <w:r w:rsidRPr="00206B9F">
              <w:t>6.8750</w:t>
            </w:r>
          </w:p>
        </w:tc>
        <w:tc>
          <w:tcPr>
            <w:tcW w:w="1247" w:type="dxa"/>
            <w:tcBorders>
              <w:top w:val="nil"/>
              <w:left w:val="single" w:sz="4" w:space="0" w:color="auto"/>
              <w:bottom w:val="single" w:sz="4" w:space="0" w:color="auto"/>
              <w:right w:val="nil"/>
            </w:tcBorders>
            <w:shd w:val="clear" w:color="auto" w:fill="F2F2F2" w:themeFill="background1" w:themeFillShade="F2"/>
            <w:noWrap/>
            <w:vAlign w:val="bottom"/>
            <w:hideMark/>
          </w:tcPr>
          <w:p w14:paraId="594573B2" w14:textId="14BEB5D5" w:rsidR="00D207B4" w:rsidRPr="00E7110C" w:rsidRDefault="00D207B4" w:rsidP="00A1600C">
            <w:pPr>
              <w:pStyle w:val="TableTextRight"/>
              <w:spacing w:before="80" w:after="80"/>
            </w:pPr>
            <w:r w:rsidRPr="00206B9F">
              <w:t>-0.4000</w:t>
            </w:r>
          </w:p>
        </w:tc>
        <w:tc>
          <w:tcPr>
            <w:tcW w:w="1247" w:type="dxa"/>
            <w:tcBorders>
              <w:top w:val="nil"/>
              <w:left w:val="nil"/>
              <w:bottom w:val="single" w:sz="4" w:space="0" w:color="auto"/>
              <w:right w:val="single" w:sz="4" w:space="0" w:color="auto"/>
            </w:tcBorders>
            <w:shd w:val="clear" w:color="auto" w:fill="F2F2F2" w:themeFill="background1" w:themeFillShade="F2"/>
            <w:vAlign w:val="bottom"/>
          </w:tcPr>
          <w:p w14:paraId="408E9315" w14:textId="7352561D" w:rsidR="00D207B4" w:rsidRPr="00E7110C" w:rsidRDefault="00D207B4" w:rsidP="00A1600C">
            <w:pPr>
              <w:pStyle w:val="TableTextRight"/>
              <w:spacing w:before="80" w:after="80"/>
            </w:pPr>
            <w:r w:rsidRPr="00206B9F">
              <w:t>0.9750</w:t>
            </w:r>
          </w:p>
        </w:tc>
      </w:tr>
    </w:tbl>
    <w:p w14:paraId="22829951" w14:textId="52C7F095" w:rsidR="00F12EE0" w:rsidRDefault="00D207B4" w:rsidP="00D207B4">
      <w:pPr>
        <w:pStyle w:val="ChartorTableNote"/>
      </w:pPr>
      <w:r>
        <w:t>*</w:t>
      </w:r>
      <w:r w:rsidR="00A1600C">
        <w:t xml:space="preserve"> </w:t>
      </w:r>
      <w:r>
        <w:t xml:space="preserve">The effective marginal tax rate and headline tax rate only differ for the Northern Territory and Queensland. Firms beyond the phase out range will have an effective marginal rate equal to the headline rate. </w:t>
      </w:r>
      <w:r w:rsidR="00550818">
        <w:t>Source: Various State Governments</w:t>
      </w:r>
      <w:r w:rsidR="006271CF">
        <w:t xml:space="preserve"> and author’s calculations</w:t>
      </w:r>
      <w:r w:rsidR="00550818">
        <w:t xml:space="preserve">. </w:t>
      </w:r>
      <w:r w:rsidRPr="00BA47B3">
        <w:t>Note: The N</w:t>
      </w:r>
      <w:r>
        <w:t xml:space="preserve">ew </w:t>
      </w:r>
      <w:r w:rsidRPr="00BA47B3">
        <w:t>S</w:t>
      </w:r>
      <w:r>
        <w:t xml:space="preserve">outh </w:t>
      </w:r>
      <w:r w:rsidRPr="00BA47B3">
        <w:t>W</w:t>
      </w:r>
      <w:r>
        <w:t>ales</w:t>
      </w:r>
      <w:r w:rsidRPr="00BA47B3">
        <w:t xml:space="preserve"> payroll tax rate for 200</w:t>
      </w:r>
      <w:r w:rsidR="00F12EE0">
        <w:t>8–</w:t>
      </w:r>
      <w:r>
        <w:t>0</w:t>
      </w:r>
      <w:r w:rsidRPr="00BA47B3">
        <w:t>9 is an average due to the rate changing part way through the financial year.</w:t>
      </w:r>
    </w:p>
    <w:p w14:paraId="10B4EC1A" w14:textId="77777777" w:rsidR="00F12EE0" w:rsidRDefault="00F12EE0" w:rsidP="00F12EE0">
      <w:pPr>
        <w:rPr>
          <w:rFonts w:ascii="Arial" w:eastAsia="Times New Roman" w:hAnsi="Arial" w:cs="Times New Roman"/>
          <w:color w:val="000000"/>
          <w:sz w:val="16"/>
          <w:szCs w:val="20"/>
          <w:lang w:eastAsia="en-AU"/>
        </w:rPr>
      </w:pPr>
      <w:r>
        <w:br w:type="page"/>
      </w:r>
    </w:p>
    <w:p w14:paraId="5DD3515A" w14:textId="77777777" w:rsidR="00B0794C" w:rsidRDefault="00B0794C" w:rsidP="00B0794C">
      <w:pPr>
        <w:pStyle w:val="Heading2"/>
        <w:numPr>
          <w:ilvl w:val="0"/>
          <w:numId w:val="32"/>
        </w:numPr>
        <w:ind w:left="0"/>
      </w:pPr>
      <w:bookmarkStart w:id="8" w:name="_Toc509306062"/>
      <w:bookmarkEnd w:id="5"/>
      <w:bookmarkEnd w:id="6"/>
      <w:r>
        <w:lastRenderedPageBreak/>
        <w:t>Data</w:t>
      </w:r>
      <w:bookmarkEnd w:id="8"/>
    </w:p>
    <w:p w14:paraId="0EE4D05A" w14:textId="77777777" w:rsidR="00A53197" w:rsidRDefault="005C637C" w:rsidP="00A53197">
      <w:r>
        <w:t xml:space="preserve">The data in this analysis is administrative business income tax (BIT) data. </w:t>
      </w:r>
      <w:r w:rsidR="00A53197">
        <w:t>To ensure that the dataset is suitable for the analysis to be undertaken, a number of manipulations are done first.</w:t>
      </w:r>
    </w:p>
    <w:p w14:paraId="7B19BA53" w14:textId="77777777" w:rsidR="005C637C" w:rsidRDefault="005C637C" w:rsidP="005C637C">
      <w:r>
        <w:t>The data is initially provided by firms to the Australian Taxation Office (ATO) when completing annual reporting requirements. As part of a broader Government data sharing initiative, the ATO forwards this data to the Australian Bureau of Statistics (ABS). The ABS has a number of processes in place that make the administrative dataset it receives more amenable for research purposes.</w:t>
      </w:r>
      <w:r>
        <w:rPr>
          <w:rStyle w:val="FootnoteReference"/>
        </w:rPr>
        <w:footnoteReference w:id="7"/>
      </w:r>
      <w:r>
        <w:t xml:space="preserve"> The dataset is </w:t>
      </w:r>
      <w:proofErr w:type="spellStart"/>
      <w:r>
        <w:t>confidentialised</w:t>
      </w:r>
      <w:proofErr w:type="spellEnd"/>
      <w:r>
        <w:t xml:space="preserve"> by the ABS and a number of arrangements are in place to ensure that this information cannot be used to identify individual firms.</w:t>
      </w:r>
    </w:p>
    <w:p w14:paraId="250DF3BF" w14:textId="1A16DE35" w:rsidR="00717F79" w:rsidRDefault="005C637C" w:rsidP="005C637C">
      <w:r>
        <w:t>For this paper, further manipulations are done to the dataset to ensure that it is suitable for analysis. These manipulations are spelt out in detail in the following sections, but the first set</w:t>
      </w:r>
      <w:r w:rsidR="00A53197">
        <w:t xml:space="preserve"> of manipulations</w:t>
      </w:r>
      <w:r>
        <w:t xml:space="preserve"> </w:t>
      </w:r>
      <w:r w:rsidR="00717F79">
        <w:t xml:space="preserve">is concerned with data cleaning and the second set is </w:t>
      </w:r>
      <w:r w:rsidR="00A53197">
        <w:t>deriving taxable wages for payroll tax purposes</w:t>
      </w:r>
      <w:r w:rsidR="00F613A4">
        <w:t>.</w:t>
      </w:r>
    </w:p>
    <w:p w14:paraId="234CA7F3" w14:textId="046584B0" w:rsidR="005C637C" w:rsidRDefault="00717F79" w:rsidP="005C637C">
      <w:r>
        <w:t xml:space="preserve">The first part of the data cleaning is </w:t>
      </w:r>
      <w:r w:rsidR="005C637C">
        <w:t xml:space="preserve">to ensure that the correct state of operation is identified. If a large number of businesses are attributed to an incorrect state, this could lead to incorrect conclusions. The next part of the data cleaning is to remove businesses that may be operating for lifestyle reasons. The inclusion of these businesses </w:t>
      </w:r>
      <w:r w:rsidR="00A53197">
        <w:t>may also</w:t>
      </w:r>
      <w:r w:rsidR="00F613A4">
        <w:t xml:space="preserve"> affect the results.</w:t>
      </w:r>
    </w:p>
    <w:p w14:paraId="4ED3ECA5" w14:textId="1710F585" w:rsidR="005C637C" w:rsidRDefault="005C637C" w:rsidP="005C637C">
      <w:r>
        <w:t xml:space="preserve">The next phase is concerned with trying to </w:t>
      </w:r>
      <w:r w:rsidR="00C43412">
        <w:t xml:space="preserve">derive taxable wages for payroll tax purposes with the </w:t>
      </w:r>
      <w:r>
        <w:t>BIT dataset. This means removing firms from</w:t>
      </w:r>
      <w:r w:rsidR="00B660E5">
        <w:t xml:space="preserve"> the dataset that are in</w:t>
      </w:r>
      <w:r>
        <w:t xml:space="preserve"> </w:t>
      </w:r>
      <w:r w:rsidR="0020111E">
        <w:t>industries that are not liable f</w:t>
      </w:r>
      <w:r>
        <w:t>o</w:t>
      </w:r>
      <w:r w:rsidR="0020111E">
        <w:t>r</w:t>
      </w:r>
      <w:r>
        <w:t xml:space="preserve"> payroll tax in the first instance. The next phase is to derive an estimate of taxable wages for payroll tax purposes for indiv</w:t>
      </w:r>
      <w:r w:rsidR="00F613A4">
        <w:t>idual firms using the BIT data.</w:t>
      </w:r>
    </w:p>
    <w:p w14:paraId="332A47D7" w14:textId="00FC63CC" w:rsidR="005C637C" w:rsidRDefault="00717F79" w:rsidP="005C637C">
      <w:r>
        <w:t xml:space="preserve">To provide an overview of the cleaned data, </w:t>
      </w:r>
      <w:r w:rsidR="005C637C">
        <w:t xml:space="preserve">a </w:t>
      </w:r>
      <w:r>
        <w:t>commentary on</w:t>
      </w:r>
      <w:r w:rsidR="00BE0512">
        <w:t xml:space="preserve"> some</w:t>
      </w:r>
      <w:r>
        <w:t xml:space="preserve"> </w:t>
      </w:r>
      <w:r w:rsidR="00BE0512">
        <w:t xml:space="preserve">of the </w:t>
      </w:r>
      <w:r>
        <w:t>descriptive statistics concludes the data section</w:t>
      </w:r>
      <w:r w:rsidR="00F613A4">
        <w:t>.</w:t>
      </w:r>
    </w:p>
    <w:p w14:paraId="7812CB09" w14:textId="77777777" w:rsidR="00B0794C" w:rsidRDefault="00FD4982" w:rsidP="00B0794C">
      <w:pPr>
        <w:pStyle w:val="Heading3"/>
      </w:pPr>
      <w:r>
        <w:t>Data cleaning - s</w:t>
      </w:r>
      <w:r w:rsidR="005C637C">
        <w:t>tate of operation</w:t>
      </w:r>
    </w:p>
    <w:p w14:paraId="04040080" w14:textId="747DF8BB" w:rsidR="005613E4" w:rsidRDefault="005613E4" w:rsidP="005613E4">
      <w:r>
        <w:t>Identifying the correct state of operation for firms is essential for the analysis. There are three filters used to ensure that the correct firm location is identified. The first filter is based on postcode, while the second and third filters are based on ABS derived measures of location and operation. These are discussed in turn below.</w:t>
      </w:r>
    </w:p>
    <w:p w14:paraId="2893D517" w14:textId="77777777" w:rsidR="005613E4" w:rsidRDefault="005613E4" w:rsidP="0054156B">
      <w:pPr>
        <w:pStyle w:val="Heading4"/>
      </w:pPr>
      <w:r>
        <w:t>Postcode</w:t>
      </w:r>
    </w:p>
    <w:p w14:paraId="071220FB" w14:textId="1BCE7B35" w:rsidR="00F12EE0" w:rsidRDefault="005613E4" w:rsidP="005613E4">
      <w:r>
        <w:t xml:space="preserve">Border areas have the possibility of creating unnecessary complications. A business operating close to a border can easily undertake work in the neighbouring state. Payroll tax is generally based on </w:t>
      </w:r>
      <w:r w:rsidR="00BE0512">
        <w:t>where the economic activity i</w:t>
      </w:r>
      <w:r>
        <w:t>s undertaken.</w:t>
      </w:r>
      <w:r w:rsidR="00B660E5">
        <w:rPr>
          <w:rStyle w:val="FootnoteReference"/>
        </w:rPr>
        <w:footnoteReference w:id="8"/>
      </w:r>
      <w:r>
        <w:t xml:space="preserve"> The uncertainty over which side of the border a business operates has the possibility of affecting the results. Cities on </w:t>
      </w:r>
      <w:r w:rsidR="00B660E5">
        <w:t xml:space="preserve">state </w:t>
      </w:r>
      <w:r>
        <w:t>border</w:t>
      </w:r>
      <w:r w:rsidR="00B660E5">
        <w:t>s</w:t>
      </w:r>
      <w:r>
        <w:t xml:space="preserve">, such as Albury and </w:t>
      </w:r>
      <w:r w:rsidR="00116242">
        <w:t>Wodonga</w:t>
      </w:r>
      <w:r>
        <w:t xml:space="preserve"> or Tweed</w:t>
      </w:r>
      <w:r w:rsidR="00DF40B5">
        <w:t> </w:t>
      </w:r>
      <w:r>
        <w:t xml:space="preserve">Heads and Coolangatta, only </w:t>
      </w:r>
      <w:r w:rsidR="00F613A4">
        <w:t>amplify this potential problem.</w:t>
      </w:r>
    </w:p>
    <w:p w14:paraId="6B64129B" w14:textId="5435E0A4" w:rsidR="007646DA" w:rsidRDefault="005613E4" w:rsidP="005613E4">
      <w:r>
        <w:lastRenderedPageBreak/>
        <w:t xml:space="preserve">To negate this problem, postcodes in border areas are removed. </w:t>
      </w:r>
      <w:r w:rsidR="003C496C">
        <w:t xml:space="preserve">For data collection purposes, the </w:t>
      </w:r>
      <w:r>
        <w:t xml:space="preserve">ABS defines </w:t>
      </w:r>
      <w:r w:rsidR="003C496C">
        <w:t xml:space="preserve">its own </w:t>
      </w:r>
      <w:r>
        <w:t>statistical areas</w:t>
      </w:r>
      <w:r w:rsidR="003C496C">
        <w:t>. The largest statistical area is statistical area level 4 (SA4).</w:t>
      </w:r>
      <w:r w:rsidR="003C496C">
        <w:rPr>
          <w:rStyle w:val="FootnoteReference"/>
        </w:rPr>
        <w:footnoteReference w:id="9"/>
      </w:r>
      <w:r>
        <w:t xml:space="preserve"> </w:t>
      </w:r>
      <w:r w:rsidR="003C496C">
        <w:t xml:space="preserve">The ABS has also mapped </w:t>
      </w:r>
      <w:r>
        <w:t>postcodes onto the</w:t>
      </w:r>
      <w:r w:rsidR="003C496C">
        <w:t>se SA4s</w:t>
      </w:r>
      <w:r>
        <w:t xml:space="preserve">. SA4s that touch a state border, along with the postcodes inside them, are </w:t>
      </w:r>
      <w:r w:rsidR="00BE0512">
        <w:t xml:space="preserve">excluded from </w:t>
      </w:r>
      <w:r w:rsidR="00F613A4">
        <w:t>this analysis.</w:t>
      </w:r>
    </w:p>
    <w:p w14:paraId="792AAE54" w14:textId="3B89175C" w:rsidR="005613E4" w:rsidRDefault="005613E4" w:rsidP="005613E4">
      <w:r>
        <w:t xml:space="preserve">The SA4s for the Australian Capital Territory all touch a state border. This results in the Australian Capital Territory being excluded from the analysis. </w:t>
      </w:r>
      <w:r w:rsidR="003C496C">
        <w:t>For the remaining states, s</w:t>
      </w:r>
      <w:r>
        <w:t xml:space="preserve">ensitivity analysis is conducted to determine if removing SA4s has an impact on the results. The exclusion of the SA4s </w:t>
      </w:r>
      <w:r w:rsidR="00BE0512">
        <w:t xml:space="preserve">on state borders </w:t>
      </w:r>
      <w:r>
        <w:t xml:space="preserve">does not alter the </w:t>
      </w:r>
      <w:r w:rsidR="00BE0512">
        <w:t>conclusions</w:t>
      </w:r>
      <w:r>
        <w:t>.</w:t>
      </w:r>
    </w:p>
    <w:p w14:paraId="756ECD9D" w14:textId="77777777" w:rsidR="005613E4" w:rsidRDefault="005613E4" w:rsidP="0054156B">
      <w:pPr>
        <w:pStyle w:val="Heading4"/>
      </w:pPr>
      <w:r>
        <w:t>ABS derived measures – location and operation</w:t>
      </w:r>
    </w:p>
    <w:p w14:paraId="36D2FF0A" w14:textId="467DBD10" w:rsidR="003C496C" w:rsidRDefault="003C496C" w:rsidP="005613E4">
      <w:r>
        <w:t xml:space="preserve">Inside BLADE the ABS includes two separate measures, one for firm location and another for where the firm operates. These measures are used to filter the data to ensure that the correct state is identified. The ABS is able to </w:t>
      </w:r>
      <w:r w:rsidR="00175E66">
        <w:t>leverage off the information it collects on firms for its numerous surveys to inform these meas</w:t>
      </w:r>
      <w:r w:rsidR="00F613A4">
        <w:t>ures of location and operation.</w:t>
      </w:r>
    </w:p>
    <w:p w14:paraId="578EF7FA" w14:textId="77777777" w:rsidR="00FD4982" w:rsidRDefault="00FD4982" w:rsidP="00FD4982">
      <w:pPr>
        <w:pStyle w:val="Heading3"/>
      </w:pPr>
      <w:r>
        <w:t>Data cleaning - market wage</w:t>
      </w:r>
    </w:p>
    <w:p w14:paraId="22CC0764" w14:textId="5DCF9CC5" w:rsidR="00FD4982" w:rsidRDefault="00FD4982" w:rsidP="00FD4982">
      <w:r>
        <w:t>The point of this entire analysis is to determine whether payroll tax affects a firm’s decision to hire employees at the prevailing market wage. Therefore, it would be anomalous to include firms that do not hire employees at the prevailing market wage. An example of a firm that does not hire employees at the prevailing market wage is one that operates for a lifestyle reason. To mitigate the impact of these firms, the total sum of remuneration needs to be in excess of $50,000.</w:t>
      </w:r>
      <w:r w:rsidR="000273E0">
        <w:t xml:space="preserve"> During sensitivity analysis, altering this threshold to zero and $75,000 made no difference to the main results.</w:t>
      </w:r>
    </w:p>
    <w:p w14:paraId="08444B71" w14:textId="77777777" w:rsidR="00B0794C" w:rsidRDefault="00915B11" w:rsidP="00B0794C">
      <w:pPr>
        <w:pStyle w:val="Heading3"/>
      </w:pPr>
      <w:r>
        <w:t xml:space="preserve">Deriving taxable wages for payroll tax purposes </w:t>
      </w:r>
      <w:r w:rsidR="00C43412">
        <w:t>–</w:t>
      </w:r>
      <w:r w:rsidR="000F123A">
        <w:t xml:space="preserve"> </w:t>
      </w:r>
      <w:r w:rsidR="00C43412">
        <w:t>exempt entities</w:t>
      </w:r>
    </w:p>
    <w:p w14:paraId="3F0EE5CC" w14:textId="77777777" w:rsidR="00B0794C" w:rsidRDefault="000F123A" w:rsidP="00B0794C">
      <w:r>
        <w:t xml:space="preserve">Many entities are exempt from payroll tax because they are not businesses or due to the type of sector that they operate in. </w:t>
      </w:r>
      <w:r w:rsidR="00B0794C">
        <w:t xml:space="preserve">Therefore, all government agencies, educational institutions, health services providers, and non-profit institutions serving households </w:t>
      </w:r>
      <w:r>
        <w:t xml:space="preserve">are </w:t>
      </w:r>
      <w:r w:rsidR="00B0794C">
        <w:t>excluded. The dataset has information from two different classification regimes:</w:t>
      </w:r>
    </w:p>
    <w:p w14:paraId="3992A258" w14:textId="77777777" w:rsidR="00B0794C" w:rsidRDefault="00B0794C" w:rsidP="00B0794C">
      <w:pPr>
        <w:pStyle w:val="Bullet"/>
        <w:keepNext w:val="0"/>
        <w:numPr>
          <w:ilvl w:val="0"/>
          <w:numId w:val="49"/>
        </w:numPr>
        <w:spacing w:after="200" w:line="276" w:lineRule="auto"/>
      </w:pPr>
      <w:r>
        <w:t>Australia New Zealand Standard Industry Classification (ANZSIC); and</w:t>
      </w:r>
    </w:p>
    <w:p w14:paraId="496ADEA3" w14:textId="31E4048A" w:rsidR="00B0794C" w:rsidRDefault="00B0794C" w:rsidP="00B0794C">
      <w:pPr>
        <w:pStyle w:val="Bullet"/>
        <w:keepNext w:val="0"/>
        <w:numPr>
          <w:ilvl w:val="0"/>
          <w:numId w:val="49"/>
        </w:numPr>
        <w:spacing w:after="200" w:line="276" w:lineRule="auto"/>
      </w:pPr>
      <w:r>
        <w:t>Standard Institutional Sector Class</w:t>
      </w:r>
      <w:r w:rsidR="00F613A4">
        <w:t>ification of Australia (SISCA);</w:t>
      </w:r>
    </w:p>
    <w:p w14:paraId="23EBF6CC" w14:textId="77777777" w:rsidR="00881550" w:rsidRDefault="00B0794C" w:rsidP="00B0794C">
      <w:r>
        <w:t xml:space="preserve">For each of these classification regimes, the following exclusions </w:t>
      </w:r>
      <w:r w:rsidR="000F123A">
        <w:t>are</w:t>
      </w:r>
      <w:r>
        <w:t xml:space="preserve"> made.</w:t>
      </w:r>
    </w:p>
    <w:p w14:paraId="74AA9098" w14:textId="0CED2874" w:rsidR="001079E4" w:rsidRDefault="001079E4" w:rsidP="00F12EE0">
      <w:pPr>
        <w:pStyle w:val="TableMainHeading"/>
        <w:keepLines/>
      </w:pPr>
      <w:r w:rsidRPr="002B1075">
        <w:lastRenderedPageBreak/>
        <w:t>Table 3: Exclusions based on classification code</w:t>
      </w:r>
    </w:p>
    <w:tbl>
      <w:tblPr>
        <w:tblW w:w="9236" w:type="dxa"/>
        <w:tblInd w:w="93" w:type="dxa"/>
        <w:tblLook w:val="04A0" w:firstRow="1" w:lastRow="0" w:firstColumn="1" w:lastColumn="0" w:noHBand="0" w:noVBand="1"/>
      </w:tblPr>
      <w:tblGrid>
        <w:gridCol w:w="9236"/>
      </w:tblGrid>
      <w:tr w:rsidR="00B0794C" w:rsidRPr="009A7E97" w14:paraId="36BED719" w14:textId="77777777" w:rsidTr="00DF40B5">
        <w:trPr>
          <w:trHeight w:val="309"/>
        </w:trPr>
        <w:tc>
          <w:tcPr>
            <w:tcW w:w="9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246873C" w14:textId="77777777" w:rsidR="00B0794C" w:rsidRPr="009A7E97" w:rsidRDefault="00B0794C" w:rsidP="00F12EE0">
            <w:pPr>
              <w:pStyle w:val="TableColumnHeadingLeft"/>
              <w:keepNext/>
              <w:keepLines/>
            </w:pPr>
            <w:r w:rsidRPr="009A7E97">
              <w:t>ANZSIC 2006</w:t>
            </w:r>
          </w:p>
        </w:tc>
      </w:tr>
      <w:tr w:rsidR="001079E4" w:rsidRPr="009A7E97" w14:paraId="7D67C18E" w14:textId="77777777" w:rsidTr="001079E4">
        <w:trPr>
          <w:trHeight w:val="309"/>
        </w:trPr>
        <w:tc>
          <w:tcPr>
            <w:tcW w:w="9236" w:type="dxa"/>
            <w:tcBorders>
              <w:top w:val="single" w:sz="4" w:space="0" w:color="auto"/>
              <w:left w:val="single" w:sz="4" w:space="0" w:color="auto"/>
              <w:bottom w:val="nil"/>
              <w:right w:val="single" w:sz="4" w:space="0" w:color="auto"/>
            </w:tcBorders>
            <w:shd w:val="clear" w:color="000000" w:fill="FFFFFF"/>
            <w:noWrap/>
            <w:vAlign w:val="center"/>
            <w:hideMark/>
          </w:tcPr>
          <w:p w14:paraId="2F4822B2" w14:textId="77777777" w:rsidR="001079E4" w:rsidRPr="009A7E97" w:rsidRDefault="001079E4" w:rsidP="00F12EE0">
            <w:pPr>
              <w:pStyle w:val="Tabletextleft0"/>
              <w:keepNext/>
              <w:keepLines/>
            </w:pPr>
            <w:r w:rsidRPr="009A7E97">
              <w:t>Division O – Public Administration and Safety</w:t>
            </w:r>
          </w:p>
        </w:tc>
      </w:tr>
      <w:tr w:rsidR="001079E4" w:rsidRPr="009A7E97" w14:paraId="34D1E240" w14:textId="77777777" w:rsidTr="001079E4">
        <w:trPr>
          <w:trHeight w:val="309"/>
        </w:trPr>
        <w:tc>
          <w:tcPr>
            <w:tcW w:w="9236" w:type="dxa"/>
            <w:tcBorders>
              <w:top w:val="nil"/>
              <w:left w:val="single" w:sz="4" w:space="0" w:color="auto"/>
              <w:bottom w:val="nil"/>
              <w:right w:val="single" w:sz="4" w:space="0" w:color="auto"/>
            </w:tcBorders>
            <w:shd w:val="clear" w:color="000000" w:fill="FFFFFF"/>
            <w:noWrap/>
            <w:vAlign w:val="center"/>
            <w:hideMark/>
          </w:tcPr>
          <w:p w14:paraId="1AC93A65" w14:textId="77777777" w:rsidR="001079E4" w:rsidRPr="009A7E97" w:rsidRDefault="001079E4" w:rsidP="00F12EE0">
            <w:pPr>
              <w:pStyle w:val="Tabletextleft0"/>
              <w:keepNext/>
              <w:keepLines/>
            </w:pPr>
            <w:r w:rsidRPr="009A7E97">
              <w:t>Division P – Education and Training</w:t>
            </w:r>
          </w:p>
        </w:tc>
      </w:tr>
      <w:tr w:rsidR="001079E4" w:rsidRPr="009A7E97" w14:paraId="368C9C6C" w14:textId="77777777" w:rsidTr="001079E4">
        <w:trPr>
          <w:trHeight w:val="309"/>
        </w:trPr>
        <w:tc>
          <w:tcPr>
            <w:tcW w:w="9236" w:type="dxa"/>
            <w:tcBorders>
              <w:top w:val="nil"/>
              <w:left w:val="single" w:sz="4" w:space="0" w:color="auto"/>
              <w:bottom w:val="single" w:sz="4" w:space="0" w:color="auto"/>
              <w:right w:val="single" w:sz="4" w:space="0" w:color="auto"/>
            </w:tcBorders>
            <w:shd w:val="clear" w:color="000000" w:fill="FFFFFF"/>
            <w:noWrap/>
            <w:vAlign w:val="center"/>
            <w:hideMark/>
          </w:tcPr>
          <w:p w14:paraId="4E65E846" w14:textId="77777777" w:rsidR="001079E4" w:rsidRPr="009A7E97" w:rsidRDefault="001079E4" w:rsidP="00F12EE0">
            <w:pPr>
              <w:pStyle w:val="Tabletextleft0"/>
              <w:keepNext/>
              <w:keepLines/>
            </w:pPr>
            <w:r w:rsidRPr="009A7E97">
              <w:t>Division Q – Health Care and Social Assistance</w:t>
            </w:r>
          </w:p>
        </w:tc>
      </w:tr>
      <w:tr w:rsidR="00B0794C" w:rsidRPr="009A7E97" w14:paraId="4ADAD334" w14:textId="77777777" w:rsidTr="00DF40B5">
        <w:trPr>
          <w:trHeight w:val="309"/>
        </w:trPr>
        <w:tc>
          <w:tcPr>
            <w:tcW w:w="9236" w:type="dxa"/>
            <w:tcBorders>
              <w:top w:val="single" w:sz="4" w:space="0" w:color="auto"/>
              <w:left w:val="single" w:sz="4" w:space="0" w:color="auto"/>
              <w:bottom w:val="single" w:sz="8" w:space="0" w:color="000000" w:themeColor="text1"/>
              <w:right w:val="single" w:sz="4" w:space="0" w:color="auto"/>
            </w:tcBorders>
            <w:shd w:val="clear" w:color="auto" w:fill="C6D9F1" w:themeFill="text2" w:themeFillTint="33"/>
            <w:noWrap/>
            <w:vAlign w:val="center"/>
            <w:hideMark/>
          </w:tcPr>
          <w:p w14:paraId="4B59B0A7" w14:textId="77777777" w:rsidR="00B0794C" w:rsidRPr="009A7E97" w:rsidRDefault="00B0794C" w:rsidP="00F12EE0">
            <w:pPr>
              <w:pStyle w:val="TableColumnHeadingLeft"/>
              <w:keepNext/>
              <w:keepLines/>
            </w:pPr>
            <w:r w:rsidRPr="009A7E97">
              <w:t>SISCA 2008</w:t>
            </w:r>
          </w:p>
        </w:tc>
      </w:tr>
      <w:tr w:rsidR="001079E4" w:rsidRPr="009A7E97" w14:paraId="293A2571" w14:textId="77777777" w:rsidTr="001079E4">
        <w:trPr>
          <w:trHeight w:val="309"/>
        </w:trPr>
        <w:tc>
          <w:tcPr>
            <w:tcW w:w="9236" w:type="dxa"/>
            <w:tcBorders>
              <w:top w:val="single" w:sz="8" w:space="0" w:color="000000" w:themeColor="text1"/>
              <w:left w:val="single" w:sz="4" w:space="0" w:color="auto"/>
              <w:bottom w:val="nil"/>
              <w:right w:val="single" w:sz="4" w:space="0" w:color="auto"/>
            </w:tcBorders>
            <w:shd w:val="clear" w:color="000000" w:fill="FFFFFF"/>
            <w:noWrap/>
            <w:vAlign w:val="center"/>
            <w:hideMark/>
          </w:tcPr>
          <w:p w14:paraId="44772102" w14:textId="77777777" w:rsidR="001079E4" w:rsidRPr="009A7E97" w:rsidRDefault="001079E4" w:rsidP="00F12EE0">
            <w:pPr>
              <w:pStyle w:val="Tabletextleft0"/>
              <w:keepNext/>
              <w:keepLines/>
            </w:pPr>
            <w:r w:rsidRPr="009A7E97">
              <w:t>211 – Reserve Bank of Australia</w:t>
            </w:r>
          </w:p>
        </w:tc>
      </w:tr>
      <w:tr w:rsidR="001079E4" w:rsidRPr="009A7E97" w14:paraId="7F100A7F" w14:textId="77777777" w:rsidTr="001079E4">
        <w:trPr>
          <w:trHeight w:val="309"/>
        </w:trPr>
        <w:tc>
          <w:tcPr>
            <w:tcW w:w="9236" w:type="dxa"/>
            <w:tcBorders>
              <w:top w:val="nil"/>
              <w:left w:val="single" w:sz="4" w:space="0" w:color="auto"/>
              <w:bottom w:val="nil"/>
              <w:right w:val="single" w:sz="4" w:space="0" w:color="auto"/>
            </w:tcBorders>
            <w:shd w:val="clear" w:color="000000" w:fill="FFFFFF"/>
            <w:noWrap/>
            <w:vAlign w:val="center"/>
            <w:hideMark/>
          </w:tcPr>
          <w:p w14:paraId="43CBDDFD" w14:textId="77777777" w:rsidR="001079E4" w:rsidRPr="009A7E97" w:rsidRDefault="001079E4" w:rsidP="00F12EE0">
            <w:pPr>
              <w:pStyle w:val="Tabletextleft0"/>
              <w:keepNext/>
              <w:keepLines/>
            </w:pPr>
            <w:r w:rsidRPr="009A7E97">
              <w:t>3 – General Government</w:t>
            </w:r>
          </w:p>
        </w:tc>
      </w:tr>
      <w:tr w:rsidR="001079E4" w:rsidRPr="009A7E97" w14:paraId="7AC21544" w14:textId="77777777" w:rsidTr="001079E4">
        <w:trPr>
          <w:trHeight w:val="309"/>
        </w:trPr>
        <w:tc>
          <w:tcPr>
            <w:tcW w:w="9236" w:type="dxa"/>
            <w:tcBorders>
              <w:top w:val="nil"/>
              <w:left w:val="single" w:sz="4" w:space="0" w:color="auto"/>
              <w:bottom w:val="single" w:sz="4" w:space="0" w:color="auto"/>
              <w:right w:val="single" w:sz="4" w:space="0" w:color="auto"/>
            </w:tcBorders>
            <w:shd w:val="clear" w:color="000000" w:fill="FFFFFF"/>
            <w:noWrap/>
            <w:vAlign w:val="center"/>
            <w:hideMark/>
          </w:tcPr>
          <w:p w14:paraId="49D7E6E7" w14:textId="77777777" w:rsidR="001079E4" w:rsidRPr="009A7E97" w:rsidRDefault="001079E4" w:rsidP="00F12EE0">
            <w:pPr>
              <w:pStyle w:val="Tabletextleft0"/>
              <w:keepNext/>
              <w:keepLines/>
            </w:pPr>
            <w:r w:rsidRPr="009A7E97">
              <w:t>5 – Non-Profit Institutions Serving Households</w:t>
            </w:r>
          </w:p>
        </w:tc>
      </w:tr>
    </w:tbl>
    <w:p w14:paraId="742FAB61" w14:textId="77777777" w:rsidR="00645CFF" w:rsidRDefault="00645CFF" w:rsidP="00645CFF">
      <w:pPr>
        <w:pStyle w:val="SingleParagraph"/>
      </w:pPr>
    </w:p>
    <w:p w14:paraId="02B6BA62" w14:textId="77777777" w:rsidR="00B0794C" w:rsidRDefault="00B0794C" w:rsidP="00B0794C">
      <w:pPr>
        <w:pStyle w:val="Heading3"/>
      </w:pPr>
      <w:r>
        <w:t>Deriving taxable wages</w:t>
      </w:r>
      <w:r w:rsidR="00C43412">
        <w:t xml:space="preserve"> for payroll tax purposes – BIT data</w:t>
      </w:r>
    </w:p>
    <w:p w14:paraId="3718EBA3" w14:textId="3097B607" w:rsidR="009959B3" w:rsidRDefault="009959B3" w:rsidP="009959B3">
      <w:r>
        <w:t>A firm’s liability to payroll tax is assessed on the total sum of taxable wages for payroll tax purposes. Therefore, correctly estimating taxable wages is important. BIT data is used to provide an estimate of taxable wages. The two key data items from the BIT data</w:t>
      </w:r>
      <w:r w:rsidR="007530A4">
        <w:t>set</w:t>
      </w:r>
      <w:r>
        <w:t xml:space="preserve"> that are used to derive taxable wages are wages an</w:t>
      </w:r>
      <w:r w:rsidR="00F613A4">
        <w:t>d salaries, and superannuation.</w:t>
      </w:r>
    </w:p>
    <w:p w14:paraId="5214A23C" w14:textId="77777777" w:rsidR="009959B3" w:rsidRPr="009959B3" w:rsidRDefault="00D50BA7" w:rsidP="009959B3">
      <w:pPr>
        <w:rPr>
          <w:lang w:val="en-US" w:eastAsia="en-AU"/>
        </w:rPr>
      </w:pPr>
      <w:r>
        <w:rPr>
          <w:lang w:val="en-US" w:eastAsia="en-AU"/>
        </w:rPr>
        <w:t>Wages and salaries, and superannuation from the BIT dataset align reasonably well with the definition of taxable wages for payroll tax purposes. These items include not only wages, salary and superannuation but also director’s fees, bonuses, grossed up reportable fringe benefits and other remuneration types considered taxable wages for payroll tax purposes.</w:t>
      </w:r>
    </w:p>
    <w:p w14:paraId="7CA0B65A" w14:textId="5A8324BD" w:rsidR="00B0794C" w:rsidRDefault="00B0794C" w:rsidP="00B0794C">
      <w:r>
        <w:t>However, minor exemptions exist so that not all of the dollars reported are subject to payroll tax and are therefore out of scope for payroll tax purposes. These exemptions vary over time and from state to state. These minor exemptions include</w:t>
      </w:r>
      <w:r w:rsidR="00595328">
        <w:t xml:space="preserve">, but </w:t>
      </w:r>
      <w:r w:rsidR="0020111E">
        <w:t xml:space="preserve">are </w:t>
      </w:r>
      <w:r w:rsidR="00595328">
        <w:t>not limited to,</w:t>
      </w:r>
      <w:r>
        <w:t xml:space="preserve"> leave types (such as those related to having a child and volunteer emergency services work), trainees (part of a government scheme and apprenticeships), </w:t>
      </w:r>
      <w:r w:rsidR="00595328">
        <w:t xml:space="preserve">and </w:t>
      </w:r>
      <w:r>
        <w:t>workers’ compensation pa</w:t>
      </w:r>
      <w:r w:rsidR="00F613A4">
        <w:t>id by an employer from payroll.</w:t>
      </w:r>
    </w:p>
    <w:p w14:paraId="3C80A3BD" w14:textId="1F44C773" w:rsidR="00B0794C" w:rsidRDefault="00B0794C" w:rsidP="00B0794C">
      <w:r>
        <w:t>The exemptions mean that the estimate of taxable</w:t>
      </w:r>
      <w:r w:rsidR="0020111E">
        <w:t xml:space="preserve"> wages made using the BIT data c</w:t>
      </w:r>
      <w:r>
        <w:t xml:space="preserve">ould be larger than the actual </w:t>
      </w:r>
      <w:r w:rsidR="007475AD">
        <w:t>taxable wages</w:t>
      </w:r>
      <w:r>
        <w:t>. This should not be a concern because the exemptions are generally small and/or should wash out in a large dataset. Secondly, some of the exemptions are of a nature that could not be anticipated by an employer and therefore should not affect immediate behaviour (</w:t>
      </w:r>
      <w:r w:rsidR="00645CFF">
        <w:t xml:space="preserve">that is, </w:t>
      </w:r>
      <w:r>
        <w:t>it is difficult to anticipate at the hiring stage whether an employee would participate in volunteer work which would then be subsequently dec</w:t>
      </w:r>
      <w:r w:rsidR="00F613A4">
        <w:t>lared exempt from payroll tax).</w:t>
      </w:r>
    </w:p>
    <w:p w14:paraId="2E166C0B" w14:textId="77777777" w:rsidR="00B0794C" w:rsidRDefault="00B0794C" w:rsidP="00B0794C">
      <w:r w:rsidRPr="00284385">
        <w:t xml:space="preserve">To allay concerns that the results presented here may be biased, </w:t>
      </w:r>
      <w:r w:rsidR="00595328">
        <w:t xml:space="preserve">a scenario was also </w:t>
      </w:r>
      <w:r w:rsidR="001C188A">
        <w:t>run</w:t>
      </w:r>
      <w:r w:rsidR="00595328">
        <w:t xml:space="preserve"> applying an increase of 10 per cent</w:t>
      </w:r>
      <w:r w:rsidR="001C188A">
        <w:t xml:space="preserve"> to the </w:t>
      </w:r>
      <w:r w:rsidR="00D50BA7">
        <w:t xml:space="preserve">small business exemption </w:t>
      </w:r>
      <w:r w:rsidR="001C188A">
        <w:t>threshold</w:t>
      </w:r>
      <w:r w:rsidR="00595328">
        <w:t xml:space="preserve">. </w:t>
      </w:r>
      <w:r>
        <w:t>The results are presented in the appendix and are consistent with the main findings of the paper.</w:t>
      </w:r>
    </w:p>
    <w:p w14:paraId="2D3BA86E" w14:textId="77777777" w:rsidR="00B0794C" w:rsidRDefault="00B0794C" w:rsidP="0054156B">
      <w:pPr>
        <w:pStyle w:val="Heading4"/>
      </w:pPr>
      <w:r>
        <w:t>Contractors and labour hire firms</w:t>
      </w:r>
    </w:p>
    <w:p w14:paraId="64B953E8" w14:textId="66A16AFF" w:rsidR="008367D4" w:rsidRDefault="00B0794C" w:rsidP="00B0794C">
      <w:r>
        <w:t xml:space="preserve">There is the possibility that some employers near the threshold employ contractors to try </w:t>
      </w:r>
      <w:r w:rsidR="001C188A">
        <w:t>to</w:t>
      </w:r>
      <w:r>
        <w:t xml:space="preserve"> avoid liability to payroll tax. It should be noted that the definition of an employee for payroll tax purposes is an employee in common law</w:t>
      </w:r>
      <w:r w:rsidR="005A4D57">
        <w:t>.</w:t>
      </w:r>
      <w:r>
        <w:rPr>
          <w:rStyle w:val="FootnoteReference"/>
        </w:rPr>
        <w:footnoteReference w:id="10"/>
      </w:r>
      <w:r>
        <w:t xml:space="preserve"> This includes individuals who may otherwise be considered independent contractors</w:t>
      </w:r>
      <w:r w:rsidR="008367D4">
        <w:t xml:space="preserve"> (</w:t>
      </w:r>
      <w:r w:rsidR="00645CFF">
        <w:t xml:space="preserve">that is, </w:t>
      </w:r>
      <w:r w:rsidR="008367D4">
        <w:t>not employees of labour hire firms)</w:t>
      </w:r>
      <w:r>
        <w:t>. Therefore, hiring independent contractors should not negate liability to the tax. Whether this applies in practice is another issue. Special provisions exist</w:t>
      </w:r>
      <w:r w:rsidR="00F613A4">
        <w:t xml:space="preserve"> for contractors in each state.</w:t>
      </w:r>
    </w:p>
    <w:p w14:paraId="34D4E437" w14:textId="77777777" w:rsidR="008367D4" w:rsidRDefault="00D50BA7" w:rsidP="00B0794C">
      <w:r>
        <w:lastRenderedPageBreak/>
        <w:t>The</w:t>
      </w:r>
      <w:r w:rsidR="008367D4">
        <w:t xml:space="preserve"> liability to payroll tax for </w:t>
      </w:r>
      <w:r w:rsidR="00B0794C">
        <w:t xml:space="preserve">labour hire firms </w:t>
      </w:r>
      <w:r w:rsidR="008367D4">
        <w:t>varies between states. In some states liability is determined by the total remuneration of the labour hire firm. While for other states an exemption to payroll tax can be made where the firm utilising the services of the contracted employee would not attract payroll tax if the contractor’s salary were included.</w:t>
      </w:r>
    </w:p>
    <w:p w14:paraId="6643F243" w14:textId="6B689B78" w:rsidR="00B0794C" w:rsidRDefault="00B0794C" w:rsidP="00B0794C">
      <w:r>
        <w:t>Contractors are reported in the BIT data; however, agency fees (</w:t>
      </w:r>
      <w:r w:rsidR="00645CFF">
        <w:t xml:space="preserve">for example, </w:t>
      </w:r>
      <w:r>
        <w:t>advertising expenses)</w:t>
      </w:r>
      <w:r w:rsidR="008367D4">
        <w:t xml:space="preserve"> are reported under the same data item</w:t>
      </w:r>
      <w:r>
        <w:t xml:space="preserve">. As such it is difficult to correctly ascertain how much can be attributed to actual contractor expenses. If firms sought to avoid payroll tax by contracting, this suggests that firms </w:t>
      </w:r>
      <w:r w:rsidR="00D50BA7">
        <w:t xml:space="preserve">immediately </w:t>
      </w:r>
      <w:r>
        <w:t xml:space="preserve">below the threshold would have a higher share of contractors in their wage bill than firms above the threshold. Contractors as a share of the wage bill is one of the factors examined to see if firms </w:t>
      </w:r>
      <w:r w:rsidR="00D50BA7">
        <w:t>near</w:t>
      </w:r>
      <w:r>
        <w:t xml:space="preserve"> either side of the threshold are fundamentally different from each other.</w:t>
      </w:r>
    </w:p>
    <w:p w14:paraId="57B1DDD6" w14:textId="77777777" w:rsidR="00B0794C" w:rsidRDefault="00B0794C" w:rsidP="00B0794C">
      <w:pPr>
        <w:pStyle w:val="Heading3"/>
      </w:pPr>
      <w:r>
        <w:t>Descriptive statistics</w:t>
      </w:r>
    </w:p>
    <w:p w14:paraId="5D98515A" w14:textId="421923F4" w:rsidR="00B0794C" w:rsidRDefault="00B0794C" w:rsidP="00B0794C">
      <w:r>
        <w:t xml:space="preserve">Tables that summarise the </w:t>
      </w:r>
      <w:r w:rsidR="00C33B67">
        <w:t xml:space="preserve">estimated </w:t>
      </w:r>
      <w:r w:rsidR="007E310A">
        <w:t xml:space="preserve">taxable wages </w:t>
      </w:r>
      <w:r>
        <w:t>data for each of the states by year are presented in Appendix</w:t>
      </w:r>
      <w:r w:rsidR="007F1B61">
        <w:t> </w:t>
      </w:r>
      <w:r>
        <w:t>B. These tables present the data</w:t>
      </w:r>
      <w:r w:rsidR="005C1DD6">
        <w:t xml:space="preserve">set </w:t>
      </w:r>
      <w:r w:rsidR="00A00498">
        <w:t>that i</w:t>
      </w:r>
      <w:r>
        <w:t>s used for the analysis after making the aforementioned adjustments (</w:t>
      </w:r>
      <w:r w:rsidR="00645CFF">
        <w:t xml:space="preserve">for example, </w:t>
      </w:r>
      <w:r>
        <w:t>removing firms with taxable wages below $50,000, removing firms that operate across multiple states, etc.).</w:t>
      </w:r>
    </w:p>
    <w:p w14:paraId="3775D824" w14:textId="77777777" w:rsidR="00B0794C" w:rsidRDefault="00B0794C" w:rsidP="00B0794C">
      <w:r>
        <w:t>The mean</w:t>
      </w:r>
      <w:r w:rsidR="00A00498">
        <w:t xml:space="preserve"> of estimated taxable wages</w:t>
      </w:r>
      <w:r>
        <w:t xml:space="preserve"> for each of the states are generally in line with each other. Tasmania consistently has the lowest mean, while Western Australia has the highest mean. It is interesting to note that on average, Victoria has slightly larger firms than New South Wales</w:t>
      </w:r>
      <w:r w:rsidR="007F1B61">
        <w:t xml:space="preserve"> despite Victoria having a lower payroll tax threshold</w:t>
      </w:r>
      <w:r>
        <w:t xml:space="preserve">. </w:t>
      </w:r>
      <w:r w:rsidR="005A3FF8">
        <w:t xml:space="preserve">This could suggest that the policy of a </w:t>
      </w:r>
      <w:r w:rsidR="008C5AEE">
        <w:t xml:space="preserve">low </w:t>
      </w:r>
      <w:r w:rsidR="00A00498">
        <w:t xml:space="preserve">payroll tax </w:t>
      </w:r>
      <w:r w:rsidR="008C5AEE">
        <w:t xml:space="preserve">threshold and a low </w:t>
      </w:r>
      <w:r w:rsidR="00A00498">
        <w:t>payroll tax rate had</w:t>
      </w:r>
      <w:r w:rsidR="005A3FF8">
        <w:t xml:space="preserve"> the desired effect</w:t>
      </w:r>
      <w:r w:rsidR="00352095">
        <w:t xml:space="preserve"> of minimising the distortionary impact of payroll tax</w:t>
      </w:r>
      <w:r w:rsidR="005A3FF8">
        <w:t>.</w:t>
      </w:r>
    </w:p>
    <w:p w14:paraId="3EF1ACE1" w14:textId="667A030C" w:rsidR="00F12EE0" w:rsidRDefault="005A3FF8" w:rsidP="00B0794C">
      <w:r>
        <w:t>The estimated taxable wages data also suggests that</w:t>
      </w:r>
      <w:r w:rsidR="00B0794C">
        <w:t xml:space="preserve"> the majority of firms do not pay payroll tax. The tables show for each of the states that it is only firms beyond the 75th percentile that are liable for payroll tax. That is, each of the 75th percentiles by year and state are below the respective payroll tax threshold.</w:t>
      </w:r>
      <w:r>
        <w:t xml:space="preserve"> However, it needs to be noted that firms that operate across multiple states are excluded from the analysis so that the actual </w:t>
      </w:r>
      <w:r w:rsidR="00D319FB">
        <w:t xml:space="preserve">proportion </w:t>
      </w:r>
      <w:r>
        <w:t xml:space="preserve">of firms that pay payroll tax would </w:t>
      </w:r>
      <w:r w:rsidR="0020111E">
        <w:t xml:space="preserve">likely </w:t>
      </w:r>
      <w:r>
        <w:t>be greater than those presented in Appendix B.</w:t>
      </w:r>
    </w:p>
    <w:p w14:paraId="71D3CBA8" w14:textId="77777777" w:rsidR="00F12EE0" w:rsidRDefault="00F12EE0">
      <w:pPr>
        <w:spacing w:after="200" w:line="276" w:lineRule="auto"/>
      </w:pPr>
      <w:r>
        <w:br w:type="page"/>
      </w:r>
    </w:p>
    <w:p w14:paraId="5881F85F" w14:textId="77777777" w:rsidR="00B0794C" w:rsidRDefault="00B0794C" w:rsidP="00B0794C">
      <w:pPr>
        <w:pStyle w:val="Heading2"/>
        <w:numPr>
          <w:ilvl w:val="0"/>
          <w:numId w:val="32"/>
        </w:numPr>
        <w:ind w:left="0"/>
      </w:pPr>
      <w:bookmarkStart w:id="9" w:name="_Toc509306063"/>
      <w:r>
        <w:lastRenderedPageBreak/>
        <w:t>Methodology</w:t>
      </w:r>
      <w:bookmarkEnd w:id="9"/>
    </w:p>
    <w:p w14:paraId="0D223D0A" w14:textId="32D61FBF" w:rsidR="00EF378B" w:rsidRDefault="00EF378B" w:rsidP="00B0794C">
      <w:r>
        <w:t>This paper examines whether firms bunch near the payroll tax thresholds. If firms do bunch near the payroll tax thresholds, this suggests that the thresholds are influencing the behaviour of firms. This paper employs a formal statistical test to de</w:t>
      </w:r>
      <w:r w:rsidR="00F613A4">
        <w:t>tect bunching.</w:t>
      </w:r>
    </w:p>
    <w:p w14:paraId="758C6B04" w14:textId="7560D923" w:rsidR="005272DA" w:rsidRDefault="00EF378B" w:rsidP="00B0794C">
      <w:r>
        <w:t>The following section</w:t>
      </w:r>
      <w:r w:rsidR="00D61906">
        <w:t>s</w:t>
      </w:r>
      <w:r>
        <w:t xml:space="preserve"> discuss what is formally meant by bunching</w:t>
      </w:r>
      <w:r w:rsidR="001146C0">
        <w:t>, this is followed by a discussion of the merits of a formal test</w:t>
      </w:r>
      <w:r>
        <w:t>.</w:t>
      </w:r>
      <w:r w:rsidR="001146C0">
        <w:t xml:space="preserve"> The hypothesis test for the formal test is then presented</w:t>
      </w:r>
      <w:r w:rsidR="005272DA">
        <w:t xml:space="preserve">. The key assumptions when carrying out the formal </w:t>
      </w:r>
      <w:r w:rsidR="00F613A4">
        <w:t>test are then explored.</w:t>
      </w:r>
    </w:p>
    <w:p w14:paraId="26F2761C" w14:textId="77777777" w:rsidR="005272DA" w:rsidRDefault="005272DA" w:rsidP="00B0794C">
      <w:r>
        <w:t xml:space="preserve">A key assumption </w:t>
      </w:r>
      <w:r w:rsidR="00D61906">
        <w:t xml:space="preserve">of the formal test for bunching </w:t>
      </w:r>
      <w:r>
        <w:t>is that firms on either side of the threshold are largely the same. If this assumption did not hold, this would call into question the results as the bunching could be due to the differences in firms rather than being caused by the payroll tax threshold. The testing procedure of this assumption is then outlined.</w:t>
      </w:r>
    </w:p>
    <w:p w14:paraId="3EA9DB2D" w14:textId="77777777" w:rsidR="00B0794C" w:rsidRDefault="00B0794C" w:rsidP="00B0794C">
      <w:pPr>
        <w:pStyle w:val="Heading3"/>
      </w:pPr>
      <w:r>
        <w:t>Detecting bunching</w:t>
      </w:r>
    </w:p>
    <w:p w14:paraId="154A205F" w14:textId="77777777" w:rsidR="00B0794C" w:rsidRDefault="00B0794C" w:rsidP="00B0794C">
      <w:r>
        <w:t xml:space="preserve">Bunching is defined as a discontinuity in the probability density function for the variable of interest. Formally, where </w:t>
      </w:r>
      <m:oMath>
        <m:acc>
          <m:accPr>
            <m:chr m:val="̅"/>
            <m:ctrlPr>
              <w:rPr>
                <w:rFonts w:ascii="Cambria Math" w:hAnsi="Cambria Math"/>
                <w:i/>
              </w:rPr>
            </m:ctrlPr>
          </m:accPr>
          <m:e>
            <m:r>
              <w:rPr>
                <w:rFonts w:ascii="Cambria Math" w:hAnsi="Cambria Math"/>
              </w:rPr>
              <m:t>x</m:t>
            </m:r>
          </m:e>
        </m:acc>
      </m:oMath>
      <w:r>
        <w:rPr>
          <w:rFonts w:eastAsiaTheme="minorEastAsia"/>
        </w:rPr>
        <w:t xml:space="preserve"> is the threshold point for the variable of interest (</w:t>
      </w:r>
      <w:r w:rsidRPr="008B2562">
        <w:rPr>
          <w:rFonts w:eastAsiaTheme="minorEastAsia"/>
          <w:i/>
        </w:rPr>
        <w:t>x</w:t>
      </w:r>
      <w:r>
        <w:rPr>
          <w:rFonts w:eastAsiaTheme="minorEastAsia"/>
        </w:rPr>
        <w:t>)</w:t>
      </w:r>
      <w:proofErr w:type="gramStart"/>
      <w:r>
        <w:t>;</w:t>
      </w:r>
      <w:proofErr w:type="gramEnd"/>
    </w:p>
    <w:p w14:paraId="57C899E0" w14:textId="77777777" w:rsidR="00B0794C" w:rsidRPr="00860040" w:rsidRDefault="007265F0" w:rsidP="00B0794C">
      <w:pPr>
        <w:rPr>
          <w:rFonts w:eastAsiaTheme="minorEastAsia"/>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acc>
                    <m:accPr>
                      <m:chr m:val="̅"/>
                      <m:ctrlPr>
                        <w:rPr>
                          <w:rFonts w:ascii="Cambria Math" w:hAnsi="Cambria Math"/>
                          <w:i/>
                        </w:rPr>
                      </m:ctrlPr>
                    </m:accPr>
                    <m:e>
                      <m:r>
                        <w:rPr>
                          <w:rFonts w:ascii="Cambria Math" w:hAnsi="Cambria Math"/>
                        </w:rPr>
                        <m:t>x</m:t>
                      </m:r>
                    </m:e>
                  </m:acc>
                </m:lim>
              </m:limLow>
            </m:fName>
            <m:e>
              <m:r>
                <w:rPr>
                  <w:rFonts w:ascii="Cambria Math" w:hAnsi="Cambria Math"/>
                </w:rPr>
                <m:t>f(x)</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acc>
                    <m:accPr>
                      <m:chr m:val="̅"/>
                      <m:ctrlPr>
                        <w:rPr>
                          <w:rFonts w:ascii="Cambria Math" w:hAnsi="Cambria Math"/>
                          <w:i/>
                        </w:rPr>
                      </m:ctrlPr>
                    </m:accPr>
                    <m:e>
                      <m:r>
                        <w:rPr>
                          <w:rFonts w:ascii="Cambria Math" w:hAnsi="Cambria Math"/>
                        </w:rPr>
                        <m:t>x</m:t>
                      </m:r>
                    </m:e>
                  </m:acc>
                </m:lim>
              </m:limLow>
            </m:fName>
            <m:e>
              <m:r>
                <w:rPr>
                  <w:rFonts w:ascii="Cambria Math" w:hAnsi="Cambria Math"/>
                </w:rPr>
                <m:t>f(x)</m:t>
              </m:r>
            </m:e>
          </m:func>
        </m:oMath>
      </m:oMathPara>
    </w:p>
    <w:p w14:paraId="0FACFD17" w14:textId="19603D12" w:rsidR="00D61906" w:rsidRDefault="00B0794C" w:rsidP="00B0794C">
      <w:pPr>
        <w:rPr>
          <w:rFonts w:eastAsiaTheme="minorEastAsia"/>
        </w:rPr>
      </w:pPr>
      <w:r>
        <w:rPr>
          <w:rFonts w:eastAsiaTheme="minorEastAsia"/>
        </w:rPr>
        <w:t xml:space="preserve">Graphically, the concept is illustrated in Figures 1A and 1B. The Figures show </w:t>
      </w:r>
      <w:r w:rsidR="000273E0">
        <w:rPr>
          <w:rFonts w:eastAsiaTheme="minorEastAsia"/>
        </w:rPr>
        <w:t>variable (</w:t>
      </w:r>
      <w:r w:rsidRPr="00D61906">
        <w:rPr>
          <w:rFonts w:eastAsiaTheme="minorEastAsia"/>
          <w:i/>
        </w:rPr>
        <w:t>x</w:t>
      </w:r>
      <w:r w:rsidR="000273E0">
        <w:rPr>
          <w:rFonts w:eastAsiaTheme="minorEastAsia"/>
          <w:i/>
        </w:rPr>
        <w:t>)</w:t>
      </w:r>
      <w:r>
        <w:rPr>
          <w:rFonts w:eastAsiaTheme="minorEastAsia"/>
        </w:rPr>
        <w:t xml:space="preserve"> from zero to 100 along the horizontal axis. The threshold point is at 50 and is represented with a black line. The stylised result is shown as a blue line. In Figure 1A the blue line approaching 50 from the left and from the right is smooth so there is no bunching present. Conversely, in Figure 1B the blue line is not smooth and jumps as it approaches the threshold</w:t>
      </w:r>
      <w:r w:rsidR="00F613A4">
        <w:rPr>
          <w:rFonts w:eastAsiaTheme="minorEastAsia"/>
        </w:rPr>
        <w:t xml:space="preserve"> point and bunching is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B0794C" w14:paraId="5B778DF3" w14:textId="77777777" w:rsidTr="00E07ACE">
        <w:tc>
          <w:tcPr>
            <w:tcW w:w="4757" w:type="dxa"/>
          </w:tcPr>
          <w:p w14:paraId="7A760E4E" w14:textId="77777777" w:rsidR="00B0794C" w:rsidRPr="00B25E44" w:rsidRDefault="00B0794C" w:rsidP="004272FE">
            <w:pPr>
              <w:pStyle w:val="ChartMainHeading"/>
              <w:rPr>
                <w:rFonts w:eastAsiaTheme="minorEastAsia"/>
              </w:rPr>
            </w:pPr>
            <w:r>
              <w:rPr>
                <w:rFonts w:eastAsiaTheme="minorEastAsia"/>
              </w:rPr>
              <w:t>Figure 1A</w:t>
            </w:r>
          </w:p>
        </w:tc>
        <w:tc>
          <w:tcPr>
            <w:tcW w:w="4757" w:type="dxa"/>
          </w:tcPr>
          <w:p w14:paraId="1E0FB3F5" w14:textId="77777777" w:rsidR="00B0794C" w:rsidRPr="00B25E44" w:rsidRDefault="00B0794C" w:rsidP="004272FE">
            <w:pPr>
              <w:pStyle w:val="ChartMainHeading"/>
              <w:rPr>
                <w:rFonts w:eastAsiaTheme="minorEastAsia"/>
              </w:rPr>
            </w:pPr>
            <w:r>
              <w:rPr>
                <w:rFonts w:eastAsiaTheme="minorEastAsia"/>
              </w:rPr>
              <w:t>Figure 1B</w:t>
            </w:r>
          </w:p>
        </w:tc>
      </w:tr>
      <w:tr w:rsidR="00B0794C" w14:paraId="21D2980E" w14:textId="77777777" w:rsidTr="00E07ACE">
        <w:tc>
          <w:tcPr>
            <w:tcW w:w="4757" w:type="dxa"/>
          </w:tcPr>
          <w:p w14:paraId="148D9C37" w14:textId="5B42B675" w:rsidR="00B0794C" w:rsidRDefault="001212E4" w:rsidP="00645CFF">
            <w:pPr>
              <w:pStyle w:val="ChartGraphic"/>
              <w:rPr>
                <w:rFonts w:eastAsiaTheme="minorEastAsia"/>
              </w:rPr>
            </w:pPr>
            <w:r>
              <w:rPr>
                <w:rFonts w:eastAsiaTheme="minorEastAsia"/>
                <w:noProof/>
              </w:rPr>
              <w:drawing>
                <wp:inline distT="0" distB="0" distL="0" distR="0" wp14:anchorId="3FD25265" wp14:editId="245AAB70">
                  <wp:extent cx="2880000" cy="29381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880000" cy="2938182"/>
                          </a:xfrm>
                          <a:prstGeom prst="rect">
                            <a:avLst/>
                          </a:prstGeom>
                          <a:noFill/>
                          <a:ln>
                            <a:noFill/>
                          </a:ln>
                          <a:extLst>
                            <a:ext uri="{53640926-AAD7-44D8-BBD7-CCE9431645EC}">
                              <a14:shadowObscured xmlns:a14="http://schemas.microsoft.com/office/drawing/2010/main"/>
                            </a:ext>
                          </a:extLst>
                        </pic:spPr>
                      </pic:pic>
                    </a:graphicData>
                  </a:graphic>
                </wp:inline>
              </w:drawing>
            </w:r>
            <w:r w:rsidR="00550818">
              <w:rPr>
                <w:rFonts w:eastAsiaTheme="minorEastAsia"/>
              </w:rPr>
              <w:t xml:space="preserve"> </w:t>
            </w:r>
          </w:p>
        </w:tc>
        <w:tc>
          <w:tcPr>
            <w:tcW w:w="4757" w:type="dxa"/>
          </w:tcPr>
          <w:p w14:paraId="17AEA3E7" w14:textId="6E9FB639" w:rsidR="00550818" w:rsidRDefault="001212E4" w:rsidP="00645CFF">
            <w:pPr>
              <w:pStyle w:val="ChartGraphic"/>
              <w:rPr>
                <w:rFonts w:eastAsiaTheme="minorEastAsia"/>
              </w:rPr>
            </w:pPr>
            <w:r>
              <w:rPr>
                <w:rFonts w:eastAsiaTheme="minorEastAsia"/>
                <w:noProof/>
              </w:rPr>
              <w:drawing>
                <wp:inline distT="0" distB="0" distL="0" distR="0" wp14:anchorId="2C7CEB40" wp14:editId="32026825">
                  <wp:extent cx="2880000" cy="293818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880000" cy="29381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45CFF" w14:paraId="313A19B4" w14:textId="77777777" w:rsidTr="00BA178E">
        <w:tc>
          <w:tcPr>
            <w:tcW w:w="9514" w:type="dxa"/>
            <w:gridSpan w:val="2"/>
          </w:tcPr>
          <w:p w14:paraId="67473145" w14:textId="46A4DA8F" w:rsidR="00645CFF" w:rsidRDefault="00645CFF" w:rsidP="00645CFF">
            <w:pPr>
              <w:pStyle w:val="ChartorTableNote"/>
              <w:spacing w:after="0"/>
              <w:rPr>
                <w:rFonts w:eastAsiaTheme="minorEastAsia"/>
                <w:noProof/>
              </w:rPr>
            </w:pPr>
            <w:r>
              <w:rPr>
                <w:rFonts w:eastAsiaTheme="minorEastAsia"/>
              </w:rPr>
              <w:t>Source: Treasury.</w:t>
            </w:r>
          </w:p>
        </w:tc>
      </w:tr>
    </w:tbl>
    <w:p w14:paraId="3D61785D" w14:textId="77777777" w:rsidR="00645CFF" w:rsidRDefault="00645CFF" w:rsidP="00645CFF">
      <w:pPr>
        <w:pStyle w:val="SingleParagraph"/>
      </w:pPr>
    </w:p>
    <w:p w14:paraId="27202156" w14:textId="2C59EAF4" w:rsidR="00D319FB" w:rsidRDefault="00B0794C" w:rsidP="001079E4">
      <w:pPr>
        <w:spacing w:before="120"/>
      </w:pPr>
      <w:r>
        <w:t xml:space="preserve">A graphical representation can be sufficient to determine </w:t>
      </w:r>
      <w:r w:rsidR="000A3F5D">
        <w:t xml:space="preserve">if </w:t>
      </w:r>
      <w:r>
        <w:t xml:space="preserve">bunching </w:t>
      </w:r>
      <w:r w:rsidR="000A3F5D">
        <w:t>i</w:t>
      </w:r>
      <w:r>
        <w:t xml:space="preserve">s </w:t>
      </w:r>
      <w:r w:rsidR="000A3F5D">
        <w:t>present</w:t>
      </w:r>
      <w:r>
        <w:t xml:space="preserve">. This was used in </w:t>
      </w:r>
      <w:proofErr w:type="spellStart"/>
      <w:r>
        <w:t>Saez</w:t>
      </w:r>
      <w:proofErr w:type="spellEnd"/>
      <w:r>
        <w:t xml:space="preserve"> (2010), </w:t>
      </w:r>
      <w:proofErr w:type="spellStart"/>
      <w:r>
        <w:t>Kleven</w:t>
      </w:r>
      <w:proofErr w:type="spellEnd"/>
      <w:r>
        <w:t xml:space="preserve"> and Waseem (2013) and </w:t>
      </w:r>
      <w:proofErr w:type="spellStart"/>
      <w:r>
        <w:t>Garicano</w:t>
      </w:r>
      <w:proofErr w:type="spellEnd"/>
      <w:r>
        <w:t xml:space="preserve">, </w:t>
      </w:r>
      <w:proofErr w:type="spellStart"/>
      <w:r>
        <w:t>Lelarge</w:t>
      </w:r>
      <w:proofErr w:type="spellEnd"/>
      <w:r>
        <w:t xml:space="preserve"> and Van Reenen (2016). </w:t>
      </w:r>
      <w:r w:rsidR="001212E4">
        <w:t xml:space="preserve">However, conclusions using this technique can be influenced by the size of </w:t>
      </w:r>
      <w:r w:rsidR="00D61906">
        <w:t xml:space="preserve">the </w:t>
      </w:r>
      <w:r w:rsidR="001212E4">
        <w:t>bins</w:t>
      </w:r>
      <w:r w:rsidR="00D61906">
        <w:t xml:space="preserve"> </w:t>
      </w:r>
      <w:r w:rsidR="00F613A4">
        <w:t>chosen.</w:t>
      </w:r>
    </w:p>
    <w:p w14:paraId="16ABA853" w14:textId="4EB4F1B9" w:rsidR="00B57867" w:rsidRDefault="00D319FB" w:rsidP="001212E4">
      <w:r>
        <w:lastRenderedPageBreak/>
        <w:t xml:space="preserve">To illustrate the effect that the size of the bins has on the results, Charts 2A and 2B have different bin sizes. </w:t>
      </w:r>
      <w:r w:rsidR="001212E4">
        <w:t>Chart 2A shows the distribution of total wages of firms in Western Australia in 20</w:t>
      </w:r>
      <w:r>
        <w:t>13-</w:t>
      </w:r>
      <w:r w:rsidR="001212E4">
        <w:t xml:space="preserve">14 for a selected range. The </w:t>
      </w:r>
      <w:r>
        <w:t>bins</w:t>
      </w:r>
      <w:r w:rsidR="001212E4">
        <w:t xml:space="preserve"> increase by $10,000. In 2014 the payroll tax threshold was $750,000. The two</w:t>
      </w:r>
      <w:r w:rsidR="00645CFF">
        <w:t> </w:t>
      </w:r>
      <w:r w:rsidR="001212E4">
        <w:t>red bars represent firms just above and just below the threshold. There is a slight difference in height between these red bars, but it is difficult to state categorically whether the difference is large enough to claim that bunching has occurred.</w:t>
      </w:r>
    </w:p>
    <w:p w14:paraId="12862047" w14:textId="1F581735" w:rsidR="00D319FB" w:rsidRDefault="00D319FB" w:rsidP="0019016C">
      <w:r>
        <w:t>Chart</w:t>
      </w:r>
      <w:r w:rsidRPr="00E96164">
        <w:t xml:space="preserve"> </w:t>
      </w:r>
      <w:r>
        <w:t>2</w:t>
      </w:r>
      <w:r w:rsidRPr="00E96164">
        <w:t xml:space="preserve">B is the same as </w:t>
      </w:r>
      <w:r>
        <w:t>Chart</w:t>
      </w:r>
      <w:r w:rsidRPr="00E96164">
        <w:t xml:space="preserve"> </w:t>
      </w:r>
      <w:r>
        <w:t>2</w:t>
      </w:r>
      <w:r w:rsidRPr="00E96164">
        <w:t xml:space="preserve">A, except that the </w:t>
      </w:r>
      <w:r>
        <w:t>bin size</w:t>
      </w:r>
      <w:r w:rsidRPr="00E96164">
        <w:t xml:space="preserve"> </w:t>
      </w:r>
      <w:r>
        <w:t xml:space="preserve">is </w:t>
      </w:r>
      <w:r w:rsidRPr="00E96164">
        <w:t>$20,000</w:t>
      </w:r>
      <w:r>
        <w:t xml:space="preserve"> instead of $10,000</w:t>
      </w:r>
      <w:r w:rsidRPr="00E96164">
        <w:t>. The gap between the two red bars is much more</w:t>
      </w:r>
      <w:r>
        <w:t xml:space="preserve"> pronounced in Chart 2B than the gap</w:t>
      </w:r>
      <w:r w:rsidRPr="00E96164">
        <w:t xml:space="preserve"> in </w:t>
      </w:r>
      <w:r>
        <w:t>Chart 2</w:t>
      </w:r>
      <w:r w:rsidRPr="00E96164">
        <w:t xml:space="preserve">A. This demonstrates that the size of the bins can </w:t>
      </w:r>
      <w:r>
        <w:t>influence the perception of whether bunching has occurred</w:t>
      </w:r>
      <w:r w:rsidRPr="00E96164">
        <w:t>.</w:t>
      </w:r>
    </w:p>
    <w:p w14:paraId="2C132B76" w14:textId="1C13A68C" w:rsidR="00F613A4" w:rsidRDefault="00F613A4" w:rsidP="0003678D">
      <w:pPr>
        <w:pStyle w:val="TableMainHeading"/>
      </w:pPr>
      <w:r>
        <w:t>Taxable</w:t>
      </w:r>
      <w:r w:rsidRPr="003B6889">
        <w:t xml:space="preserve"> wages in Western Australia </w:t>
      </w:r>
      <w:r w:rsidR="000273E0">
        <w:t xml:space="preserve">2013-14 </w:t>
      </w:r>
      <w:r w:rsidRPr="003B6889">
        <w:t>- selected range and different bin sizes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3B6889" w14:paraId="1E6FD55B" w14:textId="77777777" w:rsidTr="003B6889">
        <w:tc>
          <w:tcPr>
            <w:tcW w:w="4757" w:type="dxa"/>
          </w:tcPr>
          <w:p w14:paraId="3F98B59F" w14:textId="77777777" w:rsidR="003B6889" w:rsidRPr="003B6889" w:rsidRDefault="003B6889" w:rsidP="004272FE">
            <w:pPr>
              <w:pStyle w:val="ChartMainHeading"/>
            </w:pPr>
            <w:r w:rsidRPr="003B6889">
              <w:t>Chart 2A:</w:t>
            </w:r>
            <w:r w:rsidR="000A3F5D">
              <w:t xml:space="preserve"> </w:t>
            </w:r>
            <w:r w:rsidRPr="003B6889">
              <w:t>Bin size $10,000</w:t>
            </w:r>
          </w:p>
        </w:tc>
        <w:tc>
          <w:tcPr>
            <w:tcW w:w="4757" w:type="dxa"/>
          </w:tcPr>
          <w:p w14:paraId="607C5FB0" w14:textId="77777777" w:rsidR="003B6889" w:rsidRPr="003B6889" w:rsidRDefault="003B6889" w:rsidP="004272FE">
            <w:pPr>
              <w:pStyle w:val="ChartMainHeading"/>
            </w:pPr>
            <w:r>
              <w:t>Chart 2B</w:t>
            </w:r>
            <w:r w:rsidRPr="003B6889">
              <w:t>:</w:t>
            </w:r>
            <w:r w:rsidR="000A3F5D">
              <w:t xml:space="preserve"> </w:t>
            </w:r>
            <w:r w:rsidRPr="003B6889">
              <w:t>Bin size $20,000</w:t>
            </w:r>
          </w:p>
        </w:tc>
      </w:tr>
      <w:tr w:rsidR="003B6889" w14:paraId="5FA325FE" w14:textId="77777777" w:rsidTr="003B6889">
        <w:tc>
          <w:tcPr>
            <w:tcW w:w="4757" w:type="dxa"/>
          </w:tcPr>
          <w:p w14:paraId="4358C58C" w14:textId="0E27191D" w:rsidR="00550818" w:rsidRDefault="00B21A69" w:rsidP="006271CF">
            <w:r>
              <w:rPr>
                <w:noProof/>
              </w:rPr>
              <w:drawing>
                <wp:inline distT="0" distB="0" distL="0" distR="0" wp14:anchorId="2DC5191A" wp14:editId="5A0D827B">
                  <wp:extent cx="2877820" cy="2877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7820" cy="2877820"/>
                          </a:xfrm>
                          <a:prstGeom prst="rect">
                            <a:avLst/>
                          </a:prstGeom>
                          <a:noFill/>
                        </pic:spPr>
                      </pic:pic>
                    </a:graphicData>
                  </a:graphic>
                </wp:inline>
              </w:drawing>
            </w:r>
          </w:p>
        </w:tc>
        <w:tc>
          <w:tcPr>
            <w:tcW w:w="4757" w:type="dxa"/>
          </w:tcPr>
          <w:p w14:paraId="3F9F5C42" w14:textId="60525D4B" w:rsidR="003B6889" w:rsidRDefault="00B21A69" w:rsidP="001212E4">
            <w:r>
              <w:rPr>
                <w:noProof/>
              </w:rPr>
              <w:drawing>
                <wp:inline distT="0" distB="0" distL="0" distR="0" wp14:anchorId="1B29707B" wp14:editId="349557B4">
                  <wp:extent cx="2877820" cy="288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7820" cy="2883535"/>
                          </a:xfrm>
                          <a:prstGeom prst="rect">
                            <a:avLst/>
                          </a:prstGeom>
                          <a:noFill/>
                        </pic:spPr>
                      </pic:pic>
                    </a:graphicData>
                  </a:graphic>
                </wp:inline>
              </w:drawing>
            </w:r>
          </w:p>
        </w:tc>
      </w:tr>
      <w:tr w:rsidR="00645CFF" w14:paraId="238DF7FC" w14:textId="77777777" w:rsidTr="0039171D">
        <w:tc>
          <w:tcPr>
            <w:tcW w:w="9514" w:type="dxa"/>
            <w:gridSpan w:val="2"/>
          </w:tcPr>
          <w:p w14:paraId="3707066B" w14:textId="65B81BD5" w:rsidR="00645CFF" w:rsidRDefault="00645CFF" w:rsidP="00645CFF">
            <w:pPr>
              <w:pStyle w:val="ChartorTableNote"/>
              <w:spacing w:after="0"/>
              <w:rPr>
                <w:noProof/>
              </w:rPr>
            </w:pPr>
            <w:r>
              <w:t>Source: BLADE.</w:t>
            </w:r>
          </w:p>
        </w:tc>
      </w:tr>
    </w:tbl>
    <w:p w14:paraId="631094BE" w14:textId="77777777" w:rsidR="00645CFF" w:rsidRDefault="00645CFF" w:rsidP="00645CFF">
      <w:pPr>
        <w:pStyle w:val="SingleParagraph"/>
      </w:pPr>
    </w:p>
    <w:p w14:paraId="10F56F32" w14:textId="77777777" w:rsidR="00B0794C" w:rsidRPr="00645CFF" w:rsidRDefault="00F82D72" w:rsidP="00B0794C">
      <w:pPr>
        <w:rPr>
          <w:spacing w:val="-2"/>
        </w:rPr>
      </w:pPr>
      <w:r w:rsidRPr="00645CFF">
        <w:rPr>
          <w:spacing w:val="-2"/>
        </w:rPr>
        <w:t>To negate this issue, f</w:t>
      </w:r>
      <w:r w:rsidR="00B0794C" w:rsidRPr="00645CFF">
        <w:rPr>
          <w:spacing w:val="-2"/>
        </w:rPr>
        <w:t xml:space="preserve">ormal testing methods for bunching do exist. An early test was developed by McCrary (2008). </w:t>
      </w:r>
      <w:r w:rsidR="000A3F5D" w:rsidRPr="00645CFF">
        <w:rPr>
          <w:spacing w:val="-2"/>
        </w:rPr>
        <w:t>This test requires</w:t>
      </w:r>
      <w:r w:rsidR="001212E4" w:rsidRPr="00645CFF">
        <w:rPr>
          <w:spacing w:val="-2"/>
        </w:rPr>
        <w:t xml:space="preserve"> the binning </w:t>
      </w:r>
      <w:r w:rsidR="00B0794C" w:rsidRPr="00645CFF">
        <w:rPr>
          <w:spacing w:val="-2"/>
        </w:rPr>
        <w:t xml:space="preserve">of the data then the bins </w:t>
      </w:r>
      <w:r w:rsidR="000A3F5D" w:rsidRPr="00645CFF">
        <w:rPr>
          <w:spacing w:val="-2"/>
        </w:rPr>
        <w:t>a</w:t>
      </w:r>
      <w:r w:rsidR="00B0794C" w:rsidRPr="00645CFF">
        <w:rPr>
          <w:spacing w:val="-2"/>
        </w:rPr>
        <w:t>re used to estimate a curve using local linear regression</w:t>
      </w:r>
      <w:r w:rsidR="009B6F05" w:rsidRPr="00645CFF">
        <w:rPr>
          <w:spacing w:val="-2"/>
        </w:rPr>
        <w:t>.</w:t>
      </w:r>
      <w:r w:rsidR="00B0794C" w:rsidRPr="00645CFF">
        <w:rPr>
          <w:rStyle w:val="FootnoteReference"/>
          <w:spacing w:val="-2"/>
        </w:rPr>
        <w:footnoteReference w:id="11"/>
      </w:r>
      <w:r w:rsidR="00B0794C" w:rsidRPr="00645CFF">
        <w:rPr>
          <w:spacing w:val="-2"/>
        </w:rPr>
        <w:t xml:space="preserve"> </w:t>
      </w:r>
      <w:proofErr w:type="spellStart"/>
      <w:r w:rsidR="00B0794C" w:rsidRPr="00645CFF">
        <w:rPr>
          <w:spacing w:val="-2"/>
        </w:rPr>
        <w:t>Cattaneo</w:t>
      </w:r>
      <w:proofErr w:type="spellEnd"/>
      <w:r w:rsidR="00B0794C" w:rsidRPr="00645CFF">
        <w:rPr>
          <w:spacing w:val="-2"/>
        </w:rPr>
        <w:t xml:space="preserve">, </w:t>
      </w:r>
      <w:proofErr w:type="spellStart"/>
      <w:r w:rsidR="00B0794C" w:rsidRPr="00645CFF">
        <w:rPr>
          <w:spacing w:val="-2"/>
        </w:rPr>
        <w:t>Jansson</w:t>
      </w:r>
      <w:proofErr w:type="spellEnd"/>
      <w:r w:rsidR="00B0794C" w:rsidRPr="00645CFF">
        <w:rPr>
          <w:spacing w:val="-2"/>
        </w:rPr>
        <w:t xml:space="preserve"> and Ma (2017a) introduce another method that does not require pre</w:t>
      </w:r>
      <w:r w:rsidR="00B0794C" w:rsidRPr="00645CFF">
        <w:rPr>
          <w:spacing w:val="-2"/>
        </w:rPr>
        <w:noBreakHyphen/>
        <w:t>binning of the data and uses local polynomial regression</w:t>
      </w:r>
      <w:r w:rsidR="001212E4" w:rsidRPr="00645CFF">
        <w:rPr>
          <w:spacing w:val="-2"/>
        </w:rPr>
        <w:t xml:space="preserve"> to smooth the data</w:t>
      </w:r>
      <w:r w:rsidR="00B0794C" w:rsidRPr="00645CFF">
        <w:rPr>
          <w:spacing w:val="-2"/>
        </w:rPr>
        <w:t xml:space="preserve">. According to </w:t>
      </w:r>
      <w:proofErr w:type="spellStart"/>
      <w:r w:rsidR="00B0794C" w:rsidRPr="00645CFF">
        <w:rPr>
          <w:spacing w:val="-2"/>
        </w:rPr>
        <w:t>Cattaneo</w:t>
      </w:r>
      <w:proofErr w:type="spellEnd"/>
      <w:r w:rsidR="00B0794C" w:rsidRPr="00645CFF">
        <w:rPr>
          <w:spacing w:val="-2"/>
        </w:rPr>
        <w:t xml:space="preserve">, </w:t>
      </w:r>
      <w:proofErr w:type="spellStart"/>
      <w:r w:rsidR="00B0794C" w:rsidRPr="00645CFF">
        <w:rPr>
          <w:spacing w:val="-2"/>
        </w:rPr>
        <w:t>Jansson</w:t>
      </w:r>
      <w:proofErr w:type="spellEnd"/>
      <w:r w:rsidR="00B0794C" w:rsidRPr="00645CFF">
        <w:rPr>
          <w:spacing w:val="-2"/>
        </w:rPr>
        <w:t xml:space="preserve"> and Ma (2017a) this technique leads to improvements in size and power, under certain assumptions. This paper</w:t>
      </w:r>
      <w:r w:rsidR="00A72EF1" w:rsidRPr="00645CFF">
        <w:rPr>
          <w:spacing w:val="-2"/>
        </w:rPr>
        <w:t xml:space="preserve"> follows </w:t>
      </w:r>
      <w:proofErr w:type="spellStart"/>
      <w:r w:rsidR="00A72EF1" w:rsidRPr="00645CFF">
        <w:rPr>
          <w:spacing w:val="-2"/>
        </w:rPr>
        <w:t>Cattaneo</w:t>
      </w:r>
      <w:proofErr w:type="spellEnd"/>
      <w:r w:rsidR="00A72EF1" w:rsidRPr="00645CFF">
        <w:rPr>
          <w:spacing w:val="-2"/>
        </w:rPr>
        <w:t xml:space="preserve">, </w:t>
      </w:r>
      <w:proofErr w:type="spellStart"/>
      <w:r w:rsidR="00A72EF1" w:rsidRPr="00645CFF">
        <w:rPr>
          <w:spacing w:val="-2"/>
        </w:rPr>
        <w:t>Jansson</w:t>
      </w:r>
      <w:proofErr w:type="spellEnd"/>
      <w:r w:rsidR="00A72EF1" w:rsidRPr="00645CFF">
        <w:rPr>
          <w:spacing w:val="-2"/>
        </w:rPr>
        <w:t xml:space="preserve"> and Ma (2017b) in implementing </w:t>
      </w:r>
      <w:r w:rsidR="00B0794C" w:rsidRPr="00645CFF">
        <w:rPr>
          <w:spacing w:val="-2"/>
        </w:rPr>
        <w:t>this technique.</w:t>
      </w:r>
    </w:p>
    <w:p w14:paraId="32B7968C" w14:textId="01F992D4" w:rsidR="00D319FB" w:rsidRDefault="00A72EF1" w:rsidP="001212E4">
      <w:r>
        <w:t>The method used in this paper is akin to s</w:t>
      </w:r>
      <w:r w:rsidR="00F82D72">
        <w:t xml:space="preserve">moothing </w:t>
      </w:r>
      <w:r>
        <w:t xml:space="preserve">the observed data. The smoothing </w:t>
      </w:r>
      <w:r w:rsidR="00F82D72">
        <w:t>i</w:t>
      </w:r>
      <w:r w:rsidR="001212E4">
        <w:t xml:space="preserve">s done separately for observations </w:t>
      </w:r>
      <w:r>
        <w:t xml:space="preserve">above and </w:t>
      </w:r>
      <w:r w:rsidR="001212E4">
        <w:t>below the cut off threshold.</w:t>
      </w:r>
      <w:r w:rsidR="00B21A69">
        <w:t xml:space="preserve"> As an example, t</w:t>
      </w:r>
      <w:r w:rsidR="001212E4">
        <w:t xml:space="preserve">he solid blue lines in </w:t>
      </w:r>
      <w:r w:rsidR="00956E89">
        <w:t>Chart</w:t>
      </w:r>
      <w:r w:rsidR="001212E4">
        <w:t xml:space="preserve"> </w:t>
      </w:r>
      <w:r w:rsidR="00956E89">
        <w:t>2</w:t>
      </w:r>
      <w:r w:rsidR="001212E4">
        <w:t>C are the smoothed data</w:t>
      </w:r>
      <w:r w:rsidR="00F82D72">
        <w:t xml:space="preserve"> used in Charts </w:t>
      </w:r>
      <w:r w:rsidR="00C82609">
        <w:t>2</w:t>
      </w:r>
      <w:r w:rsidR="00F82D72">
        <w:t xml:space="preserve">A and </w:t>
      </w:r>
      <w:r w:rsidR="00C82609">
        <w:t>2</w:t>
      </w:r>
      <w:r w:rsidR="00F82D72">
        <w:t>B</w:t>
      </w:r>
      <w:r w:rsidR="001212E4">
        <w:t xml:space="preserve">. The dashed red lines in </w:t>
      </w:r>
      <w:r w:rsidR="00956E89">
        <w:t>Chart</w:t>
      </w:r>
      <w:r w:rsidR="001212E4">
        <w:t xml:space="preserve"> </w:t>
      </w:r>
      <w:r w:rsidR="00956E89">
        <w:t>2</w:t>
      </w:r>
      <w:r w:rsidR="001212E4">
        <w:t>C represent the 95</w:t>
      </w:r>
      <w:r w:rsidR="00F82D72">
        <w:t> </w:t>
      </w:r>
      <w:r w:rsidR="001212E4">
        <w:t>per</w:t>
      </w:r>
      <w:r w:rsidR="00F82D72">
        <w:t> </w:t>
      </w:r>
      <w:r w:rsidR="001212E4">
        <w:t xml:space="preserve">cent confidence interval. Notice that the solid blue line to the left of the threshold is above </w:t>
      </w:r>
      <w:r w:rsidR="007306A1">
        <w:t xml:space="preserve">the upper bound 95 per cent confidence interval indicated by the top </w:t>
      </w:r>
      <w:r w:rsidR="001212E4">
        <w:t xml:space="preserve">dashed red lines to the right of the $750,000 threshold. This means that the test </w:t>
      </w:r>
      <w:r>
        <w:t>indicates</w:t>
      </w:r>
      <w:r w:rsidR="001212E4">
        <w:t xml:space="preserve"> that bunching has occurred.</w:t>
      </w:r>
      <w:r w:rsidR="001212E4">
        <w:rPr>
          <w:rStyle w:val="FootnoteReference"/>
        </w:rPr>
        <w:footnoteReference w:id="12"/>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514"/>
      </w:tblGrid>
      <w:tr w:rsidR="001212E4" w14:paraId="4ACDD344" w14:textId="77777777" w:rsidTr="00E51953">
        <w:tc>
          <w:tcPr>
            <w:tcW w:w="9514" w:type="dxa"/>
          </w:tcPr>
          <w:p w14:paraId="42F1A182" w14:textId="77777777" w:rsidR="001212E4" w:rsidRPr="00542A1D" w:rsidRDefault="001212E4" w:rsidP="004272FE">
            <w:pPr>
              <w:pStyle w:val="ChartMainHeading"/>
            </w:pPr>
            <w:r w:rsidRPr="00542A1D">
              <w:lastRenderedPageBreak/>
              <w:t>Chart 2C: Distribution of t</w:t>
            </w:r>
            <w:r w:rsidR="00D319FB" w:rsidRPr="00542A1D">
              <w:t>axable</w:t>
            </w:r>
            <w:r w:rsidRPr="00542A1D">
              <w:t xml:space="preserve"> wages in Western Australia in 20</w:t>
            </w:r>
            <w:r w:rsidR="00D319FB" w:rsidRPr="00542A1D">
              <w:t>13-</w:t>
            </w:r>
            <w:r w:rsidRPr="00542A1D">
              <w:t>14 – smoothed series</w:t>
            </w:r>
          </w:p>
        </w:tc>
      </w:tr>
      <w:tr w:rsidR="001212E4" w14:paraId="799AA778" w14:textId="77777777" w:rsidTr="00E51953">
        <w:tc>
          <w:tcPr>
            <w:tcW w:w="9514" w:type="dxa"/>
          </w:tcPr>
          <w:p w14:paraId="717FE820" w14:textId="77777777" w:rsidR="00550818" w:rsidRPr="00550818" w:rsidRDefault="001212E4" w:rsidP="00550818">
            <w:pPr>
              <w:spacing w:after="0"/>
              <w:jc w:val="center"/>
              <w:rPr>
                <w:sz w:val="16"/>
                <w:szCs w:val="16"/>
              </w:rPr>
            </w:pPr>
            <w:r>
              <w:rPr>
                <w:noProof/>
              </w:rPr>
              <w:drawing>
                <wp:inline distT="0" distB="0" distL="0" distR="0" wp14:anchorId="4D854DC8" wp14:editId="0E05CF52">
                  <wp:extent cx="5608955" cy="25787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8955" cy="2578735"/>
                          </a:xfrm>
                          <a:prstGeom prst="rect">
                            <a:avLst/>
                          </a:prstGeom>
                          <a:noFill/>
                        </pic:spPr>
                      </pic:pic>
                    </a:graphicData>
                  </a:graphic>
                </wp:inline>
              </w:drawing>
            </w:r>
          </w:p>
          <w:p w14:paraId="552EA5C7" w14:textId="7607E4B8" w:rsidR="001212E4" w:rsidRDefault="00550818" w:rsidP="006271CF">
            <w:r>
              <w:t>Source: BLADE</w:t>
            </w:r>
            <w:r w:rsidR="006271CF">
              <w:t>.</w:t>
            </w:r>
          </w:p>
        </w:tc>
      </w:tr>
    </w:tbl>
    <w:p w14:paraId="3D17A12D" w14:textId="77777777" w:rsidR="00C82609" w:rsidRDefault="00C82609" w:rsidP="00B0794C">
      <w:r>
        <w:t>The formal test is therefore:</w:t>
      </w:r>
    </w:p>
    <w:p w14:paraId="4E8F1B7B" w14:textId="77777777" w:rsidR="00C82609" w:rsidRPr="00C82609" w:rsidRDefault="007265F0" w:rsidP="00B0794C">
      <w:pPr>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O</m:t>
              </m:r>
            </m:sub>
          </m:sSub>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f</m:t>
                  </m:r>
                </m:e>
              </m:acc>
            </m:e>
            <m:sub>
              <m:r>
                <w:rPr>
                  <w:rFonts w:ascii="Cambria Math" w:hAnsi="Cambria Math"/>
                </w:rPr>
                <m:t>+,p</m:t>
              </m:r>
            </m:sub>
          </m:sSub>
          <m:d>
            <m:dPr>
              <m:ctrlPr>
                <w:rPr>
                  <w:rFonts w:ascii="Cambria Math" w:hAnsi="Cambria Math"/>
                  <w:i/>
                </w:rPr>
              </m:ctrlPr>
            </m:dPr>
            <m:e>
              <m:r>
                <w:rPr>
                  <w:rFonts w:ascii="Cambria Math" w:hAnsi="Cambria Math"/>
                </w:rPr>
                <m:t>h</m:t>
              </m:r>
            </m:e>
          </m:d>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oMath>
      </m:oMathPara>
    </w:p>
    <w:p w14:paraId="631E193F" w14:textId="77777777" w:rsidR="00C82609" w:rsidRPr="009E58F2" w:rsidRDefault="007265F0" w:rsidP="00B0794C">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f</m:t>
                  </m:r>
                </m:e>
              </m:acc>
            </m:e>
            <m:sub>
              <m:r>
                <w:rPr>
                  <w:rFonts w:ascii="Cambria Math" w:hAnsi="Cambria Math"/>
                </w:rPr>
                <m:t>+,p</m:t>
              </m:r>
            </m:sub>
          </m:sSub>
          <m:d>
            <m:dPr>
              <m:ctrlPr>
                <w:rPr>
                  <w:rFonts w:ascii="Cambria Math" w:hAnsi="Cambria Math"/>
                  <w:i/>
                </w:rPr>
              </m:ctrlPr>
            </m:dPr>
            <m:e>
              <m:r>
                <w:rPr>
                  <w:rFonts w:ascii="Cambria Math" w:hAnsi="Cambria Math"/>
                </w:rPr>
                <m:t>h</m:t>
              </m:r>
            </m:e>
          </m:d>
          <m:r>
            <w:rPr>
              <w:rFonts w:ascii="Cambria Math" w:eastAsiaTheme="minorEastAsia" w:hAnsi="Cambria Math"/>
            </w:rPr>
            <m:t>&lt;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oMath>
      </m:oMathPara>
    </w:p>
    <w:p w14:paraId="14BB5E61" w14:textId="77777777" w:rsidR="009E58F2" w:rsidRDefault="009E58F2" w:rsidP="00B0794C">
      <w:pPr>
        <w:rPr>
          <w:rFonts w:eastAsiaTheme="minorEastAsia"/>
        </w:rPr>
      </w:pPr>
      <w:r>
        <w:rPr>
          <w:rFonts w:eastAsiaTheme="minorEastAsia"/>
        </w:rPr>
        <w:t xml:space="preserve">Where </w:t>
      </w:r>
      <w:proofErr w:type="gramStart"/>
      <w:r>
        <w:rPr>
          <w:rFonts w:eastAsiaTheme="minorEastAsia"/>
        </w:rPr>
        <w:t xml:space="preserve">the </w:t>
      </w:r>
      <m:oMath>
        <m:sSub>
          <m:sSubPr>
            <m:ctrlPr>
              <w:rPr>
                <w:rFonts w:ascii="Cambria Math" w:hAnsi="Cambria Math"/>
                <w:i/>
              </w:rPr>
            </m:ctrlPr>
          </m:sSubPr>
          <m:e>
            <m:acc>
              <m:accPr>
                <m:ctrlPr>
                  <w:rPr>
                    <w:rFonts w:ascii="Cambria Math" w:hAnsi="Cambria Math"/>
                    <w:i/>
                  </w:rPr>
                </m:ctrlPr>
              </m:accPr>
              <m:e>
                <m:r>
                  <w:rPr>
                    <w:rFonts w:ascii="Cambria Math" w:hAnsi="Cambria Math"/>
                  </w:rPr>
                  <m:t>f</m:t>
                </m:r>
              </m:e>
            </m:acc>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m:t>
                </m:r>
              </m:sub>
            </m:sSub>
          </m:e>
        </m:d>
      </m:oMath>
      <w:r w:rsidR="00B4335C">
        <w:rPr>
          <w:rFonts w:eastAsiaTheme="minorEastAsia"/>
        </w:rPr>
        <w:t xml:space="preserve"> and</w:t>
      </w:r>
      <w:proofErr w:type="gramEnd"/>
      <w:r w:rsidR="00B4335C">
        <w:rPr>
          <w:rFonts w:eastAsiaTheme="minorEastAsia"/>
        </w:rPr>
        <w:t xml:space="preserv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m:t>
                </m:r>
              </m:sub>
            </m:sSub>
          </m:e>
        </m:d>
      </m:oMath>
      <w:r w:rsidR="00B4335C">
        <w:rPr>
          <w:rFonts w:eastAsiaTheme="minorEastAsia"/>
        </w:rPr>
        <w:t xml:space="preserve"> are the local polynomial estimators for the right and left respectively for the bandwidth (h). The test statistic then becomes:</w:t>
      </w:r>
    </w:p>
    <w:p w14:paraId="73207691" w14:textId="77777777" w:rsidR="00B4335C" w:rsidRPr="00B4335C" w:rsidRDefault="007265F0" w:rsidP="00B0794C">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f</m:t>
                      </m:r>
                    </m:e>
                  </m:acc>
                </m:e>
                <m:sub>
                  <m:r>
                    <w:rPr>
                      <w:rFonts w:ascii="Cambria Math" w:hAnsi="Cambria Math"/>
                    </w:rPr>
                    <m:t>+,p</m:t>
                  </m:r>
                </m:sub>
              </m:sSub>
              <m:d>
                <m:dPr>
                  <m:ctrlPr>
                    <w:rPr>
                      <w:rFonts w:ascii="Cambria Math" w:hAnsi="Cambria Math"/>
                      <w:i/>
                    </w:rPr>
                  </m:ctrlPr>
                </m:dPr>
                <m:e>
                  <m:r>
                    <w:rPr>
                      <w:rFonts w:ascii="Cambria Math" w:hAnsi="Cambria Math"/>
                    </w:rPr>
                    <m:t>h</m:t>
                  </m:r>
                </m:e>
              </m:d>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num>
            <m:den>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V</m:t>
                      </m:r>
                    </m:e>
                  </m:acc>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den>
          </m:f>
          <m:r>
            <w:rPr>
              <w:rFonts w:ascii="Cambria Math" w:eastAsiaTheme="minorEastAsia" w:hAnsi="Cambria Math"/>
            </w:rPr>
            <m:t xml:space="preserve"> </m:t>
          </m:r>
        </m:oMath>
      </m:oMathPara>
    </w:p>
    <w:p w14:paraId="3F7195E2" w14:textId="77777777" w:rsidR="00B4335C" w:rsidRDefault="00B4335C" w:rsidP="00B0794C">
      <w:pPr>
        <w:rPr>
          <w:rFonts w:eastAsiaTheme="minorEastAsia"/>
        </w:rPr>
      </w:pPr>
      <w:r>
        <w:rPr>
          <w:rFonts w:eastAsiaTheme="minorEastAsia"/>
        </w:rPr>
        <w:t xml:space="preserve">Where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V</m:t>
                </m:r>
              </m:e>
            </m:acc>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h</m:t>
            </m:r>
          </m:e>
        </m:d>
      </m:oMath>
      <w:r w:rsidR="001C11BC">
        <w:rPr>
          <w:rFonts w:eastAsiaTheme="minorEastAsia"/>
        </w:rPr>
        <w:t xml:space="preserve"> is the standard error as defined in Cattaneo, Jansson and Ma (2017</w:t>
      </w:r>
      <w:r w:rsidR="0014539C">
        <w:rPr>
          <w:rFonts w:eastAsiaTheme="minorEastAsia"/>
        </w:rPr>
        <w:t>b</w:t>
      </w:r>
      <w:r w:rsidR="001C11BC">
        <w:rPr>
          <w:rFonts w:eastAsiaTheme="minorEastAsia"/>
        </w:rPr>
        <w:t>)</w:t>
      </w:r>
      <w:r w:rsidR="0014539C">
        <w:rPr>
          <w:rFonts w:eastAsiaTheme="minorEastAsia"/>
        </w:rPr>
        <w:t xml:space="preserve"> for instances where the bandwidths are unequal</w:t>
      </w:r>
      <w:r w:rsidR="001C11BC">
        <w:rPr>
          <w:rFonts w:eastAsiaTheme="minorEastAsia"/>
        </w:rPr>
        <w:t>.</w:t>
      </w:r>
    </w:p>
    <w:p w14:paraId="038FC6A9" w14:textId="0E867DD6" w:rsidR="008C7390" w:rsidRDefault="00F47385" w:rsidP="00B0794C">
      <w:pPr>
        <w:rPr>
          <w:rFonts w:eastAsiaTheme="minorEastAsia"/>
        </w:rPr>
      </w:pPr>
      <w:r>
        <w:rPr>
          <w:rFonts w:eastAsiaTheme="minorEastAsia"/>
        </w:rPr>
        <w:t xml:space="preserve">This </w:t>
      </w:r>
      <w:r w:rsidR="008C7390">
        <w:rPr>
          <w:rFonts w:eastAsiaTheme="minorEastAsia"/>
        </w:rPr>
        <w:t xml:space="preserve">is a non-parametric </w:t>
      </w:r>
      <w:r>
        <w:rPr>
          <w:rFonts w:eastAsiaTheme="minorEastAsia"/>
        </w:rPr>
        <w:t>method</w:t>
      </w:r>
      <w:r w:rsidR="008C7390">
        <w:rPr>
          <w:rFonts w:eastAsiaTheme="minorEastAsia"/>
        </w:rPr>
        <w:t xml:space="preserve"> and </w:t>
      </w:r>
      <w:r>
        <w:rPr>
          <w:rFonts w:eastAsiaTheme="minorEastAsia"/>
        </w:rPr>
        <w:t xml:space="preserve">is flexible </w:t>
      </w:r>
      <w:r w:rsidR="008C7390">
        <w:rPr>
          <w:rFonts w:eastAsiaTheme="minorEastAsia"/>
        </w:rPr>
        <w:t>enough to capture turning points in the data. However, some assumptions need to be made. The least sensitive of these are the choice of regression (here a cubic was chosen) and the type of weighting function (</w:t>
      </w:r>
      <w:proofErr w:type="spellStart"/>
      <w:r w:rsidR="008C7390">
        <w:rPr>
          <w:rFonts w:eastAsiaTheme="minorEastAsia"/>
        </w:rPr>
        <w:t>Epanech</w:t>
      </w:r>
      <w:r w:rsidR="00F613A4">
        <w:rPr>
          <w:rFonts w:eastAsiaTheme="minorEastAsia"/>
        </w:rPr>
        <w:t>nikov</w:t>
      </w:r>
      <w:proofErr w:type="spellEnd"/>
      <w:r w:rsidR="00F613A4">
        <w:rPr>
          <w:rFonts w:eastAsiaTheme="minorEastAsia"/>
        </w:rPr>
        <w:t xml:space="preserve"> also known as parabolic).</w:t>
      </w:r>
    </w:p>
    <w:p w14:paraId="3DC506C7" w14:textId="1232BC7E" w:rsidR="00B0794C" w:rsidRDefault="008C7390" w:rsidP="00B0794C">
      <w:pPr>
        <w:rPr>
          <w:rFonts w:eastAsiaTheme="minorEastAsia"/>
        </w:rPr>
      </w:pPr>
      <w:r>
        <w:rPr>
          <w:rFonts w:eastAsiaTheme="minorEastAsia"/>
        </w:rPr>
        <w:t xml:space="preserve">The choice of bandwidth is the most important factor to consider in this type of analysis. </w:t>
      </w:r>
      <w:r w:rsidR="00B0794C">
        <w:t xml:space="preserve">If the bandwidth chosen </w:t>
      </w:r>
      <w:r>
        <w:t>i</w:t>
      </w:r>
      <w:r w:rsidR="00B0794C">
        <w:t>s too large, this would have the effect of smoothing the data too much so that turning points w</w:t>
      </w:r>
      <w:r>
        <w:t>ill</w:t>
      </w:r>
      <w:r w:rsidR="00B0794C">
        <w:t xml:space="preserve"> be missed (</w:t>
      </w:r>
      <w:r w:rsidR="00645CFF">
        <w:t>that is,</w:t>
      </w:r>
      <w:r w:rsidR="00B0794C">
        <w:t xml:space="preserve"> create a bias). Conversely, if the bandwidth </w:t>
      </w:r>
      <w:r>
        <w:t>i</w:t>
      </w:r>
      <w:r w:rsidR="00B0794C">
        <w:t>s too narrow there w</w:t>
      </w:r>
      <w:r>
        <w:t>ill</w:t>
      </w:r>
      <w:r w:rsidR="00B0794C">
        <w:t xml:space="preserve"> be too much noise and the smoothed series w</w:t>
      </w:r>
      <w:r>
        <w:t>ill</w:t>
      </w:r>
      <w:r w:rsidR="00B0794C">
        <w:t xml:space="preserve"> have a large amount of variance. </w:t>
      </w:r>
      <w:r w:rsidR="00B0794C">
        <w:rPr>
          <w:rFonts w:eastAsiaTheme="minorEastAsia"/>
        </w:rPr>
        <w:t xml:space="preserve">The bandwidth chosen here </w:t>
      </w:r>
      <w:r>
        <w:rPr>
          <w:rFonts w:eastAsiaTheme="minorEastAsia"/>
        </w:rPr>
        <w:t>i</w:t>
      </w:r>
      <w:r w:rsidR="00B0794C">
        <w:rPr>
          <w:rFonts w:eastAsiaTheme="minorEastAsia"/>
        </w:rPr>
        <w:t xml:space="preserve">s </w:t>
      </w:r>
      <w:r w:rsidR="00B0794C">
        <w:t>determined using a “rule of thumb</w:t>
      </w:r>
      <w:r>
        <w:rPr>
          <w:rFonts w:eastAsiaTheme="minorEastAsia"/>
        </w:rPr>
        <w:t>”. This “rule of thumb” i</w:t>
      </w:r>
      <w:r w:rsidR="00B0794C">
        <w:rPr>
          <w:rFonts w:eastAsiaTheme="minorEastAsia"/>
        </w:rPr>
        <w:t>s</w:t>
      </w:r>
      <w:r w:rsidR="00B0794C">
        <w:t xml:space="preserve"> derived mathematically in </w:t>
      </w:r>
      <w:proofErr w:type="spellStart"/>
      <w:r w:rsidR="00B0794C">
        <w:t>Cattaneo</w:t>
      </w:r>
      <w:proofErr w:type="spellEnd"/>
      <w:r w:rsidR="00B0794C">
        <w:t xml:space="preserve">, </w:t>
      </w:r>
      <w:proofErr w:type="spellStart"/>
      <w:r w:rsidR="00B0794C">
        <w:t>Jansson</w:t>
      </w:r>
      <w:proofErr w:type="spellEnd"/>
      <w:r w:rsidR="00B0794C">
        <w:t xml:space="preserve"> and Ma (2017a</w:t>
      </w:r>
      <w:r w:rsidR="00B0794C">
        <w:rPr>
          <w:rFonts w:eastAsiaTheme="minorEastAsia"/>
        </w:rPr>
        <w:t>) to minimise the asymptotic mean squared error.</w:t>
      </w:r>
      <w:r w:rsidR="00CC0E73">
        <w:rPr>
          <w:rStyle w:val="FootnoteReference"/>
          <w:rFonts w:eastAsiaTheme="minorEastAsia"/>
        </w:rPr>
        <w:footnoteReference w:id="13"/>
      </w:r>
    </w:p>
    <w:p w14:paraId="4AA1E1C6" w14:textId="75E53FD1" w:rsidR="00B0794C" w:rsidRDefault="00B0794C" w:rsidP="00B0794C">
      <w:r>
        <w:t xml:space="preserve">In addition, the end points of the smoothed series </w:t>
      </w:r>
      <w:r w:rsidR="008C7390">
        <w:t>a</w:t>
      </w:r>
      <w:r>
        <w:t xml:space="preserve">re adjusted using a quartic function. </w:t>
      </w:r>
      <w:proofErr w:type="spellStart"/>
      <w:r>
        <w:t>Jackknife</w:t>
      </w:r>
      <w:proofErr w:type="spellEnd"/>
      <w:r>
        <w:t xml:space="preserve"> standard errors </w:t>
      </w:r>
      <w:r w:rsidR="008C7390">
        <w:t>a</w:t>
      </w:r>
      <w:r>
        <w:t xml:space="preserve">re used to estimate the confidence interval. The end points </w:t>
      </w:r>
      <w:r w:rsidR="008C7390">
        <w:t>a</w:t>
      </w:r>
      <w:r>
        <w:t>re used in conjunction with the standard errors to deter</w:t>
      </w:r>
      <w:r w:rsidR="00F613A4">
        <w:t>mine whether bunching occurred.</w:t>
      </w:r>
    </w:p>
    <w:p w14:paraId="3F5F4ED5" w14:textId="77777777" w:rsidR="00B0794C" w:rsidRDefault="008C7390" w:rsidP="00B0794C">
      <w:pPr>
        <w:pStyle w:val="Heading3"/>
      </w:pPr>
      <w:r>
        <w:lastRenderedPageBreak/>
        <w:t>Detecting if bunching i</w:t>
      </w:r>
      <w:r w:rsidR="00B0794C">
        <w:t>s caused by firm type</w:t>
      </w:r>
    </w:p>
    <w:p w14:paraId="46601C6B" w14:textId="1267FE99" w:rsidR="00B0794C" w:rsidRDefault="00B0794C" w:rsidP="00B0794C">
      <w:r>
        <w:t xml:space="preserve">Detection of </w:t>
      </w:r>
      <w:r w:rsidR="00CF3BCA">
        <w:t xml:space="preserve">payroll size </w:t>
      </w:r>
      <w:r>
        <w:t>bunching is one thing, but assigning the bunching to payroll tax is another. Conceptually, bunching c</w:t>
      </w:r>
      <w:r w:rsidR="0071639E">
        <w:t>an</w:t>
      </w:r>
      <w:r>
        <w:t xml:space="preserve"> occur due to firms on either side of the threshold being fundamentally different from each other</w:t>
      </w:r>
      <w:r w:rsidR="00CF3BCA">
        <w:t xml:space="preserve"> rather than </w:t>
      </w:r>
      <w:r w:rsidR="003E7675">
        <w:t>the result of</w:t>
      </w:r>
      <w:r w:rsidR="00CF3BCA">
        <w:t xml:space="preserve"> payroll tax. Factors that may hel</w:t>
      </w:r>
      <w:r w:rsidR="00F613A4">
        <w:t>p explain payroll size include:</w:t>
      </w:r>
    </w:p>
    <w:p w14:paraId="702F02F2" w14:textId="77777777" w:rsidR="00B0794C" w:rsidRDefault="00B0794C" w:rsidP="00B0794C">
      <w:pPr>
        <w:pStyle w:val="Bullet"/>
        <w:keepNext w:val="0"/>
        <w:numPr>
          <w:ilvl w:val="0"/>
          <w:numId w:val="50"/>
        </w:numPr>
        <w:spacing w:after="200" w:line="276" w:lineRule="auto"/>
      </w:pPr>
      <w:r>
        <w:t>birth date (new firms could be more dynamic than older firms);</w:t>
      </w:r>
    </w:p>
    <w:p w14:paraId="5690E218" w14:textId="5CFDF5F8" w:rsidR="00B0794C" w:rsidRDefault="00B0794C" w:rsidP="00B0794C">
      <w:pPr>
        <w:pStyle w:val="Bullet"/>
        <w:keepNext w:val="0"/>
        <w:numPr>
          <w:ilvl w:val="0"/>
          <w:numId w:val="50"/>
        </w:numPr>
        <w:spacing w:after="200" w:line="276" w:lineRule="auto"/>
      </w:pPr>
      <w:r>
        <w:t>foreign ownership dummy variable (foreign firms could have fundamental differences to</w:t>
      </w:r>
      <w:r w:rsidR="00CF4AED">
        <w:t xml:space="preserve"> wholly owned Australian firms</w:t>
      </w:r>
      <w:r w:rsidR="00645CFF">
        <w:t xml:space="preserve">, for example, </w:t>
      </w:r>
      <w:r>
        <w:t>different access to capital, different management style, etc.);</w:t>
      </w:r>
    </w:p>
    <w:p w14:paraId="0F3E8704" w14:textId="77777777" w:rsidR="00B0794C" w:rsidRDefault="00B0794C" w:rsidP="00B0794C">
      <w:pPr>
        <w:pStyle w:val="Bullet"/>
        <w:keepNext w:val="0"/>
        <w:numPr>
          <w:ilvl w:val="0"/>
          <w:numId w:val="50"/>
        </w:numPr>
        <w:spacing w:after="200" w:line="276" w:lineRule="auto"/>
      </w:pPr>
      <w:r>
        <w:t>export share of total business income and export share of total wages (an attempt to capture export sensitive firms);</w:t>
      </w:r>
    </w:p>
    <w:p w14:paraId="6CCE6530" w14:textId="77777777" w:rsidR="00B0794C" w:rsidRDefault="00B0794C" w:rsidP="00B0794C">
      <w:pPr>
        <w:pStyle w:val="Bullet"/>
        <w:keepNext w:val="0"/>
        <w:numPr>
          <w:ilvl w:val="0"/>
          <w:numId w:val="50"/>
        </w:numPr>
        <w:spacing w:after="200" w:line="276" w:lineRule="auto"/>
      </w:pPr>
      <w:r>
        <w:t>research and development expenses as a share of total expenses (firms that have a high share of research and development expenses could operate differently);</w:t>
      </w:r>
    </w:p>
    <w:p w14:paraId="450CE03E" w14:textId="2FF2ED46" w:rsidR="00B0794C" w:rsidRDefault="00B0794C" w:rsidP="00B0794C">
      <w:pPr>
        <w:pStyle w:val="Bullet"/>
        <w:keepNext w:val="0"/>
        <w:numPr>
          <w:ilvl w:val="0"/>
          <w:numId w:val="50"/>
        </w:numPr>
        <w:spacing w:after="200" w:line="276" w:lineRule="auto"/>
      </w:pPr>
      <w:r>
        <w:t>ANZSIC category at the one digit level (certain industry types may have a differen</w:t>
      </w:r>
      <w:r w:rsidR="00F613A4">
        <w:t>t natural size than others);</w:t>
      </w:r>
    </w:p>
    <w:p w14:paraId="1A038377" w14:textId="77777777" w:rsidR="00B0794C" w:rsidRDefault="00B0794C" w:rsidP="00B0794C">
      <w:pPr>
        <w:pStyle w:val="Bullet"/>
        <w:keepNext w:val="0"/>
        <w:numPr>
          <w:ilvl w:val="0"/>
          <w:numId w:val="50"/>
        </w:numPr>
        <w:spacing w:after="200" w:line="276" w:lineRule="auto"/>
      </w:pPr>
      <w:r>
        <w:t>total wages growth from the previous period (faster growing firms from the previous period may be more inclined to ignore the payroll tax threshold); and</w:t>
      </w:r>
    </w:p>
    <w:p w14:paraId="13D73703" w14:textId="77777777" w:rsidR="00B0794C" w:rsidRDefault="00B0794C" w:rsidP="00B0794C">
      <w:pPr>
        <w:pStyle w:val="Bullet"/>
        <w:keepNext w:val="0"/>
        <w:numPr>
          <w:ilvl w:val="0"/>
          <w:numId w:val="50"/>
        </w:numPr>
        <w:spacing w:after="200" w:line="276" w:lineRule="auto"/>
      </w:pPr>
      <w:proofErr w:type="gramStart"/>
      <w:r>
        <w:t>contractors</w:t>
      </w:r>
      <w:proofErr w:type="gramEnd"/>
      <w:r>
        <w:t xml:space="preserve"> as a share of total wages (firms </w:t>
      </w:r>
      <w:r w:rsidR="006A6E59">
        <w:t>could be using contractors to try to avoid payroll tax</w:t>
      </w:r>
      <w:r>
        <w:t>).</w:t>
      </w:r>
    </w:p>
    <w:p w14:paraId="42662C35" w14:textId="77777777" w:rsidR="00B0794C" w:rsidRDefault="00CF3BCA" w:rsidP="00B0794C">
      <w:r>
        <w:t>To test whether any of these factors explain payroll b</w:t>
      </w:r>
      <w:r w:rsidR="003E7675">
        <w:t xml:space="preserve">unching, each of these factors </w:t>
      </w:r>
      <w:proofErr w:type="gramStart"/>
      <w:r w:rsidR="003E7675">
        <w:t>a</w:t>
      </w:r>
      <w:r>
        <w:t>re</w:t>
      </w:r>
      <w:proofErr w:type="gramEnd"/>
      <w:r>
        <w:t xml:space="preserve"> </w:t>
      </w:r>
      <w:r w:rsidR="00B0794C">
        <w:t xml:space="preserve">included in a formal test. A dummy variable </w:t>
      </w:r>
      <w:r w:rsidR="003E7675">
        <w:t>for size i</w:t>
      </w:r>
      <w:r w:rsidR="00B0794C">
        <w:t xml:space="preserve">s used to identify firms above and below the threshold, but within the respective bandwidth. </w:t>
      </w:r>
      <w:r w:rsidR="003E7675">
        <w:t>A</w:t>
      </w:r>
      <w:r w:rsidR="00B0794C">
        <w:t xml:space="preserve"> logit function </w:t>
      </w:r>
      <w:r w:rsidR="003E7675">
        <w:t>is</w:t>
      </w:r>
      <w:r w:rsidR="00B0794C">
        <w:t xml:space="preserve"> used to perform the test.</w:t>
      </w:r>
    </w:p>
    <w:p w14:paraId="64BAB6FB" w14:textId="27FC5B4A" w:rsidR="00B0794C" w:rsidRPr="00450C0E" w:rsidRDefault="007265F0" w:rsidP="00B0794C">
      <w:pPr>
        <w:rPr>
          <w:rFonts w:eastAsiaTheme="minorEastAsia"/>
        </w:rPr>
      </w:pPr>
      <m:oMathPara>
        <m:oMath>
          <m:sSub>
            <m:sSubPr>
              <m:ctrlPr>
                <w:rPr>
                  <w:rFonts w:ascii="Cambria Math" w:hAnsi="Cambria Math"/>
                  <w:i/>
                </w:rPr>
              </m:ctrlPr>
            </m:sSubPr>
            <m:e>
              <m:r>
                <w:rPr>
                  <w:rFonts w:ascii="Cambria Math" w:hAnsi="Cambria Math"/>
                </w:rPr>
                <m:t>size</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ij</m:t>
              </m:r>
            </m:sub>
          </m:sSub>
          <m:sSub>
            <m:sSubPr>
              <m:ctrlPr>
                <w:rPr>
                  <w:rFonts w:ascii="Cambria Math" w:hAnsi="Cambria Math"/>
                  <w:i/>
                </w:rPr>
              </m:ctrlPr>
            </m:sSubPr>
            <m:e>
              <m:r>
                <w:rPr>
                  <w:rFonts w:ascii="Cambria Math" w:hAnsi="Cambria Math"/>
                </w:rPr>
                <m:t>β</m:t>
              </m:r>
            </m:e>
            <m:sub>
              <m:r>
                <w:rPr>
                  <w:rFonts w:ascii="Cambria Math" w:hAnsi="Cambria Math"/>
                </w:rPr>
                <m:t>ij</m:t>
              </m:r>
            </m:sub>
          </m:sSub>
        </m:oMath>
      </m:oMathPara>
    </w:p>
    <w:p w14:paraId="6A0AB132" w14:textId="77777777" w:rsidR="00B0794C" w:rsidRDefault="00B0794C" w:rsidP="00B0794C">
      <w:pPr>
        <w:rPr>
          <w:rFonts w:eastAsiaTheme="minorEastAsia"/>
        </w:rPr>
      </w:pPr>
      <w:r>
        <w:t xml:space="preserve">Where </w:t>
      </w:r>
      <m:oMath>
        <m:r>
          <w:rPr>
            <w:rFonts w:ascii="Cambria Math" w:hAnsi="Cambria Math"/>
          </w:rPr>
          <m:t>i</m:t>
        </m:r>
      </m:oMath>
      <w:r>
        <w:rPr>
          <w:rFonts w:eastAsiaTheme="minorEastAsia"/>
        </w:rPr>
        <w:t xml:space="preserve"> </w:t>
      </w:r>
      <w:r>
        <w:t xml:space="preserve">is year, </w:t>
      </w:r>
      <m:oMath>
        <m:r>
          <w:rPr>
            <w:rFonts w:ascii="Cambria Math" w:hAnsi="Cambria Math"/>
          </w:rPr>
          <m:t>j</m:t>
        </m:r>
      </m:oMath>
      <w:r>
        <w:rPr>
          <w:rFonts w:eastAsiaTheme="minorEastAsia"/>
        </w:rPr>
        <w:t xml:space="preserve"> </w:t>
      </w:r>
      <w:r>
        <w:t xml:space="preserve">is state, </w:t>
      </w:r>
      <m:oMath>
        <m:r>
          <w:rPr>
            <w:rFonts w:ascii="Cambria Math" w:hAnsi="Cambria Math"/>
          </w:rPr>
          <m:t>size</m:t>
        </m:r>
      </m:oMath>
      <w:r>
        <w:rPr>
          <w:rFonts w:eastAsiaTheme="minorEastAsia"/>
        </w:rPr>
        <w:t xml:space="preserve"> </w:t>
      </w:r>
      <w:r>
        <w:t xml:space="preserve">is a binary variable (1 for observations within the bandwidth and above the threshold and 0 for observations within the bandwidth and below the threshold), </w:t>
      </w:r>
      <m:oMath>
        <m:r>
          <w:rPr>
            <w:rFonts w:ascii="Cambria Math" w:hAnsi="Cambria Math"/>
          </w:rPr>
          <m:t>β</m:t>
        </m:r>
      </m:oMath>
      <w:r>
        <w:rPr>
          <w:rFonts w:eastAsiaTheme="minorEastAsia"/>
        </w:rPr>
        <w:t xml:space="preserve"> is a matrix of the constant and coefficients, and </w:t>
      </w:r>
      <m:oMath>
        <m:r>
          <w:rPr>
            <w:rFonts w:ascii="Cambria Math" w:hAnsi="Cambria Math"/>
          </w:rPr>
          <m:t>X</m:t>
        </m:r>
      </m:oMath>
      <w:r>
        <w:rPr>
          <w:rFonts w:eastAsiaTheme="minorEastAsia"/>
        </w:rPr>
        <w:t xml:space="preserve"> is a matrix of the independent variables.</w:t>
      </w:r>
    </w:p>
    <w:p w14:paraId="373CA83A" w14:textId="2024768D" w:rsidR="00F12EE0" w:rsidRDefault="00B0794C" w:rsidP="00B0794C">
      <w:pPr>
        <w:rPr>
          <w:rFonts w:eastAsiaTheme="minorEastAsia"/>
        </w:rPr>
      </w:pPr>
      <w:r>
        <w:rPr>
          <w:rFonts w:eastAsiaTheme="minorEastAsia"/>
        </w:rPr>
        <w:t>An F</w:t>
      </w:r>
      <w:r w:rsidR="003E7675">
        <w:rPr>
          <w:rFonts w:eastAsiaTheme="minorEastAsia"/>
        </w:rPr>
        <w:t>-test of overall significance i</w:t>
      </w:r>
      <w:r>
        <w:rPr>
          <w:rFonts w:eastAsiaTheme="minorEastAsia"/>
        </w:rPr>
        <w:t xml:space="preserve">s used to determine </w:t>
      </w:r>
      <w:r w:rsidR="003E7675">
        <w:rPr>
          <w:rFonts w:eastAsiaTheme="minorEastAsia"/>
        </w:rPr>
        <w:t>whether</w:t>
      </w:r>
      <w:r>
        <w:rPr>
          <w:rFonts w:eastAsiaTheme="minorEastAsia"/>
        </w:rPr>
        <w:t xml:space="preserve"> individual firm characteristics, when combined, </w:t>
      </w:r>
      <w:r w:rsidR="003E7675">
        <w:rPr>
          <w:rFonts w:eastAsiaTheme="minorEastAsia"/>
        </w:rPr>
        <w:t>a</w:t>
      </w:r>
      <w:r>
        <w:rPr>
          <w:rFonts w:eastAsiaTheme="minorEastAsia"/>
        </w:rPr>
        <w:t xml:space="preserve">re significant in determining which side of the threshold a firm </w:t>
      </w:r>
      <w:r w:rsidR="003E7675">
        <w:rPr>
          <w:rFonts w:eastAsiaTheme="minorEastAsia"/>
        </w:rPr>
        <w:t>i</w:t>
      </w:r>
      <w:r>
        <w:rPr>
          <w:rFonts w:eastAsiaTheme="minorEastAsia"/>
        </w:rPr>
        <w:t>s located. Significance mean</w:t>
      </w:r>
      <w:r w:rsidR="003E7675">
        <w:rPr>
          <w:rFonts w:eastAsiaTheme="minorEastAsia"/>
        </w:rPr>
        <w:t>s</w:t>
      </w:r>
      <w:r>
        <w:rPr>
          <w:rFonts w:eastAsiaTheme="minorEastAsia"/>
        </w:rPr>
        <w:t xml:space="preserve"> that any bunching occurring c</w:t>
      </w:r>
      <w:r w:rsidR="003E7675">
        <w:rPr>
          <w:rFonts w:eastAsiaTheme="minorEastAsia"/>
        </w:rPr>
        <w:t>an</w:t>
      </w:r>
      <w:r>
        <w:rPr>
          <w:rFonts w:eastAsiaTheme="minorEastAsia"/>
        </w:rPr>
        <w:t xml:space="preserve"> be a result of fundamental differences of firms on either side of the threshold.</w:t>
      </w:r>
    </w:p>
    <w:p w14:paraId="59C466FB" w14:textId="77777777" w:rsidR="00DF40B5" w:rsidRPr="00DF40B5" w:rsidRDefault="00DF40B5" w:rsidP="00DF40B5">
      <w:pPr>
        <w:sectPr w:rsidR="00DF40B5" w:rsidRPr="00DF40B5" w:rsidSect="008C0793">
          <w:headerReference w:type="first" r:id="rId25"/>
          <w:footerReference w:type="first" r:id="rId26"/>
          <w:pgSz w:w="11906" w:h="16838" w:code="9"/>
          <w:pgMar w:top="1418" w:right="1304" w:bottom="1418" w:left="1304" w:header="567" w:footer="567" w:gutter="0"/>
          <w:pgNumType w:start="1"/>
          <w:cols w:space="708"/>
          <w:titlePg/>
          <w:docGrid w:linePitch="360"/>
        </w:sectPr>
      </w:pPr>
      <w:bookmarkStart w:id="10" w:name="_Toc509306064"/>
    </w:p>
    <w:p w14:paraId="2D0E837A" w14:textId="5057F7A5" w:rsidR="00B0794C" w:rsidRDefault="00B0794C" w:rsidP="00B0794C">
      <w:pPr>
        <w:pStyle w:val="Heading2"/>
        <w:numPr>
          <w:ilvl w:val="0"/>
          <w:numId w:val="32"/>
        </w:numPr>
        <w:ind w:left="0"/>
      </w:pPr>
      <w:r>
        <w:lastRenderedPageBreak/>
        <w:t>Results</w:t>
      </w:r>
      <w:bookmarkEnd w:id="10"/>
    </w:p>
    <w:p w14:paraId="20D6A0F6" w14:textId="77777777" w:rsidR="00B0794C" w:rsidRDefault="00B0794C" w:rsidP="00B0794C">
      <w:pPr>
        <w:pStyle w:val="Heading3"/>
      </w:pPr>
      <w:r>
        <w:t>Bunching</w:t>
      </w:r>
    </w:p>
    <w:p w14:paraId="64E9B556" w14:textId="77777777" w:rsidR="00A825CD" w:rsidRDefault="00A825CD" w:rsidP="00B0794C">
      <w:pPr>
        <w:rPr>
          <w:rFonts w:eastAsiaTheme="minorEastAsia"/>
        </w:rPr>
      </w:pPr>
      <w:r>
        <w:rPr>
          <w:rFonts w:eastAsiaTheme="minorEastAsia"/>
        </w:rPr>
        <w:t xml:space="preserve">In </w:t>
      </w:r>
      <w:r w:rsidR="00ED17CA">
        <w:rPr>
          <w:rFonts w:eastAsiaTheme="minorEastAsia"/>
        </w:rPr>
        <w:t>general,</w:t>
      </w:r>
      <w:r>
        <w:rPr>
          <w:rFonts w:eastAsiaTheme="minorEastAsia"/>
        </w:rPr>
        <w:t xml:space="preserve"> there does not appear to be bunching around the thresholds for payroll tax. However, there are isolated incidents </w:t>
      </w:r>
      <w:r w:rsidR="00376699">
        <w:rPr>
          <w:rFonts w:eastAsiaTheme="minorEastAsia"/>
        </w:rPr>
        <w:t>where bunching appears to occur</w:t>
      </w:r>
      <w:r>
        <w:rPr>
          <w:rFonts w:eastAsiaTheme="minorEastAsia"/>
        </w:rPr>
        <w:t xml:space="preserve">. </w:t>
      </w:r>
      <w:r w:rsidR="00376699">
        <w:rPr>
          <w:rFonts w:eastAsiaTheme="minorEastAsia"/>
        </w:rPr>
        <w:t xml:space="preserve">The more robust incidents are ones that occur over </w:t>
      </w:r>
      <w:r w:rsidR="00ED17CA">
        <w:rPr>
          <w:rFonts w:eastAsiaTheme="minorEastAsia"/>
        </w:rPr>
        <w:t xml:space="preserve">consecutive </w:t>
      </w:r>
      <w:r w:rsidR="00376699">
        <w:rPr>
          <w:rFonts w:eastAsiaTheme="minorEastAsia"/>
        </w:rPr>
        <w:t>years.</w:t>
      </w:r>
    </w:p>
    <w:p w14:paraId="74DE9861" w14:textId="240F6F23" w:rsidR="0020422D" w:rsidRDefault="004C4092" w:rsidP="00B0794C">
      <w:pPr>
        <w:rPr>
          <w:rFonts w:eastAsiaTheme="minorEastAsia"/>
        </w:rPr>
      </w:pPr>
      <w:r>
        <w:rPr>
          <w:rFonts w:eastAsiaTheme="minorEastAsia"/>
        </w:rPr>
        <w:t xml:space="preserve">Tests for bunching </w:t>
      </w:r>
      <w:r w:rsidR="00ED17CA">
        <w:rPr>
          <w:rFonts w:eastAsiaTheme="minorEastAsia"/>
        </w:rPr>
        <w:t>just below the pay</w:t>
      </w:r>
      <w:r w:rsidR="000F3008">
        <w:rPr>
          <w:rFonts w:eastAsiaTheme="minorEastAsia"/>
        </w:rPr>
        <w:t>roll</w:t>
      </w:r>
      <w:r w:rsidR="00ED17CA">
        <w:rPr>
          <w:rFonts w:eastAsiaTheme="minorEastAsia"/>
        </w:rPr>
        <w:t xml:space="preserve"> tax thresholds </w:t>
      </w:r>
      <w:r>
        <w:rPr>
          <w:rFonts w:eastAsiaTheme="minorEastAsia"/>
        </w:rPr>
        <w:t>a</w:t>
      </w:r>
      <w:r w:rsidR="00821874">
        <w:rPr>
          <w:rFonts w:eastAsiaTheme="minorEastAsia"/>
        </w:rPr>
        <w:t xml:space="preserve">re performed for each state </w:t>
      </w:r>
      <w:r w:rsidR="0015751E">
        <w:rPr>
          <w:rFonts w:eastAsiaTheme="minorEastAsia"/>
        </w:rPr>
        <w:t>by</w:t>
      </w:r>
      <w:r w:rsidR="00821874">
        <w:rPr>
          <w:rFonts w:eastAsiaTheme="minorEastAsia"/>
        </w:rPr>
        <w:t xml:space="preserve"> year </w:t>
      </w:r>
      <w:r w:rsidR="00376699">
        <w:rPr>
          <w:rFonts w:eastAsiaTheme="minorEastAsia"/>
        </w:rPr>
        <w:t>of available data. This results</w:t>
      </w:r>
      <w:r w:rsidR="00821874">
        <w:rPr>
          <w:rFonts w:eastAsiaTheme="minorEastAsia"/>
        </w:rPr>
        <w:t xml:space="preserve"> in 91</w:t>
      </w:r>
      <w:r w:rsidR="00902B00">
        <w:rPr>
          <w:rFonts w:eastAsiaTheme="minorEastAsia"/>
        </w:rPr>
        <w:t> </w:t>
      </w:r>
      <w:r w:rsidR="00821874">
        <w:rPr>
          <w:rFonts w:eastAsiaTheme="minorEastAsia"/>
        </w:rPr>
        <w:t>tests; the number</w:t>
      </w:r>
      <w:r w:rsidR="0015751E">
        <w:rPr>
          <w:rFonts w:eastAsiaTheme="minorEastAsia"/>
        </w:rPr>
        <w:t xml:space="preserve"> of</w:t>
      </w:r>
      <w:r w:rsidR="00821874">
        <w:rPr>
          <w:rFonts w:eastAsiaTheme="minorEastAsia"/>
        </w:rPr>
        <w:t xml:space="preserve"> tests varied between states due to the number of observations. A</w:t>
      </w:r>
      <w:r w:rsidR="00B0794C">
        <w:rPr>
          <w:rFonts w:eastAsiaTheme="minorEastAsia"/>
        </w:rPr>
        <w:t xml:space="preserve"> minimum of 20</w:t>
      </w:r>
      <w:r w:rsidR="00821874">
        <w:rPr>
          <w:rFonts w:eastAsiaTheme="minorEastAsia"/>
        </w:rPr>
        <w:t> </w:t>
      </w:r>
      <w:r w:rsidR="00B0794C">
        <w:rPr>
          <w:rFonts w:eastAsiaTheme="minorEastAsia"/>
        </w:rPr>
        <w:t xml:space="preserve">firms above and 20 firms </w:t>
      </w:r>
      <w:r w:rsidR="0015751E">
        <w:rPr>
          <w:rFonts w:eastAsiaTheme="minorEastAsia"/>
        </w:rPr>
        <w:t xml:space="preserve">below the relevant threshold </w:t>
      </w:r>
      <w:r w:rsidR="00ED17CA">
        <w:rPr>
          <w:rFonts w:eastAsiaTheme="minorEastAsia"/>
        </w:rPr>
        <w:t>a</w:t>
      </w:r>
      <w:r w:rsidR="0015751E">
        <w:rPr>
          <w:rFonts w:eastAsiaTheme="minorEastAsia"/>
        </w:rPr>
        <w:t>re</w:t>
      </w:r>
      <w:r w:rsidR="00B0794C">
        <w:rPr>
          <w:rFonts w:eastAsiaTheme="minorEastAsia"/>
        </w:rPr>
        <w:t xml:space="preserve"> needed</w:t>
      </w:r>
      <w:r w:rsidR="0015751E">
        <w:rPr>
          <w:rFonts w:eastAsiaTheme="minorEastAsia"/>
        </w:rPr>
        <w:t xml:space="preserve"> within the bandwidth</w:t>
      </w:r>
      <w:r w:rsidR="00B0794C">
        <w:rPr>
          <w:rFonts w:eastAsiaTheme="minorEastAsia"/>
        </w:rPr>
        <w:t xml:space="preserve">. </w:t>
      </w:r>
      <w:r w:rsidR="00ED17CA">
        <w:rPr>
          <w:rFonts w:eastAsiaTheme="minorEastAsia"/>
        </w:rPr>
        <w:t>Overall, bunching i</w:t>
      </w:r>
      <w:r w:rsidR="00821874">
        <w:rPr>
          <w:rFonts w:eastAsiaTheme="minorEastAsia"/>
        </w:rPr>
        <w:t>s found in Victoria and Western Australia.</w:t>
      </w:r>
      <w:r w:rsidR="00ED17CA">
        <w:rPr>
          <w:rFonts w:eastAsiaTheme="minorEastAsia"/>
        </w:rPr>
        <w:t xml:space="preserve"> L</w:t>
      </w:r>
      <w:r w:rsidR="00376699">
        <w:rPr>
          <w:rFonts w:eastAsiaTheme="minorEastAsia"/>
        </w:rPr>
        <w:t>imited evidence of bunching does exist for New South Wales and Tasmania. The table below summarises these results.</w:t>
      </w:r>
    </w:p>
    <w:p w14:paraId="7726BC37" w14:textId="3E2D53DD" w:rsidR="00F613A4" w:rsidRDefault="00F613A4" w:rsidP="0003678D">
      <w:pPr>
        <w:pStyle w:val="TableMainHeading"/>
      </w:pPr>
      <w:r>
        <w:t>Table 5: Instances of bunching found</w:t>
      </w:r>
    </w:p>
    <w:tbl>
      <w:tblPr>
        <w:tblW w:w="9354" w:type="dxa"/>
        <w:tblInd w:w="93" w:type="dxa"/>
        <w:tblLook w:val="04A0" w:firstRow="1" w:lastRow="0" w:firstColumn="1" w:lastColumn="0" w:noHBand="0" w:noVBand="1"/>
      </w:tblPr>
      <w:tblGrid>
        <w:gridCol w:w="3118"/>
        <w:gridCol w:w="3118"/>
        <w:gridCol w:w="3118"/>
      </w:tblGrid>
      <w:tr w:rsidR="0020422D" w:rsidRPr="00281637" w14:paraId="60FBB5E1" w14:textId="77777777" w:rsidTr="00116242">
        <w:trPr>
          <w:trHeight w:val="308"/>
        </w:trPr>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5DF9F10D" w14:textId="77777777" w:rsidR="0020422D" w:rsidRPr="00281637" w:rsidRDefault="0020422D" w:rsidP="00794CA7">
            <w:pPr>
              <w:pStyle w:val="TableColumnHeadingLeft"/>
              <w:spacing w:before="50" w:after="50"/>
              <w:rPr>
                <w:rFonts w:eastAsiaTheme="minorEastAsia"/>
              </w:rPr>
            </w:pPr>
            <w:r>
              <w:rPr>
                <w:rFonts w:eastAsiaTheme="minorEastAsia"/>
              </w:rPr>
              <w:t>State</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58A16540" w14:textId="77777777" w:rsidR="0020422D" w:rsidRPr="00281637" w:rsidRDefault="0020422D" w:rsidP="00794CA7">
            <w:pPr>
              <w:pStyle w:val="TableColumnHeadingCentred"/>
              <w:spacing w:before="50" w:after="50"/>
              <w:rPr>
                <w:rFonts w:eastAsiaTheme="minorEastAsia"/>
              </w:rPr>
            </w:pPr>
            <w:r>
              <w:rPr>
                <w:rFonts w:eastAsiaTheme="minorEastAsia"/>
              </w:rPr>
              <w:t>No. of tests</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42B626CF" w14:textId="77777777" w:rsidR="0020422D" w:rsidRPr="00281637" w:rsidRDefault="0020422D" w:rsidP="00794CA7">
            <w:pPr>
              <w:pStyle w:val="TableColumnHeadingCentred"/>
              <w:spacing w:before="50" w:after="50"/>
              <w:rPr>
                <w:rFonts w:eastAsiaTheme="minorEastAsia"/>
              </w:rPr>
            </w:pPr>
            <w:r>
              <w:rPr>
                <w:rFonts w:eastAsiaTheme="minorEastAsia"/>
              </w:rPr>
              <w:t>No. found significant*</w:t>
            </w:r>
          </w:p>
        </w:tc>
      </w:tr>
      <w:tr w:rsidR="0020422D" w:rsidRPr="009A7E97" w14:paraId="34CEDF68" w14:textId="77777777" w:rsidTr="00DF40B5">
        <w:trPr>
          <w:trHeight w:val="308"/>
        </w:trPr>
        <w:tc>
          <w:tcPr>
            <w:tcW w:w="3118" w:type="dxa"/>
            <w:tcBorders>
              <w:top w:val="single" w:sz="8" w:space="0" w:color="000000" w:themeColor="text1"/>
              <w:left w:val="nil"/>
              <w:bottom w:val="nil"/>
              <w:right w:val="nil"/>
            </w:tcBorders>
            <w:shd w:val="clear" w:color="000000" w:fill="FFFFFF"/>
            <w:vAlign w:val="center"/>
          </w:tcPr>
          <w:p w14:paraId="337D5B0C" w14:textId="77777777" w:rsidR="0020422D" w:rsidRPr="009A7E97" w:rsidRDefault="0020422D" w:rsidP="00794CA7">
            <w:pPr>
              <w:pStyle w:val="Tabletextleft0"/>
              <w:spacing w:before="50" w:after="50"/>
            </w:pPr>
            <w:r>
              <w:t>New South Wales</w:t>
            </w:r>
          </w:p>
        </w:tc>
        <w:tc>
          <w:tcPr>
            <w:tcW w:w="3118" w:type="dxa"/>
            <w:tcBorders>
              <w:top w:val="single" w:sz="8" w:space="0" w:color="000000" w:themeColor="text1"/>
              <w:left w:val="nil"/>
              <w:bottom w:val="nil"/>
              <w:right w:val="nil"/>
            </w:tcBorders>
            <w:shd w:val="clear" w:color="000000" w:fill="FFFFFF"/>
            <w:vAlign w:val="center"/>
          </w:tcPr>
          <w:p w14:paraId="6B1A9AD2" w14:textId="77777777" w:rsidR="0020422D" w:rsidRPr="009A7E97" w:rsidRDefault="0020422D" w:rsidP="00794CA7">
            <w:pPr>
              <w:pStyle w:val="TableTextCentered"/>
              <w:spacing w:before="50" w:after="50"/>
            </w:pPr>
            <w:r>
              <w:t>14</w:t>
            </w:r>
          </w:p>
        </w:tc>
        <w:tc>
          <w:tcPr>
            <w:tcW w:w="3118" w:type="dxa"/>
            <w:tcBorders>
              <w:top w:val="single" w:sz="8" w:space="0" w:color="000000" w:themeColor="text1"/>
              <w:left w:val="nil"/>
              <w:bottom w:val="nil"/>
              <w:right w:val="nil"/>
            </w:tcBorders>
            <w:shd w:val="clear" w:color="000000" w:fill="FFFFFF"/>
            <w:vAlign w:val="center"/>
          </w:tcPr>
          <w:p w14:paraId="76B264B8" w14:textId="77777777" w:rsidR="0020422D" w:rsidRPr="009A7E97" w:rsidRDefault="0020422D" w:rsidP="00794CA7">
            <w:pPr>
              <w:pStyle w:val="TableTextCentered"/>
              <w:spacing w:before="50" w:after="50"/>
            </w:pPr>
            <w:r>
              <w:t>2</w:t>
            </w:r>
          </w:p>
        </w:tc>
      </w:tr>
      <w:tr w:rsidR="0020422D" w:rsidRPr="009A7E97" w14:paraId="62EB440F" w14:textId="77777777" w:rsidTr="00116242">
        <w:trPr>
          <w:trHeight w:val="308"/>
        </w:trPr>
        <w:tc>
          <w:tcPr>
            <w:tcW w:w="3118" w:type="dxa"/>
            <w:tcBorders>
              <w:top w:val="nil"/>
              <w:left w:val="nil"/>
              <w:bottom w:val="nil"/>
              <w:right w:val="nil"/>
            </w:tcBorders>
            <w:shd w:val="clear" w:color="auto" w:fill="F2F2F2" w:themeFill="background1" w:themeFillShade="F2"/>
            <w:vAlign w:val="center"/>
          </w:tcPr>
          <w:p w14:paraId="7F5D564B" w14:textId="77777777" w:rsidR="0020422D" w:rsidRPr="009A7E97" w:rsidRDefault="0020422D" w:rsidP="00794CA7">
            <w:pPr>
              <w:pStyle w:val="Tabletextleft0"/>
              <w:spacing w:before="50" w:after="50"/>
            </w:pPr>
            <w:r>
              <w:t>Northern Territory</w:t>
            </w:r>
          </w:p>
        </w:tc>
        <w:tc>
          <w:tcPr>
            <w:tcW w:w="3118" w:type="dxa"/>
            <w:tcBorders>
              <w:top w:val="nil"/>
              <w:left w:val="nil"/>
              <w:bottom w:val="nil"/>
              <w:right w:val="nil"/>
            </w:tcBorders>
            <w:shd w:val="clear" w:color="auto" w:fill="F2F2F2" w:themeFill="background1" w:themeFillShade="F2"/>
            <w:vAlign w:val="center"/>
          </w:tcPr>
          <w:p w14:paraId="3AC48052" w14:textId="77777777" w:rsidR="0020422D" w:rsidRPr="009A7E97" w:rsidRDefault="0020422D" w:rsidP="00794CA7">
            <w:pPr>
              <w:pStyle w:val="TableTextCentered"/>
              <w:spacing w:before="50" w:after="50"/>
            </w:pPr>
            <w:r>
              <w:t>9</w:t>
            </w:r>
          </w:p>
        </w:tc>
        <w:tc>
          <w:tcPr>
            <w:tcW w:w="3118" w:type="dxa"/>
            <w:tcBorders>
              <w:top w:val="nil"/>
              <w:left w:val="nil"/>
              <w:bottom w:val="nil"/>
              <w:right w:val="nil"/>
            </w:tcBorders>
            <w:shd w:val="clear" w:color="auto" w:fill="F2F2F2" w:themeFill="background1" w:themeFillShade="F2"/>
            <w:vAlign w:val="center"/>
          </w:tcPr>
          <w:p w14:paraId="1F7B940C" w14:textId="77777777" w:rsidR="0020422D" w:rsidRPr="009A7E97" w:rsidRDefault="0020422D" w:rsidP="00794CA7">
            <w:pPr>
              <w:pStyle w:val="TableTextCentered"/>
              <w:spacing w:before="50" w:after="50"/>
            </w:pPr>
            <w:r>
              <w:t>0</w:t>
            </w:r>
          </w:p>
        </w:tc>
      </w:tr>
      <w:tr w:rsidR="0020422D" w:rsidRPr="009A7E97" w14:paraId="14545085" w14:textId="77777777" w:rsidTr="00DF40B5">
        <w:trPr>
          <w:trHeight w:val="308"/>
        </w:trPr>
        <w:tc>
          <w:tcPr>
            <w:tcW w:w="3118" w:type="dxa"/>
            <w:tcBorders>
              <w:top w:val="nil"/>
              <w:left w:val="nil"/>
              <w:bottom w:val="nil"/>
              <w:right w:val="nil"/>
            </w:tcBorders>
            <w:shd w:val="clear" w:color="000000" w:fill="FFFFFF"/>
            <w:vAlign w:val="center"/>
          </w:tcPr>
          <w:p w14:paraId="769EDA06" w14:textId="77777777" w:rsidR="0020422D" w:rsidRPr="009A7E97" w:rsidRDefault="0020422D" w:rsidP="00794CA7">
            <w:pPr>
              <w:pStyle w:val="Tabletextleft0"/>
              <w:spacing w:before="50" w:after="50"/>
            </w:pPr>
            <w:r>
              <w:t>Queensland</w:t>
            </w:r>
          </w:p>
        </w:tc>
        <w:tc>
          <w:tcPr>
            <w:tcW w:w="3118" w:type="dxa"/>
            <w:tcBorders>
              <w:top w:val="nil"/>
              <w:left w:val="nil"/>
              <w:bottom w:val="nil"/>
              <w:right w:val="nil"/>
            </w:tcBorders>
            <w:shd w:val="clear" w:color="000000" w:fill="FFFFFF"/>
            <w:vAlign w:val="center"/>
          </w:tcPr>
          <w:p w14:paraId="471F0B92" w14:textId="77777777" w:rsidR="0020422D" w:rsidRPr="009A7E97" w:rsidRDefault="0020422D" w:rsidP="00794CA7">
            <w:pPr>
              <w:pStyle w:val="TableTextCentered"/>
              <w:spacing w:before="50" w:after="50"/>
            </w:pPr>
            <w:r>
              <w:t>14</w:t>
            </w:r>
          </w:p>
        </w:tc>
        <w:tc>
          <w:tcPr>
            <w:tcW w:w="3118" w:type="dxa"/>
            <w:tcBorders>
              <w:top w:val="nil"/>
              <w:left w:val="nil"/>
              <w:bottom w:val="nil"/>
              <w:right w:val="nil"/>
            </w:tcBorders>
            <w:shd w:val="clear" w:color="000000" w:fill="FFFFFF"/>
            <w:vAlign w:val="center"/>
          </w:tcPr>
          <w:p w14:paraId="0D0BAF64" w14:textId="77777777" w:rsidR="0020422D" w:rsidRPr="009A7E97" w:rsidRDefault="0020422D" w:rsidP="00794CA7">
            <w:pPr>
              <w:pStyle w:val="TableTextCentered"/>
              <w:spacing w:before="50" w:after="50"/>
            </w:pPr>
            <w:r>
              <w:t>0</w:t>
            </w:r>
          </w:p>
        </w:tc>
      </w:tr>
      <w:tr w:rsidR="0020422D" w:rsidRPr="009A7E97" w14:paraId="6DB9BAE7" w14:textId="77777777" w:rsidTr="00116242">
        <w:trPr>
          <w:trHeight w:val="308"/>
        </w:trPr>
        <w:tc>
          <w:tcPr>
            <w:tcW w:w="3118" w:type="dxa"/>
            <w:tcBorders>
              <w:top w:val="nil"/>
              <w:left w:val="nil"/>
              <w:bottom w:val="nil"/>
              <w:right w:val="nil"/>
            </w:tcBorders>
            <w:shd w:val="clear" w:color="auto" w:fill="F2F2F2" w:themeFill="background1" w:themeFillShade="F2"/>
            <w:vAlign w:val="center"/>
          </w:tcPr>
          <w:p w14:paraId="01A1B2D8" w14:textId="77777777" w:rsidR="0020422D" w:rsidRPr="009A7E97" w:rsidRDefault="0020422D" w:rsidP="00794CA7">
            <w:pPr>
              <w:pStyle w:val="Tabletextleft0"/>
              <w:spacing w:before="50" w:after="50"/>
            </w:pPr>
            <w:r>
              <w:t>South Australia</w:t>
            </w:r>
          </w:p>
        </w:tc>
        <w:tc>
          <w:tcPr>
            <w:tcW w:w="3118" w:type="dxa"/>
            <w:tcBorders>
              <w:top w:val="nil"/>
              <w:left w:val="nil"/>
              <w:bottom w:val="nil"/>
              <w:right w:val="nil"/>
            </w:tcBorders>
            <w:shd w:val="clear" w:color="auto" w:fill="F2F2F2" w:themeFill="background1" w:themeFillShade="F2"/>
            <w:vAlign w:val="center"/>
          </w:tcPr>
          <w:p w14:paraId="3356C89C" w14:textId="77777777" w:rsidR="0020422D" w:rsidRPr="009A7E97" w:rsidRDefault="0020422D" w:rsidP="00794CA7">
            <w:pPr>
              <w:pStyle w:val="TableTextCentered"/>
              <w:spacing w:before="50" w:after="50"/>
            </w:pPr>
            <w:r>
              <w:t>14</w:t>
            </w:r>
          </w:p>
        </w:tc>
        <w:tc>
          <w:tcPr>
            <w:tcW w:w="3118" w:type="dxa"/>
            <w:tcBorders>
              <w:top w:val="nil"/>
              <w:left w:val="nil"/>
              <w:bottom w:val="nil"/>
              <w:right w:val="nil"/>
            </w:tcBorders>
            <w:shd w:val="clear" w:color="auto" w:fill="F2F2F2" w:themeFill="background1" w:themeFillShade="F2"/>
            <w:vAlign w:val="center"/>
          </w:tcPr>
          <w:p w14:paraId="235ACEBC" w14:textId="77777777" w:rsidR="0020422D" w:rsidRPr="009A7E97" w:rsidRDefault="0020422D" w:rsidP="00794CA7">
            <w:pPr>
              <w:pStyle w:val="TableTextCentered"/>
              <w:spacing w:before="50" w:after="50"/>
            </w:pPr>
            <w:r>
              <w:t>0</w:t>
            </w:r>
          </w:p>
        </w:tc>
      </w:tr>
      <w:tr w:rsidR="0020422D" w:rsidRPr="009A7E97" w14:paraId="27BACB2E" w14:textId="77777777" w:rsidTr="00DF40B5">
        <w:trPr>
          <w:trHeight w:val="308"/>
        </w:trPr>
        <w:tc>
          <w:tcPr>
            <w:tcW w:w="3118" w:type="dxa"/>
            <w:tcBorders>
              <w:top w:val="nil"/>
              <w:left w:val="nil"/>
              <w:bottom w:val="nil"/>
              <w:right w:val="nil"/>
            </w:tcBorders>
            <w:shd w:val="clear" w:color="000000" w:fill="FFFFFF"/>
            <w:vAlign w:val="center"/>
          </w:tcPr>
          <w:p w14:paraId="094425BF" w14:textId="77777777" w:rsidR="0020422D" w:rsidRPr="009A7E97" w:rsidRDefault="0020422D" w:rsidP="00794CA7">
            <w:pPr>
              <w:pStyle w:val="Tabletextleft0"/>
              <w:spacing w:before="50" w:after="50"/>
            </w:pPr>
            <w:r>
              <w:t>Tasmania</w:t>
            </w:r>
          </w:p>
        </w:tc>
        <w:tc>
          <w:tcPr>
            <w:tcW w:w="3118" w:type="dxa"/>
            <w:tcBorders>
              <w:top w:val="nil"/>
              <w:left w:val="nil"/>
              <w:bottom w:val="nil"/>
              <w:right w:val="nil"/>
            </w:tcBorders>
            <w:shd w:val="clear" w:color="000000" w:fill="FFFFFF"/>
            <w:vAlign w:val="center"/>
          </w:tcPr>
          <w:p w14:paraId="1668C8D0" w14:textId="77777777" w:rsidR="0020422D" w:rsidRPr="009A7E97" w:rsidRDefault="0020422D" w:rsidP="00794CA7">
            <w:pPr>
              <w:pStyle w:val="TableTextCentered"/>
              <w:spacing w:before="50" w:after="50"/>
            </w:pPr>
            <w:r>
              <w:t>12</w:t>
            </w:r>
          </w:p>
        </w:tc>
        <w:tc>
          <w:tcPr>
            <w:tcW w:w="3118" w:type="dxa"/>
            <w:tcBorders>
              <w:top w:val="nil"/>
              <w:left w:val="nil"/>
              <w:bottom w:val="nil"/>
              <w:right w:val="nil"/>
            </w:tcBorders>
            <w:shd w:val="clear" w:color="000000" w:fill="FFFFFF"/>
            <w:vAlign w:val="center"/>
          </w:tcPr>
          <w:p w14:paraId="4CEC7E6C" w14:textId="77777777" w:rsidR="0020422D" w:rsidRPr="009A7E97" w:rsidRDefault="0020422D" w:rsidP="00794CA7">
            <w:pPr>
              <w:pStyle w:val="TableTextCentered"/>
              <w:spacing w:before="50" w:after="50"/>
            </w:pPr>
            <w:r>
              <w:t>2</w:t>
            </w:r>
          </w:p>
        </w:tc>
      </w:tr>
      <w:tr w:rsidR="0020422D" w:rsidRPr="009A7E97" w14:paraId="145C4306" w14:textId="77777777" w:rsidTr="00116242">
        <w:trPr>
          <w:trHeight w:val="308"/>
        </w:trPr>
        <w:tc>
          <w:tcPr>
            <w:tcW w:w="3118" w:type="dxa"/>
            <w:tcBorders>
              <w:top w:val="nil"/>
              <w:left w:val="nil"/>
              <w:right w:val="nil"/>
            </w:tcBorders>
            <w:shd w:val="clear" w:color="auto" w:fill="F2F2F2" w:themeFill="background1" w:themeFillShade="F2"/>
            <w:vAlign w:val="center"/>
          </w:tcPr>
          <w:p w14:paraId="4411644D" w14:textId="77777777" w:rsidR="0020422D" w:rsidRPr="009A7E97" w:rsidRDefault="0020422D" w:rsidP="00794CA7">
            <w:pPr>
              <w:pStyle w:val="Tabletextleft0"/>
              <w:spacing w:before="50" w:after="50"/>
            </w:pPr>
            <w:r>
              <w:t>Victoria</w:t>
            </w:r>
          </w:p>
        </w:tc>
        <w:tc>
          <w:tcPr>
            <w:tcW w:w="3118" w:type="dxa"/>
            <w:tcBorders>
              <w:top w:val="nil"/>
              <w:left w:val="nil"/>
              <w:right w:val="nil"/>
            </w:tcBorders>
            <w:shd w:val="clear" w:color="auto" w:fill="F2F2F2" w:themeFill="background1" w:themeFillShade="F2"/>
            <w:vAlign w:val="center"/>
          </w:tcPr>
          <w:p w14:paraId="6A41A77A" w14:textId="77777777" w:rsidR="0020422D" w:rsidRPr="009A7E97" w:rsidRDefault="0020422D" w:rsidP="00794CA7">
            <w:pPr>
              <w:pStyle w:val="TableTextCentered"/>
              <w:spacing w:before="50" w:after="50"/>
            </w:pPr>
            <w:r>
              <w:t>14</w:t>
            </w:r>
          </w:p>
        </w:tc>
        <w:tc>
          <w:tcPr>
            <w:tcW w:w="3118" w:type="dxa"/>
            <w:tcBorders>
              <w:top w:val="nil"/>
              <w:left w:val="nil"/>
              <w:right w:val="nil"/>
            </w:tcBorders>
            <w:shd w:val="clear" w:color="auto" w:fill="F2F2F2" w:themeFill="background1" w:themeFillShade="F2"/>
            <w:vAlign w:val="center"/>
          </w:tcPr>
          <w:p w14:paraId="73C2D46D" w14:textId="77777777" w:rsidR="0020422D" w:rsidRPr="009A7E97" w:rsidRDefault="0020422D" w:rsidP="00794CA7">
            <w:pPr>
              <w:pStyle w:val="TableTextCentered"/>
              <w:spacing w:before="50" w:after="50"/>
            </w:pPr>
            <w:r>
              <w:t>4</w:t>
            </w:r>
          </w:p>
        </w:tc>
      </w:tr>
      <w:tr w:rsidR="0020422D" w:rsidRPr="009A7E97" w14:paraId="6447AA16" w14:textId="77777777" w:rsidTr="00DF40B5">
        <w:trPr>
          <w:trHeight w:val="308"/>
        </w:trPr>
        <w:tc>
          <w:tcPr>
            <w:tcW w:w="3118" w:type="dxa"/>
            <w:tcBorders>
              <w:top w:val="nil"/>
              <w:left w:val="nil"/>
              <w:bottom w:val="single" w:sz="8" w:space="0" w:color="000000" w:themeColor="text1"/>
              <w:right w:val="nil"/>
            </w:tcBorders>
            <w:shd w:val="clear" w:color="000000" w:fill="FFFFFF"/>
            <w:vAlign w:val="center"/>
          </w:tcPr>
          <w:p w14:paraId="32840689" w14:textId="77777777" w:rsidR="0020422D" w:rsidRPr="009A7E97" w:rsidRDefault="0020422D" w:rsidP="00794CA7">
            <w:pPr>
              <w:pStyle w:val="Tabletextleft0"/>
              <w:spacing w:before="50" w:after="50"/>
            </w:pPr>
            <w:r>
              <w:t>Western Australia</w:t>
            </w:r>
          </w:p>
        </w:tc>
        <w:tc>
          <w:tcPr>
            <w:tcW w:w="3118" w:type="dxa"/>
            <w:tcBorders>
              <w:top w:val="nil"/>
              <w:left w:val="nil"/>
              <w:bottom w:val="single" w:sz="8" w:space="0" w:color="000000" w:themeColor="text1"/>
              <w:right w:val="nil"/>
            </w:tcBorders>
            <w:shd w:val="clear" w:color="000000" w:fill="FFFFFF"/>
            <w:vAlign w:val="center"/>
          </w:tcPr>
          <w:p w14:paraId="0DFB88F1" w14:textId="77777777" w:rsidR="0020422D" w:rsidRPr="009A7E97" w:rsidRDefault="0020422D" w:rsidP="00794CA7">
            <w:pPr>
              <w:pStyle w:val="TableTextCentered"/>
              <w:spacing w:before="50" w:after="50"/>
            </w:pPr>
            <w:r>
              <w:t>14</w:t>
            </w:r>
          </w:p>
        </w:tc>
        <w:tc>
          <w:tcPr>
            <w:tcW w:w="3118" w:type="dxa"/>
            <w:tcBorders>
              <w:top w:val="nil"/>
              <w:left w:val="nil"/>
              <w:bottom w:val="single" w:sz="8" w:space="0" w:color="000000" w:themeColor="text1"/>
              <w:right w:val="nil"/>
            </w:tcBorders>
            <w:shd w:val="clear" w:color="000000" w:fill="FFFFFF"/>
            <w:vAlign w:val="center"/>
          </w:tcPr>
          <w:p w14:paraId="05C150DC" w14:textId="77777777" w:rsidR="0020422D" w:rsidRPr="009A7E97" w:rsidRDefault="0020422D" w:rsidP="00794CA7">
            <w:pPr>
              <w:pStyle w:val="TableTextCentered"/>
              <w:spacing w:before="50" w:after="50"/>
            </w:pPr>
            <w:r>
              <w:t>4</w:t>
            </w:r>
          </w:p>
        </w:tc>
      </w:tr>
      <w:tr w:rsidR="0020422D" w:rsidRPr="00645CFF" w14:paraId="0FE800BD" w14:textId="77777777" w:rsidTr="00116242">
        <w:trPr>
          <w:trHeight w:val="308"/>
        </w:trPr>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tcPr>
          <w:p w14:paraId="2C55079A" w14:textId="77777777" w:rsidR="0020422D" w:rsidRPr="00645CFF" w:rsidRDefault="0020422D" w:rsidP="00794CA7">
            <w:pPr>
              <w:pStyle w:val="Tabletextleft0"/>
              <w:spacing w:before="50" w:after="50"/>
              <w:rPr>
                <w:b/>
              </w:rPr>
            </w:pPr>
            <w:r w:rsidRPr="00645CFF">
              <w:rPr>
                <w:b/>
              </w:rPr>
              <w:t>Total</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tcPr>
          <w:p w14:paraId="55117137" w14:textId="77777777" w:rsidR="0020422D" w:rsidRPr="00645CFF" w:rsidRDefault="0020422D" w:rsidP="00794CA7">
            <w:pPr>
              <w:pStyle w:val="TableTextCentered"/>
              <w:spacing w:before="50" w:after="50"/>
              <w:rPr>
                <w:b/>
              </w:rPr>
            </w:pPr>
            <w:r w:rsidRPr="00645CFF">
              <w:rPr>
                <w:b/>
              </w:rPr>
              <w:t>91</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tcPr>
          <w:p w14:paraId="193135C2" w14:textId="77777777" w:rsidR="0020422D" w:rsidRPr="00645CFF" w:rsidRDefault="0020422D" w:rsidP="00794CA7">
            <w:pPr>
              <w:pStyle w:val="TableTextCentered"/>
              <w:spacing w:before="50" w:after="50"/>
              <w:rPr>
                <w:b/>
              </w:rPr>
            </w:pPr>
            <w:r w:rsidRPr="00645CFF">
              <w:rPr>
                <w:b/>
              </w:rPr>
              <w:t>12</w:t>
            </w:r>
          </w:p>
        </w:tc>
      </w:tr>
    </w:tbl>
    <w:p w14:paraId="5270FB0C" w14:textId="77777777" w:rsidR="00376699" w:rsidRPr="0020422D" w:rsidRDefault="0020422D" w:rsidP="00542A1D">
      <w:pPr>
        <w:pStyle w:val="ChartorTableNote"/>
        <w:rPr>
          <w:rFonts w:eastAsiaTheme="minorEastAsia"/>
        </w:rPr>
      </w:pPr>
      <w:r w:rsidRPr="0020422D">
        <w:rPr>
          <w:rFonts w:eastAsiaTheme="minorEastAsia"/>
        </w:rPr>
        <w:t>* 95 per cent confidence interval</w:t>
      </w:r>
      <w:r>
        <w:rPr>
          <w:rFonts w:eastAsiaTheme="minorEastAsia"/>
        </w:rPr>
        <w:t>.</w:t>
      </w:r>
    </w:p>
    <w:p w14:paraId="535BD187" w14:textId="77777777" w:rsidR="00643E78" w:rsidRDefault="00376699" w:rsidP="00376699">
      <w:pPr>
        <w:rPr>
          <w:rFonts w:eastAsiaTheme="minorEastAsia"/>
        </w:rPr>
      </w:pPr>
      <w:r>
        <w:rPr>
          <w:rFonts w:eastAsiaTheme="minorEastAsia"/>
        </w:rPr>
        <w:t>The more concrete cases of bunching around the payroll tax threshold occur in Western Australia and Victoria. In</w:t>
      </w:r>
      <w:r w:rsidR="00643E78">
        <w:rPr>
          <w:rFonts w:eastAsiaTheme="minorEastAsia"/>
        </w:rPr>
        <w:t xml:space="preserve"> Western Australia bunching is not rejected </w:t>
      </w:r>
      <w:r>
        <w:rPr>
          <w:rFonts w:eastAsiaTheme="minorEastAsia"/>
        </w:rPr>
        <w:t>for 20</w:t>
      </w:r>
      <w:r w:rsidR="0081187D">
        <w:rPr>
          <w:rFonts w:eastAsiaTheme="minorEastAsia"/>
        </w:rPr>
        <w:t>10-</w:t>
      </w:r>
      <w:r>
        <w:rPr>
          <w:rFonts w:eastAsiaTheme="minorEastAsia"/>
        </w:rPr>
        <w:t>11, 20</w:t>
      </w:r>
      <w:r w:rsidR="0081187D">
        <w:rPr>
          <w:rFonts w:eastAsiaTheme="minorEastAsia"/>
        </w:rPr>
        <w:t>12-</w:t>
      </w:r>
      <w:r>
        <w:rPr>
          <w:rFonts w:eastAsiaTheme="minorEastAsia"/>
        </w:rPr>
        <w:t>13, 20</w:t>
      </w:r>
      <w:r w:rsidR="0081187D">
        <w:rPr>
          <w:rFonts w:eastAsiaTheme="minorEastAsia"/>
        </w:rPr>
        <w:t>13-</w:t>
      </w:r>
      <w:r>
        <w:rPr>
          <w:rFonts w:eastAsiaTheme="minorEastAsia"/>
        </w:rPr>
        <w:t>14 and 20</w:t>
      </w:r>
      <w:r w:rsidR="0081187D">
        <w:rPr>
          <w:rFonts w:eastAsiaTheme="minorEastAsia"/>
        </w:rPr>
        <w:t>14-</w:t>
      </w:r>
      <w:r>
        <w:rPr>
          <w:rFonts w:eastAsiaTheme="minorEastAsia"/>
        </w:rPr>
        <w:t xml:space="preserve">15 at the 95 per cent confidence level. </w:t>
      </w:r>
      <w:r w:rsidR="00643E78">
        <w:rPr>
          <w:rFonts w:eastAsiaTheme="minorEastAsia"/>
        </w:rPr>
        <w:t xml:space="preserve">Relaxing the confidence </w:t>
      </w:r>
      <w:r w:rsidR="00ED17CA">
        <w:rPr>
          <w:rFonts w:eastAsiaTheme="minorEastAsia"/>
        </w:rPr>
        <w:t>interval</w:t>
      </w:r>
      <w:r w:rsidR="00643E78">
        <w:rPr>
          <w:rFonts w:eastAsiaTheme="minorEastAsia"/>
        </w:rPr>
        <w:t xml:space="preserve"> to 90 per cent also see</w:t>
      </w:r>
      <w:r w:rsidR="004C4092">
        <w:rPr>
          <w:rFonts w:eastAsiaTheme="minorEastAsia"/>
        </w:rPr>
        <w:t>s</w:t>
      </w:r>
      <w:r w:rsidR="00643E78">
        <w:rPr>
          <w:rFonts w:eastAsiaTheme="minorEastAsia"/>
        </w:rPr>
        <w:t xml:space="preserve"> the non</w:t>
      </w:r>
      <w:r w:rsidR="004C4092">
        <w:rPr>
          <w:rFonts w:eastAsiaTheme="minorEastAsia"/>
        </w:rPr>
        <w:noBreakHyphen/>
      </w:r>
      <w:r w:rsidR="00643E78">
        <w:rPr>
          <w:rFonts w:eastAsiaTheme="minorEastAsia"/>
        </w:rPr>
        <w:t>rejection of 20</w:t>
      </w:r>
      <w:r w:rsidR="0081187D">
        <w:rPr>
          <w:rFonts w:eastAsiaTheme="minorEastAsia"/>
        </w:rPr>
        <w:t>11-</w:t>
      </w:r>
      <w:r w:rsidR="00643E78">
        <w:rPr>
          <w:rFonts w:eastAsiaTheme="minorEastAsia"/>
        </w:rPr>
        <w:t>12.</w:t>
      </w:r>
      <w:r w:rsidR="000412AA">
        <w:rPr>
          <w:rFonts w:eastAsiaTheme="minorEastAsia"/>
        </w:rPr>
        <w:t xml:space="preserve"> The fact that there a</w:t>
      </w:r>
      <w:r w:rsidR="00643E78">
        <w:rPr>
          <w:rFonts w:eastAsiaTheme="minorEastAsia"/>
        </w:rPr>
        <w:t xml:space="preserve">re sequential years </w:t>
      </w:r>
      <w:r w:rsidR="008052DC">
        <w:rPr>
          <w:rFonts w:eastAsiaTheme="minorEastAsia"/>
        </w:rPr>
        <w:t xml:space="preserve">that have non-rejection of bunching </w:t>
      </w:r>
      <w:r w:rsidR="00643E78">
        <w:rPr>
          <w:rFonts w:eastAsiaTheme="minorEastAsia"/>
        </w:rPr>
        <w:t>provides confidence in these results.</w:t>
      </w:r>
    </w:p>
    <w:p w14:paraId="0481FD8A" w14:textId="19276077" w:rsidR="00376699" w:rsidRDefault="00643E78" w:rsidP="00376699">
      <w:pPr>
        <w:rPr>
          <w:rFonts w:eastAsiaTheme="minorEastAsia"/>
        </w:rPr>
      </w:pPr>
      <w:r>
        <w:rPr>
          <w:rFonts w:eastAsiaTheme="minorEastAsia"/>
        </w:rPr>
        <w:t xml:space="preserve">In Victoria bunching </w:t>
      </w:r>
      <w:r w:rsidR="004C4092">
        <w:rPr>
          <w:rFonts w:eastAsiaTheme="minorEastAsia"/>
        </w:rPr>
        <w:t>is</w:t>
      </w:r>
      <w:r>
        <w:rPr>
          <w:rFonts w:eastAsiaTheme="minorEastAsia"/>
        </w:rPr>
        <w:t xml:space="preserve"> not rejected at the 95 per cent confidence level for 20</w:t>
      </w:r>
      <w:r w:rsidR="0081187D">
        <w:rPr>
          <w:rFonts w:eastAsiaTheme="minorEastAsia"/>
        </w:rPr>
        <w:t>10-</w:t>
      </w:r>
      <w:r>
        <w:rPr>
          <w:rFonts w:eastAsiaTheme="minorEastAsia"/>
        </w:rPr>
        <w:t>11, 20</w:t>
      </w:r>
      <w:r w:rsidR="0081187D">
        <w:rPr>
          <w:rFonts w:eastAsiaTheme="minorEastAsia"/>
        </w:rPr>
        <w:t>11-</w:t>
      </w:r>
      <w:r>
        <w:rPr>
          <w:rFonts w:eastAsiaTheme="minorEastAsia"/>
        </w:rPr>
        <w:t>12, 20</w:t>
      </w:r>
      <w:r w:rsidR="0081187D">
        <w:rPr>
          <w:rFonts w:eastAsiaTheme="minorEastAsia"/>
        </w:rPr>
        <w:t>12-</w:t>
      </w:r>
      <w:r>
        <w:rPr>
          <w:rFonts w:eastAsiaTheme="minorEastAsia"/>
        </w:rPr>
        <w:t>13 and 20</w:t>
      </w:r>
      <w:r w:rsidR="0081187D">
        <w:rPr>
          <w:rFonts w:eastAsiaTheme="minorEastAsia"/>
        </w:rPr>
        <w:t>14-</w:t>
      </w:r>
      <w:r>
        <w:rPr>
          <w:rFonts w:eastAsiaTheme="minorEastAsia"/>
        </w:rPr>
        <w:t>15</w:t>
      </w:r>
      <w:r w:rsidR="0081187D">
        <w:rPr>
          <w:rFonts w:eastAsiaTheme="minorEastAsia"/>
        </w:rPr>
        <w:t>. Bunching i</w:t>
      </w:r>
      <w:r>
        <w:rPr>
          <w:rFonts w:eastAsiaTheme="minorEastAsia"/>
        </w:rPr>
        <w:t xml:space="preserve">s </w:t>
      </w:r>
      <w:r w:rsidR="008052DC">
        <w:rPr>
          <w:rFonts w:eastAsiaTheme="minorEastAsia"/>
        </w:rPr>
        <w:t xml:space="preserve">rejected </w:t>
      </w:r>
      <w:r>
        <w:rPr>
          <w:rFonts w:eastAsiaTheme="minorEastAsia"/>
        </w:rPr>
        <w:t>for 20</w:t>
      </w:r>
      <w:r w:rsidR="0081187D">
        <w:rPr>
          <w:rFonts w:eastAsiaTheme="minorEastAsia"/>
        </w:rPr>
        <w:t>13-</w:t>
      </w:r>
      <w:r>
        <w:rPr>
          <w:rFonts w:eastAsiaTheme="minorEastAsia"/>
        </w:rPr>
        <w:t xml:space="preserve">14, even </w:t>
      </w:r>
      <w:r w:rsidR="008052DC">
        <w:rPr>
          <w:rFonts w:eastAsiaTheme="minorEastAsia"/>
        </w:rPr>
        <w:t>at the 90 per cent confidence level. Despite this, the non-rejection of bunching for three consecutive years provides confidence that the non-rejection is more than</w:t>
      </w:r>
      <w:r w:rsidR="00F613A4">
        <w:rPr>
          <w:rFonts w:eastAsiaTheme="minorEastAsia"/>
        </w:rPr>
        <w:t xml:space="preserve"> just a statistical aberration.</w:t>
      </w:r>
    </w:p>
    <w:p w14:paraId="09E85447" w14:textId="686B6E0F" w:rsidR="001B2C33" w:rsidRDefault="003E04B6" w:rsidP="005B537C">
      <w:pPr>
        <w:rPr>
          <w:rFonts w:eastAsiaTheme="minorEastAsia"/>
        </w:rPr>
      </w:pPr>
      <w:r>
        <w:rPr>
          <w:rFonts w:eastAsiaTheme="minorEastAsia"/>
        </w:rPr>
        <w:t>For New South Wales the results are not as clear cut. In 200</w:t>
      </w:r>
      <w:r w:rsidR="0081187D">
        <w:rPr>
          <w:rFonts w:eastAsiaTheme="minorEastAsia"/>
        </w:rPr>
        <w:t>7-0</w:t>
      </w:r>
      <w:r>
        <w:rPr>
          <w:rFonts w:eastAsiaTheme="minorEastAsia"/>
        </w:rPr>
        <w:t>8 and 20</w:t>
      </w:r>
      <w:r w:rsidR="0081187D">
        <w:rPr>
          <w:rFonts w:eastAsiaTheme="minorEastAsia"/>
        </w:rPr>
        <w:t>09-</w:t>
      </w:r>
      <w:r>
        <w:rPr>
          <w:rFonts w:eastAsiaTheme="minorEastAsia"/>
        </w:rPr>
        <w:t xml:space="preserve">10 bunching cannot be rejected at the 95 per cent confidence interval. </w:t>
      </w:r>
      <w:r w:rsidR="001B2C33">
        <w:rPr>
          <w:rFonts w:eastAsiaTheme="minorEastAsia"/>
        </w:rPr>
        <w:t>Non-rejection of bunching for a single year is not sufficient</w:t>
      </w:r>
      <w:r w:rsidR="004C4092">
        <w:rPr>
          <w:rFonts w:eastAsiaTheme="minorEastAsia"/>
        </w:rPr>
        <w:t xml:space="preserve"> to conclude that bunching i</w:t>
      </w:r>
      <w:r w:rsidR="001B2C33">
        <w:rPr>
          <w:rFonts w:eastAsiaTheme="minorEastAsia"/>
        </w:rPr>
        <w:t>s occurr</w:t>
      </w:r>
      <w:r w:rsidR="004C4092">
        <w:rPr>
          <w:rFonts w:eastAsiaTheme="minorEastAsia"/>
        </w:rPr>
        <w:t>ing</w:t>
      </w:r>
      <w:r w:rsidR="001B2C33">
        <w:rPr>
          <w:rFonts w:eastAsiaTheme="minorEastAsia"/>
        </w:rPr>
        <w:t>. Such an observation c</w:t>
      </w:r>
      <w:r w:rsidR="004C4092">
        <w:rPr>
          <w:rFonts w:eastAsiaTheme="minorEastAsia"/>
        </w:rPr>
        <w:t>an</w:t>
      </w:r>
      <w:r w:rsidR="001B2C33">
        <w:rPr>
          <w:rFonts w:eastAsiaTheme="minorEastAsia"/>
        </w:rPr>
        <w:t xml:space="preserve"> </w:t>
      </w:r>
      <w:r w:rsidR="00104FBE">
        <w:rPr>
          <w:rFonts w:eastAsiaTheme="minorEastAsia"/>
        </w:rPr>
        <w:t xml:space="preserve">be due to random </w:t>
      </w:r>
      <w:r w:rsidR="007475AD">
        <w:rPr>
          <w:rFonts w:eastAsiaTheme="minorEastAsia"/>
        </w:rPr>
        <w:t>variation</w:t>
      </w:r>
      <w:r w:rsidR="00104FBE">
        <w:rPr>
          <w:rFonts w:eastAsiaTheme="minorEastAsia"/>
        </w:rPr>
        <w:t xml:space="preserve">. Therefore, greater weight is </w:t>
      </w:r>
      <w:r w:rsidR="00AA28FF">
        <w:rPr>
          <w:rFonts w:eastAsiaTheme="minorEastAsia"/>
        </w:rPr>
        <w:t xml:space="preserve">placed on </w:t>
      </w:r>
      <w:r w:rsidR="00104FBE">
        <w:rPr>
          <w:rFonts w:eastAsiaTheme="minorEastAsia"/>
        </w:rPr>
        <w:t>consecutive non-rejection of bunching</w:t>
      </w:r>
      <w:r w:rsidR="00AA28FF">
        <w:rPr>
          <w:rFonts w:eastAsiaTheme="minorEastAsia"/>
        </w:rPr>
        <w:t xml:space="preserve"> as with Western Australia and Victoria</w:t>
      </w:r>
      <w:r w:rsidR="00F613A4">
        <w:rPr>
          <w:rFonts w:eastAsiaTheme="minorEastAsia"/>
        </w:rPr>
        <w:t>.</w:t>
      </w:r>
    </w:p>
    <w:p w14:paraId="3F3AD42A" w14:textId="77777777" w:rsidR="00DF40B5" w:rsidRDefault="00DF40B5">
      <w:pPr>
        <w:spacing w:after="200" w:line="276" w:lineRule="auto"/>
        <w:rPr>
          <w:rFonts w:eastAsiaTheme="minorEastAsia"/>
        </w:rPr>
      </w:pPr>
      <w:r>
        <w:rPr>
          <w:rFonts w:eastAsiaTheme="minorEastAsia"/>
        </w:rPr>
        <w:br w:type="page"/>
      </w:r>
    </w:p>
    <w:p w14:paraId="642BA940" w14:textId="6CB036FF" w:rsidR="00C60F68" w:rsidRDefault="003E04B6" w:rsidP="00376699">
      <w:pPr>
        <w:rPr>
          <w:rFonts w:eastAsiaTheme="minorEastAsia"/>
        </w:rPr>
      </w:pPr>
      <w:r>
        <w:rPr>
          <w:rFonts w:eastAsiaTheme="minorEastAsia"/>
        </w:rPr>
        <w:lastRenderedPageBreak/>
        <w:t xml:space="preserve">If the </w:t>
      </w:r>
      <w:r w:rsidR="00AA28FF">
        <w:rPr>
          <w:rFonts w:eastAsiaTheme="minorEastAsia"/>
        </w:rPr>
        <w:t xml:space="preserve">New South Wales </w:t>
      </w:r>
      <w:r>
        <w:rPr>
          <w:rFonts w:eastAsiaTheme="minorEastAsia"/>
        </w:rPr>
        <w:t>confidence interval for 200</w:t>
      </w:r>
      <w:r w:rsidR="0081187D">
        <w:rPr>
          <w:rFonts w:eastAsiaTheme="minorEastAsia"/>
        </w:rPr>
        <w:t>8-0</w:t>
      </w:r>
      <w:r>
        <w:rPr>
          <w:rFonts w:eastAsiaTheme="minorEastAsia"/>
        </w:rPr>
        <w:t xml:space="preserve">9 is relaxed </w:t>
      </w:r>
      <w:r w:rsidR="005B537C">
        <w:rPr>
          <w:rFonts w:eastAsiaTheme="minorEastAsia"/>
        </w:rPr>
        <w:t xml:space="preserve">beyond 90 per cent </w:t>
      </w:r>
      <w:r>
        <w:rPr>
          <w:rFonts w:eastAsiaTheme="minorEastAsia"/>
        </w:rPr>
        <w:t>to 89 per cent, bunching cannot be rejected</w:t>
      </w:r>
      <w:r w:rsidR="005B537C">
        <w:rPr>
          <w:rFonts w:eastAsiaTheme="minorEastAsia"/>
        </w:rPr>
        <w:t xml:space="preserve"> either</w:t>
      </w:r>
      <w:r>
        <w:rPr>
          <w:rFonts w:eastAsiaTheme="minorEastAsia"/>
        </w:rPr>
        <w:t>.</w:t>
      </w:r>
      <w:r w:rsidR="005B537C">
        <w:rPr>
          <w:rFonts w:eastAsiaTheme="minorEastAsia"/>
        </w:rPr>
        <w:t xml:space="preserve"> This </w:t>
      </w:r>
      <w:r w:rsidR="001B2C33">
        <w:rPr>
          <w:rFonts w:eastAsiaTheme="minorEastAsia"/>
        </w:rPr>
        <w:t xml:space="preserve">tenuously </w:t>
      </w:r>
      <w:r w:rsidR="005B537C">
        <w:rPr>
          <w:rFonts w:eastAsiaTheme="minorEastAsia"/>
        </w:rPr>
        <w:t>suggest</w:t>
      </w:r>
      <w:r w:rsidR="001B2C33">
        <w:rPr>
          <w:rFonts w:eastAsiaTheme="minorEastAsia"/>
        </w:rPr>
        <w:t>s</w:t>
      </w:r>
      <w:r w:rsidR="005B537C">
        <w:rPr>
          <w:rFonts w:eastAsiaTheme="minorEastAsia"/>
        </w:rPr>
        <w:t xml:space="preserve"> that there are three consecutive years where bunching </w:t>
      </w:r>
      <w:r w:rsidR="004F4601">
        <w:rPr>
          <w:rFonts w:eastAsiaTheme="minorEastAsia"/>
        </w:rPr>
        <w:t>is</w:t>
      </w:r>
      <w:r w:rsidR="005B537C">
        <w:rPr>
          <w:rFonts w:eastAsiaTheme="minorEastAsia"/>
        </w:rPr>
        <w:t xml:space="preserve"> observed. </w:t>
      </w:r>
      <w:r w:rsidR="00985E19">
        <w:rPr>
          <w:rFonts w:eastAsiaTheme="minorEastAsia"/>
        </w:rPr>
        <w:t>However, the purpose of the testing</w:t>
      </w:r>
      <w:r w:rsidR="000412AA">
        <w:rPr>
          <w:rFonts w:eastAsiaTheme="minorEastAsia"/>
        </w:rPr>
        <w:t xml:space="preserve"> in this paper</w:t>
      </w:r>
      <w:r w:rsidR="00985E19">
        <w:rPr>
          <w:rFonts w:eastAsiaTheme="minorEastAsia"/>
        </w:rPr>
        <w:t xml:space="preserve"> is to determine whether the bunching is a result of </w:t>
      </w:r>
      <w:r w:rsidR="004C4092">
        <w:rPr>
          <w:rFonts w:eastAsiaTheme="minorEastAsia"/>
        </w:rPr>
        <w:t xml:space="preserve">the </w:t>
      </w:r>
      <w:r w:rsidR="00985E19">
        <w:rPr>
          <w:rFonts w:eastAsiaTheme="minorEastAsia"/>
        </w:rPr>
        <w:t xml:space="preserve">payroll tax thresholds. It is not entirely clear whether this is </w:t>
      </w:r>
      <w:r w:rsidR="008052DC">
        <w:rPr>
          <w:rFonts w:eastAsiaTheme="minorEastAsia"/>
        </w:rPr>
        <w:t>the</w:t>
      </w:r>
      <w:r w:rsidR="00985E19">
        <w:rPr>
          <w:rFonts w:eastAsiaTheme="minorEastAsia"/>
        </w:rPr>
        <w:t xml:space="preserve"> case for New South Wales. This is because the thresholds for New South Wales were indexed to the Consumer Price Index</w:t>
      </w:r>
      <w:r w:rsidR="008052DC">
        <w:rPr>
          <w:rFonts w:eastAsiaTheme="minorEastAsia"/>
        </w:rPr>
        <w:t xml:space="preserve"> (CPI)</w:t>
      </w:r>
      <w:r w:rsidR="00985E19">
        <w:rPr>
          <w:rFonts w:eastAsiaTheme="minorEastAsia"/>
        </w:rPr>
        <w:t xml:space="preserve"> for 2008-09 to 2012-13. </w:t>
      </w:r>
      <w:r w:rsidR="00C60F68">
        <w:rPr>
          <w:rFonts w:eastAsiaTheme="minorEastAsia"/>
        </w:rPr>
        <w:t>The absolute soonest that a firm could determine the new threshold would be following the release of the relevant CPI. For 2009-10 this w</w:t>
      </w:r>
      <w:r w:rsidR="001E5B18">
        <w:rPr>
          <w:rFonts w:eastAsiaTheme="minorEastAsia"/>
        </w:rPr>
        <w:t>as</w:t>
      </w:r>
      <w:r w:rsidR="00C60F68">
        <w:rPr>
          <w:rFonts w:eastAsiaTheme="minorEastAsia"/>
        </w:rPr>
        <w:t xml:space="preserve"> 22 April 2009. </w:t>
      </w:r>
      <w:r w:rsidR="008052DC">
        <w:rPr>
          <w:rFonts w:eastAsiaTheme="minorEastAsia"/>
        </w:rPr>
        <w:t xml:space="preserve">The </w:t>
      </w:r>
      <w:r w:rsidR="00F12EE0">
        <w:rPr>
          <w:rFonts w:eastAsiaTheme="minorEastAsia"/>
        </w:rPr>
        <w:t>official 2009–</w:t>
      </w:r>
      <w:r w:rsidR="008052DC">
        <w:rPr>
          <w:rFonts w:eastAsiaTheme="minorEastAsia"/>
        </w:rPr>
        <w:t>10 payroll threshold appeared in the New South Wales Government Gazette on</w:t>
      </w:r>
      <w:r w:rsidR="00645CFF">
        <w:rPr>
          <w:rFonts w:eastAsiaTheme="minorEastAsia"/>
        </w:rPr>
        <w:br/>
      </w:r>
      <w:r w:rsidR="008052DC">
        <w:rPr>
          <w:rFonts w:eastAsiaTheme="minorEastAsia"/>
        </w:rPr>
        <w:t xml:space="preserve">12 June 2009. </w:t>
      </w:r>
      <w:r w:rsidR="00C60F68">
        <w:rPr>
          <w:rFonts w:eastAsiaTheme="minorEastAsia"/>
        </w:rPr>
        <w:t>Either way, the timing appears to be unrealistically tight for a business to make an employment decision.</w:t>
      </w:r>
      <w:r w:rsidR="008052DC">
        <w:rPr>
          <w:rFonts w:eastAsiaTheme="minorEastAsia"/>
        </w:rPr>
        <w:t xml:space="preserve"> </w:t>
      </w:r>
      <w:r w:rsidR="00B7780E">
        <w:rPr>
          <w:rFonts w:eastAsiaTheme="minorEastAsia"/>
        </w:rPr>
        <w:t xml:space="preserve">Additionally, indexation was in place for a number of years which did not see bunching. If firms were successfully manipulating their total payrolls in 2009-10 as a result of indexation, it is unclear why firms failed to do so for </w:t>
      </w:r>
      <w:r w:rsidR="006234F4">
        <w:rPr>
          <w:rFonts w:eastAsiaTheme="minorEastAsia"/>
        </w:rPr>
        <w:t xml:space="preserve">the other years indexation was in place. </w:t>
      </w:r>
      <w:r w:rsidR="008052DC">
        <w:rPr>
          <w:rFonts w:eastAsiaTheme="minorEastAsia"/>
        </w:rPr>
        <w:t>Therefore, it is difficult to conclude that the non</w:t>
      </w:r>
      <w:r w:rsidR="00F12EE0">
        <w:rPr>
          <w:rFonts w:eastAsiaTheme="minorEastAsia"/>
        </w:rPr>
        <w:t>-rejection of bunching for 2009–</w:t>
      </w:r>
      <w:r w:rsidR="008052DC">
        <w:rPr>
          <w:rFonts w:eastAsiaTheme="minorEastAsia"/>
        </w:rPr>
        <w:t>10 is a direct result of the payroll tax threshold.</w:t>
      </w:r>
    </w:p>
    <w:p w14:paraId="7A08FACD" w14:textId="77777777" w:rsidR="00376699" w:rsidRDefault="0081187D" w:rsidP="00376699">
      <w:pPr>
        <w:rPr>
          <w:rFonts w:eastAsiaTheme="minorEastAsia"/>
        </w:rPr>
      </w:pPr>
      <w:r>
        <w:rPr>
          <w:rFonts w:eastAsiaTheme="minorEastAsia"/>
        </w:rPr>
        <w:t xml:space="preserve">In Tasmania, </w:t>
      </w:r>
      <w:r w:rsidR="009F68B8">
        <w:rPr>
          <w:rFonts w:eastAsiaTheme="minorEastAsia"/>
        </w:rPr>
        <w:t xml:space="preserve">the result is not as clear cut as </w:t>
      </w:r>
      <w:r w:rsidR="000412AA">
        <w:rPr>
          <w:rFonts w:eastAsiaTheme="minorEastAsia"/>
        </w:rPr>
        <w:t xml:space="preserve">for </w:t>
      </w:r>
      <w:r w:rsidR="009F68B8">
        <w:rPr>
          <w:rFonts w:eastAsiaTheme="minorEastAsia"/>
        </w:rPr>
        <w:t xml:space="preserve">Western Australia or Victoria. </w:t>
      </w:r>
      <w:r w:rsidR="00025E4F">
        <w:rPr>
          <w:rFonts w:eastAsiaTheme="minorEastAsia"/>
        </w:rPr>
        <w:t>N</w:t>
      </w:r>
      <w:r>
        <w:rPr>
          <w:rFonts w:eastAsiaTheme="minorEastAsia"/>
        </w:rPr>
        <w:t>on</w:t>
      </w:r>
      <w:r w:rsidR="000412AA">
        <w:rPr>
          <w:rFonts w:eastAsiaTheme="minorEastAsia"/>
        </w:rPr>
        <w:noBreakHyphen/>
      </w:r>
      <w:r>
        <w:rPr>
          <w:rFonts w:eastAsiaTheme="minorEastAsia"/>
        </w:rPr>
        <w:t xml:space="preserve">rejection of bunching below the threshold </w:t>
      </w:r>
      <w:r w:rsidR="009F68B8">
        <w:rPr>
          <w:rFonts w:eastAsiaTheme="minorEastAsia"/>
        </w:rPr>
        <w:t>occurs</w:t>
      </w:r>
      <w:r>
        <w:rPr>
          <w:rFonts w:eastAsiaTheme="minorEastAsia"/>
        </w:rPr>
        <w:t xml:space="preserve"> in </w:t>
      </w:r>
      <w:r w:rsidR="00025E4F">
        <w:rPr>
          <w:rFonts w:eastAsiaTheme="minorEastAsia"/>
        </w:rPr>
        <w:t xml:space="preserve">2009-10 and </w:t>
      </w:r>
      <w:r>
        <w:rPr>
          <w:rFonts w:eastAsiaTheme="minorEastAsia"/>
        </w:rPr>
        <w:t>2014-15.</w:t>
      </w:r>
      <w:r w:rsidR="009F68B8">
        <w:rPr>
          <w:rFonts w:eastAsiaTheme="minorEastAsia"/>
        </w:rPr>
        <w:t xml:space="preserve"> </w:t>
      </w:r>
      <w:r w:rsidR="00025E4F">
        <w:rPr>
          <w:rFonts w:eastAsiaTheme="minorEastAsia"/>
        </w:rPr>
        <w:t>The large gap between these two observations suggests that t</w:t>
      </w:r>
      <w:r w:rsidR="009F68B8">
        <w:rPr>
          <w:rFonts w:eastAsiaTheme="minorEastAsia"/>
        </w:rPr>
        <w:t>his could be due to random statistical fluctuations</w:t>
      </w:r>
      <w:r w:rsidR="00163C4E">
        <w:rPr>
          <w:rFonts w:eastAsiaTheme="minorEastAsia"/>
        </w:rPr>
        <w:t xml:space="preserve"> and </w:t>
      </w:r>
      <w:r w:rsidR="00025E4F">
        <w:rPr>
          <w:rFonts w:eastAsiaTheme="minorEastAsia"/>
        </w:rPr>
        <w:t xml:space="preserve">therefore </w:t>
      </w:r>
      <w:r w:rsidR="00163C4E">
        <w:rPr>
          <w:rFonts w:eastAsiaTheme="minorEastAsia"/>
        </w:rPr>
        <w:t>be false positive</w:t>
      </w:r>
      <w:r w:rsidR="00025E4F">
        <w:rPr>
          <w:rFonts w:eastAsiaTheme="minorEastAsia"/>
        </w:rPr>
        <w:t>s</w:t>
      </w:r>
      <w:r w:rsidR="00163C4E">
        <w:rPr>
          <w:rFonts w:eastAsiaTheme="minorEastAsia"/>
        </w:rPr>
        <w:t>.</w:t>
      </w:r>
    </w:p>
    <w:p w14:paraId="458A82A8" w14:textId="11DDFEC1" w:rsidR="00376699" w:rsidRDefault="00376699" w:rsidP="00376699">
      <w:pPr>
        <w:rPr>
          <w:rFonts w:eastAsiaTheme="minorEastAsia"/>
        </w:rPr>
      </w:pPr>
      <w:r>
        <w:rPr>
          <w:rFonts w:eastAsiaTheme="minorEastAsia"/>
        </w:rPr>
        <w:t>The bunching in Victoria and Western Australia occur</w:t>
      </w:r>
      <w:r w:rsidR="00163C4E">
        <w:rPr>
          <w:rFonts w:eastAsiaTheme="minorEastAsia"/>
        </w:rPr>
        <w:t>s</w:t>
      </w:r>
      <w:r>
        <w:rPr>
          <w:rFonts w:eastAsiaTheme="minorEastAsia"/>
        </w:rPr>
        <w:t xml:space="preserve"> in consecutive years. This suggests that the results </w:t>
      </w:r>
      <w:r w:rsidR="00BF0E3A">
        <w:rPr>
          <w:rFonts w:eastAsiaTheme="minorEastAsia"/>
        </w:rPr>
        <w:t>a</w:t>
      </w:r>
      <w:r>
        <w:rPr>
          <w:rFonts w:eastAsiaTheme="minorEastAsia"/>
        </w:rPr>
        <w:t xml:space="preserve">re not due to random </w:t>
      </w:r>
      <w:r w:rsidR="00BF0E3A">
        <w:rPr>
          <w:rFonts w:eastAsiaTheme="minorEastAsia"/>
        </w:rPr>
        <w:t>variation</w:t>
      </w:r>
      <w:r>
        <w:rPr>
          <w:rFonts w:eastAsiaTheme="minorEastAsia"/>
        </w:rPr>
        <w:t xml:space="preserve">, but </w:t>
      </w:r>
      <w:r w:rsidR="00BF0E3A">
        <w:rPr>
          <w:rFonts w:eastAsiaTheme="minorEastAsia"/>
        </w:rPr>
        <w:t>a</w:t>
      </w:r>
      <w:r>
        <w:rPr>
          <w:rFonts w:eastAsiaTheme="minorEastAsia"/>
        </w:rPr>
        <w:t>re due to more fundamental factors. It should be noted that during this time, Victoria did not increase its threshold. However, Western Australia did increase its threshold in 201</w:t>
      </w:r>
      <w:r w:rsidR="00F12EE0">
        <w:rPr>
          <w:rFonts w:eastAsiaTheme="minorEastAsia"/>
        </w:rPr>
        <w:t>4–</w:t>
      </w:r>
      <w:r w:rsidR="00163C4E">
        <w:rPr>
          <w:rFonts w:eastAsiaTheme="minorEastAsia"/>
        </w:rPr>
        <w:t>1</w:t>
      </w:r>
      <w:r>
        <w:rPr>
          <w:rFonts w:eastAsiaTheme="minorEastAsia"/>
        </w:rPr>
        <w:t>5 from $750,000 to $800,000.</w:t>
      </w:r>
      <w:r w:rsidR="000412AA">
        <w:rPr>
          <w:rStyle w:val="FootnoteReference"/>
          <w:rFonts w:eastAsiaTheme="minorEastAsia"/>
        </w:rPr>
        <w:footnoteReference w:id="14"/>
      </w:r>
      <w:r>
        <w:rPr>
          <w:rFonts w:eastAsiaTheme="minorEastAsia"/>
        </w:rPr>
        <w:t xml:space="preserve"> </w:t>
      </w:r>
      <w:r w:rsidR="000412AA">
        <w:rPr>
          <w:rFonts w:eastAsiaTheme="minorEastAsia"/>
        </w:rPr>
        <w:t>When the old threshold of $750,000 i</w:t>
      </w:r>
      <w:r>
        <w:rPr>
          <w:rFonts w:eastAsiaTheme="minorEastAsia"/>
        </w:rPr>
        <w:t xml:space="preserve">s </w:t>
      </w:r>
      <w:r w:rsidR="000412AA">
        <w:rPr>
          <w:rFonts w:eastAsiaTheme="minorEastAsia"/>
        </w:rPr>
        <w:t xml:space="preserve">tested for </w:t>
      </w:r>
      <w:r>
        <w:rPr>
          <w:rFonts w:eastAsiaTheme="minorEastAsia"/>
        </w:rPr>
        <w:t>Western Australia in 201</w:t>
      </w:r>
      <w:r w:rsidR="000412AA">
        <w:rPr>
          <w:rFonts w:eastAsiaTheme="minorEastAsia"/>
        </w:rPr>
        <w:t>4-1</w:t>
      </w:r>
      <w:r>
        <w:rPr>
          <w:rFonts w:eastAsiaTheme="minorEastAsia"/>
        </w:rPr>
        <w:t xml:space="preserve">5, bunching </w:t>
      </w:r>
      <w:r w:rsidR="000412AA">
        <w:rPr>
          <w:rFonts w:eastAsiaTheme="minorEastAsia"/>
        </w:rPr>
        <w:t>is not found</w:t>
      </w:r>
      <w:r>
        <w:rPr>
          <w:rFonts w:eastAsiaTheme="minorEastAsia"/>
        </w:rPr>
        <w:t xml:space="preserve">. This suggests that firms may have altered their payrolls in response to the higher </w:t>
      </w:r>
      <w:r w:rsidR="000412AA">
        <w:rPr>
          <w:rFonts w:eastAsiaTheme="minorEastAsia"/>
        </w:rPr>
        <w:t xml:space="preserve">payroll tax </w:t>
      </w:r>
      <w:r w:rsidR="00F613A4">
        <w:rPr>
          <w:rFonts w:eastAsiaTheme="minorEastAsia"/>
        </w:rPr>
        <w:t>threshold.</w:t>
      </w:r>
    </w:p>
    <w:p w14:paraId="6DC34E5B" w14:textId="77777777" w:rsidR="00820C9E" w:rsidRDefault="00820C9E" w:rsidP="00820C9E">
      <w:pPr>
        <w:pStyle w:val="Heading3"/>
        <w:rPr>
          <w:rFonts w:eastAsiaTheme="minorEastAsia"/>
        </w:rPr>
      </w:pPr>
      <w:r>
        <w:rPr>
          <w:rFonts w:eastAsiaTheme="minorEastAsia"/>
        </w:rPr>
        <w:t>Sensitivity testing of bunching</w:t>
      </w:r>
    </w:p>
    <w:p w14:paraId="78A1E567" w14:textId="3923EE35" w:rsidR="00A73C49" w:rsidRDefault="00B0794C" w:rsidP="00A73C49">
      <w:pPr>
        <w:rPr>
          <w:rFonts w:eastAsiaTheme="minorEastAsia"/>
        </w:rPr>
      </w:pPr>
      <w:r>
        <w:rPr>
          <w:rFonts w:eastAsiaTheme="minorEastAsia"/>
        </w:rPr>
        <w:t xml:space="preserve">Overall, the </w:t>
      </w:r>
      <w:r w:rsidR="00E857E7">
        <w:rPr>
          <w:rFonts w:eastAsiaTheme="minorEastAsia"/>
        </w:rPr>
        <w:t>sensitivity testing of the bandwidth is consistent with the conclusi</w:t>
      </w:r>
      <w:r w:rsidR="00A73C49">
        <w:rPr>
          <w:rFonts w:eastAsiaTheme="minorEastAsia"/>
        </w:rPr>
        <w:t>on that bunching does not generally appear. Victoria and Western Australia do display some instances of bunching when the bandwidth is increased. After decreasing the bandwidth</w:t>
      </w:r>
      <w:r w:rsidR="00BF0E3A">
        <w:rPr>
          <w:rFonts w:eastAsiaTheme="minorEastAsia"/>
        </w:rPr>
        <w:t>,</w:t>
      </w:r>
      <w:r w:rsidR="00A73C49">
        <w:rPr>
          <w:rFonts w:eastAsiaTheme="minorEastAsia"/>
        </w:rPr>
        <w:t xml:space="preserve"> Western Australia still displays instances of bunching. Victoria has bunching for two consecutive years rather than the previous three. Decreasing the bandwidth for New South Wales appears to increase the instances of bunching. However, the three</w:t>
      </w:r>
      <w:r w:rsidR="00645CFF">
        <w:rPr>
          <w:rFonts w:eastAsiaTheme="minorEastAsia"/>
        </w:rPr>
        <w:t> </w:t>
      </w:r>
      <w:r w:rsidR="00A73C49">
        <w:rPr>
          <w:rFonts w:eastAsiaTheme="minorEastAsia"/>
        </w:rPr>
        <w:t>years are not consecutive.</w:t>
      </w:r>
    </w:p>
    <w:p w14:paraId="4D6B3F06" w14:textId="3CEDDFBC" w:rsidR="00F613A4" w:rsidRDefault="00F613A4" w:rsidP="0003678D">
      <w:pPr>
        <w:pStyle w:val="TableMainHeading"/>
        <w:rPr>
          <w:rFonts w:eastAsiaTheme="minorEastAsia"/>
        </w:rPr>
      </w:pPr>
      <w:r>
        <w:t>Table 6</w:t>
      </w:r>
      <w:r w:rsidRPr="009A7E97">
        <w:t>: Instances of bunching found – bandwidth reduced by 25 per cent</w:t>
      </w:r>
    </w:p>
    <w:tbl>
      <w:tblPr>
        <w:tblW w:w="9354" w:type="dxa"/>
        <w:tblInd w:w="93" w:type="dxa"/>
        <w:tblLook w:val="04A0" w:firstRow="1" w:lastRow="0" w:firstColumn="1" w:lastColumn="0" w:noHBand="0" w:noVBand="1"/>
      </w:tblPr>
      <w:tblGrid>
        <w:gridCol w:w="3118"/>
        <w:gridCol w:w="3118"/>
        <w:gridCol w:w="3118"/>
      </w:tblGrid>
      <w:tr w:rsidR="00B0794C" w:rsidRPr="009A7E97" w14:paraId="33754680" w14:textId="77777777" w:rsidTr="00116242">
        <w:trPr>
          <w:trHeight w:val="292"/>
        </w:trPr>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B851C5F" w14:textId="77777777" w:rsidR="00B0794C" w:rsidRPr="00281637" w:rsidRDefault="00B0794C" w:rsidP="00794CA7">
            <w:pPr>
              <w:pStyle w:val="TableColumnHeadingLeft"/>
              <w:spacing w:before="50" w:after="50"/>
              <w:rPr>
                <w:rFonts w:eastAsiaTheme="minorEastAsia"/>
              </w:rPr>
            </w:pPr>
            <w:r w:rsidRPr="00281637">
              <w:rPr>
                <w:rFonts w:eastAsiaTheme="minorEastAsia"/>
              </w:rPr>
              <w:t>State</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C9E63EB" w14:textId="77777777" w:rsidR="00B0794C" w:rsidRPr="00281637" w:rsidRDefault="00B0794C" w:rsidP="00794CA7">
            <w:pPr>
              <w:pStyle w:val="TableColumnHeadingCentred"/>
              <w:spacing w:before="50" w:after="50"/>
              <w:rPr>
                <w:rFonts w:eastAsiaTheme="minorEastAsia"/>
              </w:rPr>
            </w:pPr>
            <w:r w:rsidRPr="00281637">
              <w:rPr>
                <w:rFonts w:eastAsiaTheme="minorEastAsia"/>
              </w:rPr>
              <w:t>No. of tests</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136C0E82" w14:textId="77777777" w:rsidR="00B0794C" w:rsidRPr="00281637" w:rsidRDefault="00B0794C" w:rsidP="00794CA7">
            <w:pPr>
              <w:pStyle w:val="TableColumnHeadingCentred"/>
              <w:spacing w:before="50" w:after="50"/>
              <w:rPr>
                <w:rFonts w:eastAsiaTheme="minorEastAsia"/>
              </w:rPr>
            </w:pPr>
            <w:r w:rsidRPr="00281637">
              <w:rPr>
                <w:rFonts w:eastAsiaTheme="minorEastAsia"/>
              </w:rPr>
              <w:t>No. found significant</w:t>
            </w:r>
            <w:r w:rsidR="007A55E1">
              <w:rPr>
                <w:rFonts w:eastAsiaTheme="minorEastAsia"/>
              </w:rPr>
              <w:t>*</w:t>
            </w:r>
          </w:p>
        </w:tc>
      </w:tr>
      <w:tr w:rsidR="00B0794C" w:rsidRPr="009A7E97" w14:paraId="414A0282" w14:textId="77777777" w:rsidTr="00794CA7">
        <w:trPr>
          <w:trHeight w:val="292"/>
        </w:trPr>
        <w:tc>
          <w:tcPr>
            <w:tcW w:w="3118" w:type="dxa"/>
            <w:tcBorders>
              <w:top w:val="single" w:sz="8" w:space="0" w:color="000000" w:themeColor="text1"/>
              <w:left w:val="nil"/>
              <w:bottom w:val="nil"/>
              <w:right w:val="nil"/>
            </w:tcBorders>
            <w:shd w:val="clear" w:color="000000" w:fill="FFFFFF"/>
            <w:vAlign w:val="center"/>
            <w:hideMark/>
          </w:tcPr>
          <w:p w14:paraId="351E7BF6" w14:textId="77777777" w:rsidR="00B0794C" w:rsidRPr="009A7E97" w:rsidRDefault="00B0794C" w:rsidP="00794CA7">
            <w:pPr>
              <w:pStyle w:val="Tabletextleft0"/>
              <w:spacing w:before="50" w:after="50"/>
            </w:pPr>
            <w:r>
              <w:rPr>
                <w:rFonts w:eastAsiaTheme="minorEastAsia"/>
              </w:rPr>
              <w:t>New South Wales</w:t>
            </w:r>
          </w:p>
        </w:tc>
        <w:tc>
          <w:tcPr>
            <w:tcW w:w="3118" w:type="dxa"/>
            <w:tcBorders>
              <w:top w:val="single" w:sz="8" w:space="0" w:color="000000" w:themeColor="text1"/>
              <w:left w:val="nil"/>
              <w:bottom w:val="nil"/>
              <w:right w:val="nil"/>
            </w:tcBorders>
            <w:shd w:val="clear" w:color="000000" w:fill="FFFFFF"/>
            <w:vAlign w:val="center"/>
            <w:hideMark/>
          </w:tcPr>
          <w:p w14:paraId="6D864F93" w14:textId="77777777" w:rsidR="00B0794C" w:rsidRPr="009A7E97" w:rsidRDefault="00B0794C" w:rsidP="00794CA7">
            <w:pPr>
              <w:pStyle w:val="Tabletextcentred"/>
              <w:spacing w:before="50" w:after="50"/>
            </w:pPr>
            <w:r w:rsidRPr="009A7E97">
              <w:rPr>
                <w:rFonts w:eastAsiaTheme="minorEastAsia"/>
              </w:rPr>
              <w:t>14</w:t>
            </w:r>
          </w:p>
        </w:tc>
        <w:tc>
          <w:tcPr>
            <w:tcW w:w="3118" w:type="dxa"/>
            <w:tcBorders>
              <w:top w:val="single" w:sz="8" w:space="0" w:color="000000" w:themeColor="text1"/>
              <w:left w:val="nil"/>
              <w:bottom w:val="nil"/>
              <w:right w:val="nil"/>
            </w:tcBorders>
            <w:shd w:val="clear" w:color="000000" w:fill="FFFFFF"/>
            <w:vAlign w:val="center"/>
            <w:hideMark/>
          </w:tcPr>
          <w:p w14:paraId="54A7B7FB" w14:textId="77777777" w:rsidR="00B0794C" w:rsidRPr="009A7E97" w:rsidRDefault="006E2B99" w:rsidP="00794CA7">
            <w:pPr>
              <w:pStyle w:val="Tabletextcentred"/>
              <w:spacing w:before="50" w:after="50"/>
            </w:pPr>
            <w:r>
              <w:t>3</w:t>
            </w:r>
          </w:p>
        </w:tc>
      </w:tr>
      <w:tr w:rsidR="00B0794C" w:rsidRPr="009A7E97" w14:paraId="340C64C7" w14:textId="77777777" w:rsidTr="00116242">
        <w:trPr>
          <w:trHeight w:val="292"/>
        </w:trPr>
        <w:tc>
          <w:tcPr>
            <w:tcW w:w="3118" w:type="dxa"/>
            <w:tcBorders>
              <w:top w:val="nil"/>
              <w:left w:val="nil"/>
              <w:bottom w:val="nil"/>
              <w:right w:val="nil"/>
            </w:tcBorders>
            <w:shd w:val="clear" w:color="auto" w:fill="F2F2F2" w:themeFill="background1" w:themeFillShade="F2"/>
            <w:vAlign w:val="center"/>
            <w:hideMark/>
          </w:tcPr>
          <w:p w14:paraId="4F4F0566" w14:textId="77777777" w:rsidR="00B0794C" w:rsidRPr="009A7E97" w:rsidRDefault="007A55E1" w:rsidP="00794CA7">
            <w:pPr>
              <w:pStyle w:val="Tabletextleft0"/>
              <w:spacing w:before="50" w:after="50"/>
            </w:pPr>
            <w:r>
              <w:t>Northern Territory</w:t>
            </w:r>
          </w:p>
        </w:tc>
        <w:tc>
          <w:tcPr>
            <w:tcW w:w="3118" w:type="dxa"/>
            <w:tcBorders>
              <w:top w:val="nil"/>
              <w:left w:val="nil"/>
              <w:bottom w:val="nil"/>
              <w:right w:val="nil"/>
            </w:tcBorders>
            <w:shd w:val="clear" w:color="auto" w:fill="F2F2F2" w:themeFill="background1" w:themeFillShade="F2"/>
            <w:vAlign w:val="center"/>
            <w:hideMark/>
          </w:tcPr>
          <w:p w14:paraId="258F0188" w14:textId="77777777" w:rsidR="00B0794C" w:rsidRPr="009A7E97" w:rsidRDefault="007A55E1" w:rsidP="00794CA7">
            <w:pPr>
              <w:pStyle w:val="Tabletextcentred"/>
              <w:spacing w:before="50" w:after="50"/>
            </w:pPr>
            <w:r>
              <w:rPr>
                <w:rFonts w:eastAsiaTheme="minorEastAsia"/>
              </w:rPr>
              <w:t>3</w:t>
            </w:r>
          </w:p>
        </w:tc>
        <w:tc>
          <w:tcPr>
            <w:tcW w:w="3118" w:type="dxa"/>
            <w:tcBorders>
              <w:top w:val="nil"/>
              <w:left w:val="nil"/>
              <w:bottom w:val="nil"/>
              <w:right w:val="nil"/>
            </w:tcBorders>
            <w:shd w:val="clear" w:color="auto" w:fill="F2F2F2" w:themeFill="background1" w:themeFillShade="F2"/>
            <w:vAlign w:val="center"/>
            <w:hideMark/>
          </w:tcPr>
          <w:p w14:paraId="7A3A9253" w14:textId="77777777" w:rsidR="00B0794C" w:rsidRPr="009A7E97" w:rsidRDefault="007A55E1" w:rsidP="00794CA7">
            <w:pPr>
              <w:pStyle w:val="Tabletextcentred"/>
              <w:spacing w:before="50" w:after="50"/>
            </w:pPr>
            <w:r>
              <w:rPr>
                <w:rFonts w:eastAsiaTheme="minorEastAsia"/>
              </w:rPr>
              <w:t>0</w:t>
            </w:r>
          </w:p>
        </w:tc>
      </w:tr>
      <w:tr w:rsidR="00B0794C" w:rsidRPr="009A7E97" w14:paraId="32F8D600" w14:textId="77777777" w:rsidTr="00794CA7">
        <w:trPr>
          <w:trHeight w:val="292"/>
        </w:trPr>
        <w:tc>
          <w:tcPr>
            <w:tcW w:w="3118" w:type="dxa"/>
            <w:tcBorders>
              <w:top w:val="nil"/>
              <w:left w:val="nil"/>
              <w:bottom w:val="nil"/>
              <w:right w:val="nil"/>
            </w:tcBorders>
            <w:shd w:val="clear" w:color="000000" w:fill="FFFFFF"/>
            <w:vAlign w:val="center"/>
            <w:hideMark/>
          </w:tcPr>
          <w:p w14:paraId="5A82EC0D" w14:textId="77777777" w:rsidR="00B0794C" w:rsidRPr="009A7E97" w:rsidRDefault="007A55E1" w:rsidP="00794CA7">
            <w:pPr>
              <w:pStyle w:val="Tabletextleft0"/>
              <w:spacing w:before="50" w:after="50"/>
            </w:pPr>
            <w:r>
              <w:t>Queensland</w:t>
            </w:r>
          </w:p>
        </w:tc>
        <w:tc>
          <w:tcPr>
            <w:tcW w:w="3118" w:type="dxa"/>
            <w:tcBorders>
              <w:top w:val="nil"/>
              <w:left w:val="nil"/>
              <w:bottom w:val="nil"/>
              <w:right w:val="nil"/>
            </w:tcBorders>
            <w:shd w:val="clear" w:color="000000" w:fill="FFFFFF"/>
            <w:vAlign w:val="center"/>
            <w:hideMark/>
          </w:tcPr>
          <w:p w14:paraId="6BA68CAE" w14:textId="77777777" w:rsidR="00B0794C" w:rsidRPr="009A7E97" w:rsidRDefault="00B0794C" w:rsidP="00794CA7">
            <w:pPr>
              <w:pStyle w:val="Tabletextcentred"/>
              <w:spacing w:before="50" w:after="50"/>
            </w:pPr>
            <w:r w:rsidRPr="009A7E97">
              <w:rPr>
                <w:rFonts w:eastAsiaTheme="minorEastAsia"/>
              </w:rPr>
              <w:t>14</w:t>
            </w:r>
          </w:p>
        </w:tc>
        <w:tc>
          <w:tcPr>
            <w:tcW w:w="3118" w:type="dxa"/>
            <w:tcBorders>
              <w:top w:val="nil"/>
              <w:left w:val="nil"/>
              <w:bottom w:val="nil"/>
              <w:right w:val="nil"/>
            </w:tcBorders>
            <w:shd w:val="clear" w:color="000000" w:fill="FFFFFF"/>
            <w:vAlign w:val="center"/>
            <w:hideMark/>
          </w:tcPr>
          <w:p w14:paraId="6F6FE6DE" w14:textId="77777777" w:rsidR="00B0794C" w:rsidRPr="009A7E97" w:rsidRDefault="006E2B99" w:rsidP="00794CA7">
            <w:pPr>
              <w:pStyle w:val="Tabletextcentred"/>
              <w:spacing w:before="50" w:after="50"/>
            </w:pPr>
            <w:r>
              <w:t>1</w:t>
            </w:r>
          </w:p>
        </w:tc>
      </w:tr>
      <w:tr w:rsidR="00B0794C" w:rsidRPr="009A7E97" w14:paraId="2C3DCE60" w14:textId="77777777" w:rsidTr="00116242">
        <w:trPr>
          <w:trHeight w:val="292"/>
        </w:trPr>
        <w:tc>
          <w:tcPr>
            <w:tcW w:w="3118" w:type="dxa"/>
            <w:tcBorders>
              <w:top w:val="nil"/>
              <w:left w:val="nil"/>
              <w:bottom w:val="nil"/>
              <w:right w:val="nil"/>
            </w:tcBorders>
            <w:shd w:val="clear" w:color="auto" w:fill="F2F2F2" w:themeFill="background1" w:themeFillShade="F2"/>
            <w:vAlign w:val="center"/>
            <w:hideMark/>
          </w:tcPr>
          <w:p w14:paraId="0F368184" w14:textId="77777777" w:rsidR="00B0794C" w:rsidRPr="009A7E97" w:rsidRDefault="007A55E1" w:rsidP="00794CA7">
            <w:pPr>
              <w:pStyle w:val="Tabletextleft0"/>
              <w:spacing w:before="50" w:after="50"/>
            </w:pPr>
            <w:r>
              <w:t>South Australia</w:t>
            </w:r>
          </w:p>
        </w:tc>
        <w:tc>
          <w:tcPr>
            <w:tcW w:w="3118" w:type="dxa"/>
            <w:tcBorders>
              <w:top w:val="nil"/>
              <w:left w:val="nil"/>
              <w:bottom w:val="nil"/>
              <w:right w:val="nil"/>
            </w:tcBorders>
            <w:shd w:val="clear" w:color="auto" w:fill="F2F2F2" w:themeFill="background1" w:themeFillShade="F2"/>
            <w:vAlign w:val="center"/>
            <w:hideMark/>
          </w:tcPr>
          <w:p w14:paraId="39134B51" w14:textId="77777777" w:rsidR="00B0794C" w:rsidRPr="009A7E97" w:rsidRDefault="00B0794C" w:rsidP="00794CA7">
            <w:pPr>
              <w:pStyle w:val="Tabletextcentred"/>
              <w:spacing w:before="50" w:after="50"/>
            </w:pPr>
            <w:r w:rsidRPr="009A7E97">
              <w:rPr>
                <w:rFonts w:eastAsiaTheme="minorEastAsia"/>
              </w:rPr>
              <w:t>14</w:t>
            </w:r>
          </w:p>
        </w:tc>
        <w:tc>
          <w:tcPr>
            <w:tcW w:w="3118" w:type="dxa"/>
            <w:tcBorders>
              <w:top w:val="nil"/>
              <w:left w:val="nil"/>
              <w:bottom w:val="nil"/>
              <w:right w:val="nil"/>
            </w:tcBorders>
            <w:shd w:val="clear" w:color="auto" w:fill="F2F2F2" w:themeFill="background1" w:themeFillShade="F2"/>
            <w:vAlign w:val="center"/>
            <w:hideMark/>
          </w:tcPr>
          <w:p w14:paraId="343D3C44" w14:textId="77777777" w:rsidR="00B0794C" w:rsidRPr="009A7E97" w:rsidRDefault="00B0794C" w:rsidP="00794CA7">
            <w:pPr>
              <w:pStyle w:val="Tabletextcentred"/>
              <w:spacing w:before="50" w:after="50"/>
            </w:pPr>
            <w:r w:rsidRPr="009A7E97">
              <w:rPr>
                <w:rFonts w:eastAsiaTheme="minorEastAsia"/>
              </w:rPr>
              <w:t>0</w:t>
            </w:r>
          </w:p>
        </w:tc>
      </w:tr>
      <w:tr w:rsidR="00B0794C" w:rsidRPr="009A7E97" w14:paraId="6C86AFF5" w14:textId="77777777" w:rsidTr="00794CA7">
        <w:trPr>
          <w:trHeight w:val="292"/>
        </w:trPr>
        <w:tc>
          <w:tcPr>
            <w:tcW w:w="3118" w:type="dxa"/>
            <w:tcBorders>
              <w:top w:val="nil"/>
              <w:left w:val="nil"/>
              <w:bottom w:val="nil"/>
              <w:right w:val="nil"/>
            </w:tcBorders>
            <w:shd w:val="clear" w:color="000000" w:fill="FFFFFF"/>
            <w:vAlign w:val="center"/>
            <w:hideMark/>
          </w:tcPr>
          <w:p w14:paraId="5A231243" w14:textId="77777777" w:rsidR="00B0794C" w:rsidRPr="009A7E97" w:rsidRDefault="007A55E1" w:rsidP="00794CA7">
            <w:pPr>
              <w:pStyle w:val="Tabletextleft0"/>
              <w:spacing w:before="50" w:after="50"/>
            </w:pPr>
            <w:r>
              <w:t>Tasmania</w:t>
            </w:r>
          </w:p>
        </w:tc>
        <w:tc>
          <w:tcPr>
            <w:tcW w:w="3118" w:type="dxa"/>
            <w:tcBorders>
              <w:top w:val="nil"/>
              <w:left w:val="nil"/>
              <w:bottom w:val="nil"/>
              <w:right w:val="nil"/>
            </w:tcBorders>
            <w:shd w:val="clear" w:color="000000" w:fill="FFFFFF"/>
            <w:vAlign w:val="center"/>
            <w:hideMark/>
          </w:tcPr>
          <w:p w14:paraId="0E8088EE" w14:textId="77777777" w:rsidR="00B0794C" w:rsidRPr="009A7E97" w:rsidRDefault="00B0794C" w:rsidP="00794CA7">
            <w:pPr>
              <w:pStyle w:val="Tabletextcentred"/>
              <w:spacing w:before="50" w:after="50"/>
            </w:pPr>
            <w:r w:rsidRPr="009A7E97">
              <w:rPr>
                <w:rFonts w:eastAsiaTheme="minorEastAsia"/>
              </w:rPr>
              <w:t>1</w:t>
            </w:r>
            <w:r w:rsidR="007A55E1">
              <w:rPr>
                <w:rFonts w:eastAsiaTheme="minorEastAsia"/>
              </w:rPr>
              <w:t>0</w:t>
            </w:r>
          </w:p>
        </w:tc>
        <w:tc>
          <w:tcPr>
            <w:tcW w:w="3118" w:type="dxa"/>
            <w:tcBorders>
              <w:top w:val="nil"/>
              <w:left w:val="nil"/>
              <w:bottom w:val="nil"/>
              <w:right w:val="nil"/>
            </w:tcBorders>
            <w:shd w:val="clear" w:color="000000" w:fill="FFFFFF"/>
            <w:vAlign w:val="center"/>
            <w:hideMark/>
          </w:tcPr>
          <w:p w14:paraId="7411DE36" w14:textId="77777777" w:rsidR="00B0794C" w:rsidRPr="009A7E97" w:rsidRDefault="007A55E1" w:rsidP="00794CA7">
            <w:pPr>
              <w:pStyle w:val="Tabletextcentred"/>
              <w:spacing w:before="50" w:after="50"/>
            </w:pPr>
            <w:r>
              <w:rPr>
                <w:rFonts w:eastAsiaTheme="minorEastAsia"/>
              </w:rPr>
              <w:t>1</w:t>
            </w:r>
          </w:p>
        </w:tc>
      </w:tr>
      <w:tr w:rsidR="00B0794C" w:rsidRPr="009A7E97" w14:paraId="67FF8BC4" w14:textId="77777777" w:rsidTr="00116242">
        <w:trPr>
          <w:trHeight w:val="292"/>
        </w:trPr>
        <w:tc>
          <w:tcPr>
            <w:tcW w:w="3118" w:type="dxa"/>
            <w:tcBorders>
              <w:top w:val="nil"/>
              <w:left w:val="nil"/>
              <w:right w:val="nil"/>
            </w:tcBorders>
            <w:shd w:val="clear" w:color="auto" w:fill="F2F2F2" w:themeFill="background1" w:themeFillShade="F2"/>
            <w:vAlign w:val="center"/>
            <w:hideMark/>
          </w:tcPr>
          <w:p w14:paraId="06192AE4" w14:textId="77777777" w:rsidR="00B0794C" w:rsidRPr="009A7E97" w:rsidRDefault="007A55E1" w:rsidP="00794CA7">
            <w:pPr>
              <w:pStyle w:val="Tabletextleft0"/>
              <w:spacing w:before="50" w:after="50"/>
            </w:pPr>
            <w:r>
              <w:t>Victoria</w:t>
            </w:r>
          </w:p>
        </w:tc>
        <w:tc>
          <w:tcPr>
            <w:tcW w:w="3118" w:type="dxa"/>
            <w:tcBorders>
              <w:top w:val="nil"/>
              <w:left w:val="nil"/>
              <w:right w:val="nil"/>
            </w:tcBorders>
            <w:shd w:val="clear" w:color="auto" w:fill="F2F2F2" w:themeFill="background1" w:themeFillShade="F2"/>
            <w:vAlign w:val="center"/>
            <w:hideMark/>
          </w:tcPr>
          <w:p w14:paraId="0E8F1B10" w14:textId="77777777" w:rsidR="00B0794C" w:rsidRPr="009A7E97" w:rsidRDefault="00B0794C" w:rsidP="00794CA7">
            <w:pPr>
              <w:pStyle w:val="Tabletextcentred"/>
              <w:spacing w:before="50" w:after="50"/>
            </w:pPr>
            <w:r w:rsidRPr="009A7E97">
              <w:rPr>
                <w:rFonts w:eastAsiaTheme="minorEastAsia"/>
              </w:rPr>
              <w:t>1</w:t>
            </w:r>
            <w:r w:rsidR="007A55E1">
              <w:rPr>
                <w:rFonts w:eastAsiaTheme="minorEastAsia"/>
              </w:rPr>
              <w:t>4</w:t>
            </w:r>
          </w:p>
        </w:tc>
        <w:tc>
          <w:tcPr>
            <w:tcW w:w="3118" w:type="dxa"/>
            <w:tcBorders>
              <w:top w:val="nil"/>
              <w:left w:val="nil"/>
              <w:right w:val="nil"/>
            </w:tcBorders>
            <w:shd w:val="clear" w:color="auto" w:fill="F2F2F2" w:themeFill="background1" w:themeFillShade="F2"/>
            <w:vAlign w:val="center"/>
            <w:hideMark/>
          </w:tcPr>
          <w:p w14:paraId="230DEB10" w14:textId="77777777" w:rsidR="00B0794C" w:rsidRPr="009A7E97" w:rsidRDefault="007A55E1" w:rsidP="00794CA7">
            <w:pPr>
              <w:pStyle w:val="Tabletextcentred"/>
              <w:spacing w:before="50" w:after="50"/>
            </w:pPr>
            <w:r>
              <w:rPr>
                <w:rFonts w:eastAsiaTheme="minorEastAsia"/>
              </w:rPr>
              <w:t>2</w:t>
            </w:r>
          </w:p>
        </w:tc>
      </w:tr>
      <w:tr w:rsidR="00B0794C" w:rsidRPr="009A7E97" w14:paraId="2AE6050D" w14:textId="77777777" w:rsidTr="00794CA7">
        <w:trPr>
          <w:trHeight w:val="292"/>
        </w:trPr>
        <w:tc>
          <w:tcPr>
            <w:tcW w:w="3118" w:type="dxa"/>
            <w:tcBorders>
              <w:top w:val="nil"/>
              <w:left w:val="nil"/>
              <w:bottom w:val="single" w:sz="8" w:space="0" w:color="000000" w:themeColor="text1"/>
              <w:right w:val="nil"/>
            </w:tcBorders>
            <w:shd w:val="clear" w:color="000000" w:fill="FFFFFF"/>
            <w:vAlign w:val="center"/>
            <w:hideMark/>
          </w:tcPr>
          <w:p w14:paraId="51A1DEEE" w14:textId="77777777" w:rsidR="00B0794C" w:rsidRPr="009A7E97" w:rsidRDefault="007A55E1" w:rsidP="00794CA7">
            <w:pPr>
              <w:pStyle w:val="Tabletextleft0"/>
              <w:spacing w:before="50" w:after="50"/>
            </w:pPr>
            <w:r>
              <w:t>Western Australia</w:t>
            </w:r>
          </w:p>
        </w:tc>
        <w:tc>
          <w:tcPr>
            <w:tcW w:w="3118" w:type="dxa"/>
            <w:tcBorders>
              <w:top w:val="nil"/>
              <w:left w:val="nil"/>
              <w:bottom w:val="single" w:sz="8" w:space="0" w:color="000000" w:themeColor="text1"/>
              <w:right w:val="nil"/>
            </w:tcBorders>
            <w:shd w:val="clear" w:color="000000" w:fill="FFFFFF"/>
            <w:vAlign w:val="center"/>
            <w:hideMark/>
          </w:tcPr>
          <w:p w14:paraId="49F22C8C" w14:textId="77777777" w:rsidR="00B0794C" w:rsidRPr="009A7E97" w:rsidRDefault="007A55E1" w:rsidP="00794CA7">
            <w:pPr>
              <w:pStyle w:val="Tabletextcentred"/>
              <w:spacing w:before="50" w:after="50"/>
            </w:pPr>
            <w:r>
              <w:rPr>
                <w:rFonts w:eastAsiaTheme="minorEastAsia"/>
              </w:rPr>
              <w:t>14</w:t>
            </w:r>
          </w:p>
        </w:tc>
        <w:tc>
          <w:tcPr>
            <w:tcW w:w="3118" w:type="dxa"/>
            <w:tcBorders>
              <w:top w:val="nil"/>
              <w:left w:val="nil"/>
              <w:bottom w:val="single" w:sz="8" w:space="0" w:color="000000" w:themeColor="text1"/>
              <w:right w:val="nil"/>
            </w:tcBorders>
            <w:shd w:val="clear" w:color="000000" w:fill="FFFFFF"/>
            <w:vAlign w:val="center"/>
            <w:hideMark/>
          </w:tcPr>
          <w:p w14:paraId="6AA3D9C3" w14:textId="77777777" w:rsidR="00B0794C" w:rsidRPr="009A7E97" w:rsidRDefault="007A55E1" w:rsidP="00794CA7">
            <w:pPr>
              <w:pStyle w:val="Tabletextcentred"/>
              <w:spacing w:before="50" w:after="50"/>
            </w:pPr>
            <w:r>
              <w:rPr>
                <w:rFonts w:eastAsiaTheme="minorEastAsia"/>
              </w:rPr>
              <w:t>3</w:t>
            </w:r>
          </w:p>
        </w:tc>
      </w:tr>
      <w:tr w:rsidR="00B0794C" w:rsidRPr="00645CFF" w14:paraId="69473E66" w14:textId="77777777" w:rsidTr="00116242">
        <w:trPr>
          <w:trHeight w:val="292"/>
        </w:trPr>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55C9D30" w14:textId="77777777" w:rsidR="00B0794C" w:rsidRPr="00645CFF" w:rsidRDefault="00B0794C" w:rsidP="00794CA7">
            <w:pPr>
              <w:pStyle w:val="Tabletextleft0"/>
              <w:spacing w:before="50" w:after="50"/>
              <w:rPr>
                <w:b/>
              </w:rPr>
            </w:pPr>
            <w:r w:rsidRPr="00645CFF">
              <w:rPr>
                <w:rFonts w:eastAsiaTheme="minorEastAsia"/>
                <w:b/>
              </w:rPr>
              <w:t>Total</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D070FA1" w14:textId="77777777" w:rsidR="00B0794C" w:rsidRPr="00645CFF" w:rsidRDefault="00B0794C" w:rsidP="00794CA7">
            <w:pPr>
              <w:pStyle w:val="Tabletextcentred"/>
              <w:spacing w:before="50" w:after="50"/>
              <w:rPr>
                <w:b/>
              </w:rPr>
            </w:pPr>
            <w:r w:rsidRPr="00645CFF">
              <w:rPr>
                <w:rFonts w:eastAsiaTheme="minorEastAsia"/>
                <w:b/>
              </w:rPr>
              <w:t>83</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72EF817B" w14:textId="77777777" w:rsidR="00B0794C" w:rsidRPr="00645CFF" w:rsidRDefault="006E2B99" w:rsidP="00794CA7">
            <w:pPr>
              <w:pStyle w:val="Tabletextcentred"/>
              <w:spacing w:before="50" w:after="50"/>
              <w:rPr>
                <w:b/>
              </w:rPr>
            </w:pPr>
            <w:r w:rsidRPr="00645CFF">
              <w:rPr>
                <w:rFonts w:eastAsiaTheme="minorEastAsia"/>
                <w:b/>
              </w:rPr>
              <w:t>10</w:t>
            </w:r>
          </w:p>
        </w:tc>
      </w:tr>
    </w:tbl>
    <w:p w14:paraId="5C54B9C1" w14:textId="69E6E3D7" w:rsidR="00542A1D" w:rsidRDefault="00542A1D" w:rsidP="00794CA7">
      <w:pPr>
        <w:pStyle w:val="ChartorTableNote"/>
        <w:spacing w:after="0"/>
        <w:rPr>
          <w:rFonts w:eastAsiaTheme="minorEastAsia"/>
        </w:rPr>
      </w:pPr>
      <w:r w:rsidRPr="0020422D">
        <w:rPr>
          <w:rFonts w:eastAsiaTheme="minorEastAsia"/>
        </w:rPr>
        <w:t>* 95 per cent confidence interval</w:t>
      </w:r>
      <w:r>
        <w:rPr>
          <w:rFonts w:eastAsiaTheme="minorEastAsia"/>
        </w:rPr>
        <w:t>.</w:t>
      </w:r>
    </w:p>
    <w:p w14:paraId="6FFA2601" w14:textId="77777777" w:rsidR="00794CA7" w:rsidRDefault="00794CA7" w:rsidP="00794CA7">
      <w:pPr>
        <w:pStyle w:val="SingleParagraph"/>
      </w:pPr>
    </w:p>
    <w:p w14:paraId="0FDAE8BC" w14:textId="7A720029" w:rsidR="00F613A4" w:rsidRDefault="00F613A4" w:rsidP="00F12EE0">
      <w:pPr>
        <w:pStyle w:val="TableMainHeading"/>
        <w:keepLines/>
      </w:pPr>
      <w:r>
        <w:lastRenderedPageBreak/>
        <w:t>Table 7</w:t>
      </w:r>
      <w:r w:rsidRPr="009A7E97">
        <w:t>: Instance of bunching found – bandwidth increased by 25 per cent</w:t>
      </w:r>
    </w:p>
    <w:tbl>
      <w:tblPr>
        <w:tblW w:w="9354" w:type="dxa"/>
        <w:tblInd w:w="93" w:type="dxa"/>
        <w:tblLook w:val="04A0" w:firstRow="1" w:lastRow="0" w:firstColumn="1" w:lastColumn="0" w:noHBand="0" w:noVBand="1"/>
      </w:tblPr>
      <w:tblGrid>
        <w:gridCol w:w="3118"/>
        <w:gridCol w:w="3118"/>
        <w:gridCol w:w="3118"/>
      </w:tblGrid>
      <w:tr w:rsidR="00F613A4" w:rsidRPr="00281637" w14:paraId="0DADA733" w14:textId="77777777" w:rsidTr="00116242">
        <w:trPr>
          <w:trHeight w:val="308"/>
        </w:trPr>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1FCBACE4" w14:textId="77777777" w:rsidR="00F613A4" w:rsidRPr="00281637" w:rsidRDefault="00F613A4" w:rsidP="00794CA7">
            <w:pPr>
              <w:pStyle w:val="TableColumnHeadingLeft"/>
              <w:keepNext/>
              <w:keepLines/>
              <w:spacing w:before="50" w:after="50"/>
              <w:rPr>
                <w:rFonts w:eastAsiaTheme="minorEastAsia"/>
              </w:rPr>
            </w:pPr>
            <w:r w:rsidRPr="00281637">
              <w:rPr>
                <w:rFonts w:eastAsiaTheme="minorEastAsia"/>
              </w:rPr>
              <w:t>State</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3B45DAC" w14:textId="77777777" w:rsidR="00F613A4" w:rsidRPr="00281637" w:rsidRDefault="00F613A4" w:rsidP="00794CA7">
            <w:pPr>
              <w:pStyle w:val="TableColumnHeadingCentred"/>
              <w:keepNext/>
              <w:keepLines/>
              <w:spacing w:before="50" w:after="50"/>
              <w:rPr>
                <w:rFonts w:eastAsiaTheme="minorEastAsia"/>
              </w:rPr>
            </w:pPr>
            <w:r w:rsidRPr="00281637">
              <w:rPr>
                <w:rFonts w:eastAsiaTheme="minorEastAsia"/>
              </w:rPr>
              <w:t>No. of tests</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197A8E31" w14:textId="77777777" w:rsidR="00F613A4" w:rsidRPr="00281637" w:rsidRDefault="00F613A4" w:rsidP="00794CA7">
            <w:pPr>
              <w:pStyle w:val="TableColumnHeadingCentred"/>
              <w:keepNext/>
              <w:keepLines/>
              <w:spacing w:before="50" w:after="50"/>
              <w:rPr>
                <w:rFonts w:eastAsiaTheme="minorEastAsia"/>
              </w:rPr>
            </w:pPr>
            <w:r w:rsidRPr="00281637">
              <w:rPr>
                <w:rFonts w:eastAsiaTheme="minorEastAsia"/>
              </w:rPr>
              <w:t>No. found significant</w:t>
            </w:r>
            <w:r>
              <w:rPr>
                <w:rFonts w:eastAsiaTheme="minorEastAsia"/>
              </w:rPr>
              <w:t>*</w:t>
            </w:r>
          </w:p>
        </w:tc>
      </w:tr>
      <w:tr w:rsidR="00F613A4" w:rsidRPr="009A7E97" w14:paraId="26FB00D1" w14:textId="77777777" w:rsidTr="00794CA7">
        <w:trPr>
          <w:trHeight w:val="308"/>
        </w:trPr>
        <w:tc>
          <w:tcPr>
            <w:tcW w:w="3118" w:type="dxa"/>
            <w:tcBorders>
              <w:top w:val="single" w:sz="8" w:space="0" w:color="000000" w:themeColor="text1"/>
              <w:left w:val="nil"/>
              <w:bottom w:val="nil"/>
              <w:right w:val="nil"/>
            </w:tcBorders>
            <w:shd w:val="clear" w:color="000000" w:fill="FFFFFF"/>
            <w:vAlign w:val="center"/>
            <w:hideMark/>
          </w:tcPr>
          <w:p w14:paraId="59F4083F" w14:textId="77777777" w:rsidR="00F613A4" w:rsidRPr="009A7E97" w:rsidRDefault="00F613A4" w:rsidP="00794CA7">
            <w:pPr>
              <w:pStyle w:val="Tabletextleft0"/>
              <w:keepNext/>
              <w:keepLines/>
              <w:spacing w:before="50" w:after="50"/>
            </w:pPr>
            <w:r>
              <w:rPr>
                <w:rFonts w:eastAsiaTheme="minorEastAsia"/>
              </w:rPr>
              <w:t>New South Wales</w:t>
            </w:r>
          </w:p>
        </w:tc>
        <w:tc>
          <w:tcPr>
            <w:tcW w:w="3118" w:type="dxa"/>
            <w:tcBorders>
              <w:top w:val="single" w:sz="8" w:space="0" w:color="000000" w:themeColor="text1"/>
              <w:left w:val="nil"/>
              <w:bottom w:val="nil"/>
              <w:right w:val="nil"/>
            </w:tcBorders>
            <w:shd w:val="clear" w:color="000000" w:fill="FFFFFF"/>
            <w:vAlign w:val="center"/>
            <w:hideMark/>
          </w:tcPr>
          <w:p w14:paraId="01ED45FD" w14:textId="77777777" w:rsidR="00F613A4" w:rsidRPr="009A7E97" w:rsidRDefault="00F613A4" w:rsidP="00794CA7">
            <w:pPr>
              <w:pStyle w:val="Tabletextcentred"/>
              <w:keepNext/>
              <w:keepLines/>
              <w:spacing w:before="50" w:after="50"/>
            </w:pPr>
            <w:r w:rsidRPr="009A7E97">
              <w:rPr>
                <w:rFonts w:eastAsiaTheme="minorEastAsia"/>
              </w:rPr>
              <w:t>14</w:t>
            </w:r>
          </w:p>
        </w:tc>
        <w:tc>
          <w:tcPr>
            <w:tcW w:w="3118" w:type="dxa"/>
            <w:tcBorders>
              <w:top w:val="single" w:sz="8" w:space="0" w:color="000000" w:themeColor="text1"/>
              <w:left w:val="nil"/>
              <w:bottom w:val="nil"/>
              <w:right w:val="nil"/>
            </w:tcBorders>
            <w:shd w:val="clear" w:color="000000" w:fill="FFFFFF"/>
            <w:vAlign w:val="center"/>
            <w:hideMark/>
          </w:tcPr>
          <w:p w14:paraId="06A29A02" w14:textId="77777777" w:rsidR="00F613A4" w:rsidRPr="009A7E97" w:rsidRDefault="00F613A4" w:rsidP="00794CA7">
            <w:pPr>
              <w:pStyle w:val="Tabletextcentred"/>
              <w:keepNext/>
              <w:keepLines/>
              <w:spacing w:before="50" w:after="50"/>
            </w:pPr>
            <w:r>
              <w:t>2</w:t>
            </w:r>
          </w:p>
        </w:tc>
      </w:tr>
      <w:tr w:rsidR="00F613A4" w:rsidRPr="009A7E97" w14:paraId="2F4D397D" w14:textId="77777777" w:rsidTr="00116242">
        <w:trPr>
          <w:trHeight w:val="308"/>
        </w:trPr>
        <w:tc>
          <w:tcPr>
            <w:tcW w:w="3118" w:type="dxa"/>
            <w:tcBorders>
              <w:top w:val="nil"/>
              <w:left w:val="nil"/>
              <w:bottom w:val="nil"/>
              <w:right w:val="nil"/>
            </w:tcBorders>
            <w:shd w:val="clear" w:color="auto" w:fill="F2F2F2" w:themeFill="background1" w:themeFillShade="F2"/>
            <w:vAlign w:val="center"/>
            <w:hideMark/>
          </w:tcPr>
          <w:p w14:paraId="065B2459" w14:textId="77777777" w:rsidR="00F613A4" w:rsidRPr="009A7E97" w:rsidRDefault="00F613A4" w:rsidP="00794CA7">
            <w:pPr>
              <w:pStyle w:val="Tabletextleft0"/>
              <w:keepNext/>
              <w:keepLines/>
              <w:spacing w:before="50" w:after="50"/>
            </w:pPr>
            <w:r>
              <w:t>Northern Territory</w:t>
            </w:r>
          </w:p>
        </w:tc>
        <w:tc>
          <w:tcPr>
            <w:tcW w:w="3118" w:type="dxa"/>
            <w:tcBorders>
              <w:top w:val="nil"/>
              <w:left w:val="nil"/>
              <w:bottom w:val="nil"/>
              <w:right w:val="nil"/>
            </w:tcBorders>
            <w:shd w:val="clear" w:color="auto" w:fill="F2F2F2" w:themeFill="background1" w:themeFillShade="F2"/>
            <w:vAlign w:val="center"/>
            <w:hideMark/>
          </w:tcPr>
          <w:p w14:paraId="718E0EAB" w14:textId="77777777" w:rsidR="00F613A4" w:rsidRPr="009A7E97" w:rsidRDefault="00F613A4" w:rsidP="00794CA7">
            <w:pPr>
              <w:pStyle w:val="Tabletextcentred"/>
              <w:keepNext/>
              <w:keepLines/>
              <w:spacing w:before="50" w:after="50"/>
            </w:pPr>
            <w:r w:rsidRPr="009A7E97">
              <w:rPr>
                <w:rFonts w:eastAsiaTheme="minorEastAsia"/>
              </w:rPr>
              <w:t>14</w:t>
            </w:r>
          </w:p>
        </w:tc>
        <w:tc>
          <w:tcPr>
            <w:tcW w:w="3118" w:type="dxa"/>
            <w:tcBorders>
              <w:top w:val="nil"/>
              <w:left w:val="nil"/>
              <w:bottom w:val="nil"/>
              <w:right w:val="nil"/>
            </w:tcBorders>
            <w:shd w:val="clear" w:color="auto" w:fill="F2F2F2" w:themeFill="background1" w:themeFillShade="F2"/>
            <w:vAlign w:val="center"/>
            <w:hideMark/>
          </w:tcPr>
          <w:p w14:paraId="71D5B9FE" w14:textId="77777777" w:rsidR="00F613A4" w:rsidRPr="009A7E97" w:rsidRDefault="00F613A4" w:rsidP="00794CA7">
            <w:pPr>
              <w:pStyle w:val="Tabletextcentred"/>
              <w:keepNext/>
              <w:keepLines/>
              <w:spacing w:before="50" w:after="50"/>
            </w:pPr>
            <w:r>
              <w:rPr>
                <w:rFonts w:eastAsiaTheme="minorEastAsia"/>
              </w:rPr>
              <w:t>1</w:t>
            </w:r>
          </w:p>
        </w:tc>
      </w:tr>
      <w:tr w:rsidR="00F613A4" w:rsidRPr="009A7E97" w14:paraId="1063D277" w14:textId="77777777" w:rsidTr="00794CA7">
        <w:trPr>
          <w:trHeight w:val="308"/>
        </w:trPr>
        <w:tc>
          <w:tcPr>
            <w:tcW w:w="3118" w:type="dxa"/>
            <w:tcBorders>
              <w:top w:val="nil"/>
              <w:left w:val="nil"/>
              <w:bottom w:val="nil"/>
              <w:right w:val="nil"/>
            </w:tcBorders>
            <w:shd w:val="clear" w:color="000000" w:fill="FFFFFF"/>
            <w:vAlign w:val="center"/>
            <w:hideMark/>
          </w:tcPr>
          <w:p w14:paraId="40A33FC2" w14:textId="77777777" w:rsidR="00F613A4" w:rsidRPr="009A7E97" w:rsidRDefault="00F613A4" w:rsidP="00794CA7">
            <w:pPr>
              <w:pStyle w:val="Tabletextleft0"/>
              <w:keepNext/>
              <w:keepLines/>
              <w:spacing w:before="50" w:after="50"/>
            </w:pPr>
            <w:r>
              <w:t>Queensland</w:t>
            </w:r>
          </w:p>
        </w:tc>
        <w:tc>
          <w:tcPr>
            <w:tcW w:w="3118" w:type="dxa"/>
            <w:tcBorders>
              <w:top w:val="nil"/>
              <w:left w:val="nil"/>
              <w:bottom w:val="nil"/>
              <w:right w:val="nil"/>
            </w:tcBorders>
            <w:shd w:val="clear" w:color="000000" w:fill="FFFFFF"/>
            <w:vAlign w:val="center"/>
            <w:hideMark/>
          </w:tcPr>
          <w:p w14:paraId="51D1DD07" w14:textId="77777777" w:rsidR="00F613A4" w:rsidRPr="009A7E97" w:rsidRDefault="00F613A4" w:rsidP="00794CA7">
            <w:pPr>
              <w:pStyle w:val="Tabletextcentred"/>
              <w:keepNext/>
              <w:keepLines/>
              <w:spacing w:before="50" w:after="50"/>
            </w:pPr>
            <w:r w:rsidRPr="009A7E97">
              <w:rPr>
                <w:rFonts w:eastAsiaTheme="minorEastAsia"/>
              </w:rPr>
              <w:t>14</w:t>
            </w:r>
          </w:p>
        </w:tc>
        <w:tc>
          <w:tcPr>
            <w:tcW w:w="3118" w:type="dxa"/>
            <w:tcBorders>
              <w:top w:val="nil"/>
              <w:left w:val="nil"/>
              <w:bottom w:val="nil"/>
              <w:right w:val="nil"/>
            </w:tcBorders>
            <w:shd w:val="clear" w:color="000000" w:fill="FFFFFF"/>
            <w:vAlign w:val="center"/>
            <w:hideMark/>
          </w:tcPr>
          <w:p w14:paraId="7B19306D" w14:textId="77777777" w:rsidR="00F613A4" w:rsidRPr="009A7E97" w:rsidRDefault="00F613A4" w:rsidP="00794CA7">
            <w:pPr>
              <w:pStyle w:val="Tabletextcentred"/>
              <w:keepNext/>
              <w:keepLines/>
              <w:spacing w:before="50" w:after="50"/>
            </w:pPr>
            <w:r w:rsidRPr="009A7E97">
              <w:rPr>
                <w:rFonts w:eastAsiaTheme="minorEastAsia"/>
              </w:rPr>
              <w:t>0</w:t>
            </w:r>
          </w:p>
        </w:tc>
      </w:tr>
      <w:tr w:rsidR="00F613A4" w:rsidRPr="009A7E97" w14:paraId="5EAC736B" w14:textId="77777777" w:rsidTr="00116242">
        <w:trPr>
          <w:trHeight w:val="308"/>
        </w:trPr>
        <w:tc>
          <w:tcPr>
            <w:tcW w:w="3118" w:type="dxa"/>
            <w:tcBorders>
              <w:top w:val="nil"/>
              <w:left w:val="nil"/>
              <w:bottom w:val="nil"/>
              <w:right w:val="nil"/>
            </w:tcBorders>
            <w:shd w:val="clear" w:color="auto" w:fill="F2F2F2" w:themeFill="background1" w:themeFillShade="F2"/>
            <w:vAlign w:val="center"/>
            <w:hideMark/>
          </w:tcPr>
          <w:p w14:paraId="608DE549" w14:textId="77777777" w:rsidR="00F613A4" w:rsidRPr="009A7E97" w:rsidRDefault="00F613A4" w:rsidP="00794CA7">
            <w:pPr>
              <w:pStyle w:val="Tabletextleft0"/>
              <w:keepNext/>
              <w:keepLines/>
              <w:spacing w:before="50" w:after="50"/>
            </w:pPr>
            <w:r>
              <w:t>South Australia</w:t>
            </w:r>
          </w:p>
        </w:tc>
        <w:tc>
          <w:tcPr>
            <w:tcW w:w="3118" w:type="dxa"/>
            <w:tcBorders>
              <w:top w:val="nil"/>
              <w:left w:val="nil"/>
              <w:bottom w:val="nil"/>
              <w:right w:val="nil"/>
            </w:tcBorders>
            <w:shd w:val="clear" w:color="auto" w:fill="F2F2F2" w:themeFill="background1" w:themeFillShade="F2"/>
            <w:vAlign w:val="center"/>
            <w:hideMark/>
          </w:tcPr>
          <w:p w14:paraId="3EA21B5A" w14:textId="77777777" w:rsidR="00F613A4" w:rsidRPr="009A7E97" w:rsidRDefault="00F613A4" w:rsidP="00794CA7">
            <w:pPr>
              <w:pStyle w:val="Tabletextcentred"/>
              <w:keepNext/>
              <w:keepLines/>
              <w:spacing w:before="50" w:after="50"/>
            </w:pPr>
            <w:r w:rsidRPr="009A7E97">
              <w:rPr>
                <w:rFonts w:eastAsiaTheme="minorEastAsia"/>
              </w:rPr>
              <w:t>14</w:t>
            </w:r>
          </w:p>
        </w:tc>
        <w:tc>
          <w:tcPr>
            <w:tcW w:w="3118" w:type="dxa"/>
            <w:tcBorders>
              <w:top w:val="nil"/>
              <w:left w:val="nil"/>
              <w:bottom w:val="nil"/>
              <w:right w:val="nil"/>
            </w:tcBorders>
            <w:shd w:val="clear" w:color="auto" w:fill="F2F2F2" w:themeFill="background1" w:themeFillShade="F2"/>
            <w:vAlign w:val="center"/>
            <w:hideMark/>
          </w:tcPr>
          <w:p w14:paraId="6C0032DF" w14:textId="77777777" w:rsidR="00F613A4" w:rsidRPr="009A7E97" w:rsidRDefault="00F613A4" w:rsidP="00794CA7">
            <w:pPr>
              <w:pStyle w:val="Tabletextcentred"/>
              <w:keepNext/>
              <w:keepLines/>
              <w:spacing w:before="50" w:after="50"/>
            </w:pPr>
            <w:r w:rsidRPr="009A7E97">
              <w:rPr>
                <w:rFonts w:eastAsiaTheme="minorEastAsia"/>
              </w:rPr>
              <w:t>0</w:t>
            </w:r>
          </w:p>
        </w:tc>
      </w:tr>
      <w:tr w:rsidR="00F613A4" w:rsidRPr="009A7E97" w14:paraId="1847D630" w14:textId="77777777" w:rsidTr="00794CA7">
        <w:trPr>
          <w:trHeight w:val="308"/>
        </w:trPr>
        <w:tc>
          <w:tcPr>
            <w:tcW w:w="3118" w:type="dxa"/>
            <w:tcBorders>
              <w:top w:val="nil"/>
              <w:left w:val="nil"/>
              <w:bottom w:val="nil"/>
              <w:right w:val="nil"/>
            </w:tcBorders>
            <w:shd w:val="clear" w:color="000000" w:fill="FFFFFF"/>
            <w:vAlign w:val="center"/>
            <w:hideMark/>
          </w:tcPr>
          <w:p w14:paraId="18D4CAFB" w14:textId="77777777" w:rsidR="00F613A4" w:rsidRPr="009A7E97" w:rsidRDefault="00F613A4" w:rsidP="00794CA7">
            <w:pPr>
              <w:pStyle w:val="Tabletextleft0"/>
              <w:keepNext/>
              <w:keepLines/>
              <w:spacing w:before="50" w:after="50"/>
            </w:pPr>
            <w:r>
              <w:t>Tasmania</w:t>
            </w:r>
          </w:p>
        </w:tc>
        <w:tc>
          <w:tcPr>
            <w:tcW w:w="3118" w:type="dxa"/>
            <w:tcBorders>
              <w:top w:val="nil"/>
              <w:left w:val="nil"/>
              <w:bottom w:val="nil"/>
              <w:right w:val="nil"/>
            </w:tcBorders>
            <w:shd w:val="clear" w:color="000000" w:fill="FFFFFF"/>
            <w:vAlign w:val="center"/>
            <w:hideMark/>
          </w:tcPr>
          <w:p w14:paraId="367BC35F" w14:textId="77777777" w:rsidR="00F613A4" w:rsidRPr="009A7E97" w:rsidRDefault="00F613A4" w:rsidP="00794CA7">
            <w:pPr>
              <w:pStyle w:val="Tabletextcentred"/>
              <w:keepNext/>
              <w:keepLines/>
              <w:spacing w:before="50" w:after="50"/>
            </w:pPr>
            <w:r w:rsidRPr="009A7E97">
              <w:rPr>
                <w:rFonts w:eastAsiaTheme="minorEastAsia"/>
              </w:rPr>
              <w:t>1</w:t>
            </w:r>
            <w:r>
              <w:rPr>
                <w:rFonts w:eastAsiaTheme="minorEastAsia"/>
              </w:rPr>
              <w:t>3</w:t>
            </w:r>
          </w:p>
        </w:tc>
        <w:tc>
          <w:tcPr>
            <w:tcW w:w="3118" w:type="dxa"/>
            <w:tcBorders>
              <w:top w:val="nil"/>
              <w:left w:val="nil"/>
              <w:bottom w:val="nil"/>
              <w:right w:val="nil"/>
            </w:tcBorders>
            <w:shd w:val="clear" w:color="000000" w:fill="FFFFFF"/>
            <w:vAlign w:val="center"/>
            <w:hideMark/>
          </w:tcPr>
          <w:p w14:paraId="4502D23A" w14:textId="77777777" w:rsidR="00F613A4" w:rsidRPr="009A7E97" w:rsidRDefault="00F613A4" w:rsidP="00794CA7">
            <w:pPr>
              <w:pStyle w:val="Tabletextcentred"/>
              <w:keepNext/>
              <w:keepLines/>
              <w:spacing w:before="50" w:after="50"/>
            </w:pPr>
            <w:r>
              <w:rPr>
                <w:rFonts w:eastAsiaTheme="minorEastAsia"/>
              </w:rPr>
              <w:t>1</w:t>
            </w:r>
          </w:p>
        </w:tc>
      </w:tr>
      <w:tr w:rsidR="00F613A4" w:rsidRPr="009A7E97" w14:paraId="33F12D32" w14:textId="77777777" w:rsidTr="00116242">
        <w:trPr>
          <w:trHeight w:val="308"/>
        </w:trPr>
        <w:tc>
          <w:tcPr>
            <w:tcW w:w="3118" w:type="dxa"/>
            <w:tcBorders>
              <w:top w:val="nil"/>
              <w:left w:val="nil"/>
              <w:right w:val="nil"/>
            </w:tcBorders>
            <w:shd w:val="clear" w:color="auto" w:fill="F2F2F2" w:themeFill="background1" w:themeFillShade="F2"/>
            <w:vAlign w:val="center"/>
            <w:hideMark/>
          </w:tcPr>
          <w:p w14:paraId="16F09E1F" w14:textId="77777777" w:rsidR="00F613A4" w:rsidRPr="009A7E97" w:rsidRDefault="00F613A4" w:rsidP="00794CA7">
            <w:pPr>
              <w:pStyle w:val="Tabletextleft0"/>
              <w:keepNext/>
              <w:keepLines/>
              <w:spacing w:before="50" w:after="50"/>
            </w:pPr>
            <w:r>
              <w:t>Victoria</w:t>
            </w:r>
          </w:p>
        </w:tc>
        <w:tc>
          <w:tcPr>
            <w:tcW w:w="3118" w:type="dxa"/>
            <w:tcBorders>
              <w:top w:val="nil"/>
              <w:left w:val="nil"/>
              <w:right w:val="nil"/>
            </w:tcBorders>
            <w:shd w:val="clear" w:color="auto" w:fill="F2F2F2" w:themeFill="background1" w:themeFillShade="F2"/>
            <w:vAlign w:val="center"/>
            <w:hideMark/>
          </w:tcPr>
          <w:p w14:paraId="27EEC4F5" w14:textId="77777777" w:rsidR="00F613A4" w:rsidRPr="009A7E97" w:rsidRDefault="00F613A4" w:rsidP="00794CA7">
            <w:pPr>
              <w:pStyle w:val="Tabletextcentred"/>
              <w:keepNext/>
              <w:keepLines/>
              <w:spacing w:before="50" w:after="50"/>
            </w:pPr>
            <w:r w:rsidRPr="009A7E97">
              <w:rPr>
                <w:rFonts w:eastAsiaTheme="minorEastAsia"/>
              </w:rPr>
              <w:t>1</w:t>
            </w:r>
            <w:r>
              <w:rPr>
                <w:rFonts w:eastAsiaTheme="minorEastAsia"/>
              </w:rPr>
              <w:t>4</w:t>
            </w:r>
          </w:p>
        </w:tc>
        <w:tc>
          <w:tcPr>
            <w:tcW w:w="3118" w:type="dxa"/>
            <w:tcBorders>
              <w:top w:val="nil"/>
              <w:left w:val="nil"/>
              <w:right w:val="nil"/>
            </w:tcBorders>
            <w:shd w:val="clear" w:color="auto" w:fill="F2F2F2" w:themeFill="background1" w:themeFillShade="F2"/>
            <w:vAlign w:val="center"/>
            <w:hideMark/>
          </w:tcPr>
          <w:p w14:paraId="0E06BF9A" w14:textId="77777777" w:rsidR="00F613A4" w:rsidRPr="009A7E97" w:rsidRDefault="00F613A4" w:rsidP="00794CA7">
            <w:pPr>
              <w:pStyle w:val="Tabletextcentred"/>
              <w:keepNext/>
              <w:keepLines/>
              <w:spacing w:before="50" w:after="50"/>
            </w:pPr>
            <w:r>
              <w:rPr>
                <w:rFonts w:eastAsiaTheme="minorEastAsia"/>
              </w:rPr>
              <w:t>5</w:t>
            </w:r>
          </w:p>
        </w:tc>
      </w:tr>
      <w:tr w:rsidR="00F613A4" w:rsidRPr="009A7E97" w14:paraId="29088586" w14:textId="77777777" w:rsidTr="00794CA7">
        <w:trPr>
          <w:trHeight w:val="308"/>
        </w:trPr>
        <w:tc>
          <w:tcPr>
            <w:tcW w:w="3118" w:type="dxa"/>
            <w:tcBorders>
              <w:top w:val="nil"/>
              <w:left w:val="nil"/>
              <w:bottom w:val="single" w:sz="8" w:space="0" w:color="000000" w:themeColor="text1"/>
              <w:right w:val="nil"/>
            </w:tcBorders>
            <w:shd w:val="clear" w:color="000000" w:fill="FFFFFF"/>
            <w:vAlign w:val="center"/>
            <w:hideMark/>
          </w:tcPr>
          <w:p w14:paraId="465F9E1F" w14:textId="77777777" w:rsidR="00F613A4" w:rsidRPr="009A7E97" w:rsidRDefault="00F613A4" w:rsidP="00794CA7">
            <w:pPr>
              <w:pStyle w:val="Tabletextleft0"/>
              <w:keepNext/>
              <w:keepLines/>
              <w:spacing w:before="50" w:after="50"/>
            </w:pPr>
            <w:r>
              <w:t>Western Australia</w:t>
            </w:r>
          </w:p>
        </w:tc>
        <w:tc>
          <w:tcPr>
            <w:tcW w:w="3118" w:type="dxa"/>
            <w:tcBorders>
              <w:top w:val="nil"/>
              <w:left w:val="nil"/>
              <w:bottom w:val="single" w:sz="8" w:space="0" w:color="000000" w:themeColor="text1"/>
              <w:right w:val="nil"/>
            </w:tcBorders>
            <w:shd w:val="clear" w:color="000000" w:fill="FFFFFF"/>
            <w:vAlign w:val="center"/>
            <w:hideMark/>
          </w:tcPr>
          <w:p w14:paraId="5D41E5A0" w14:textId="77777777" w:rsidR="00F613A4" w:rsidRPr="009A7E97" w:rsidRDefault="00F613A4" w:rsidP="00794CA7">
            <w:pPr>
              <w:pStyle w:val="Tabletextcentred"/>
              <w:keepNext/>
              <w:keepLines/>
              <w:spacing w:before="50" w:after="50"/>
            </w:pPr>
            <w:r w:rsidRPr="009A7E97">
              <w:rPr>
                <w:rFonts w:eastAsiaTheme="minorEastAsia"/>
              </w:rPr>
              <w:t>14</w:t>
            </w:r>
          </w:p>
        </w:tc>
        <w:tc>
          <w:tcPr>
            <w:tcW w:w="3118" w:type="dxa"/>
            <w:tcBorders>
              <w:top w:val="nil"/>
              <w:left w:val="nil"/>
              <w:bottom w:val="single" w:sz="8" w:space="0" w:color="000000" w:themeColor="text1"/>
              <w:right w:val="nil"/>
            </w:tcBorders>
            <w:shd w:val="clear" w:color="000000" w:fill="FFFFFF"/>
            <w:vAlign w:val="center"/>
            <w:hideMark/>
          </w:tcPr>
          <w:p w14:paraId="44130736" w14:textId="77777777" w:rsidR="00F613A4" w:rsidRPr="009A7E97" w:rsidRDefault="00F613A4" w:rsidP="00794CA7">
            <w:pPr>
              <w:pStyle w:val="Tabletextcentred"/>
              <w:keepNext/>
              <w:keepLines/>
              <w:spacing w:before="50" w:after="50"/>
            </w:pPr>
            <w:r>
              <w:rPr>
                <w:rFonts w:eastAsiaTheme="minorEastAsia"/>
              </w:rPr>
              <w:t>3</w:t>
            </w:r>
          </w:p>
        </w:tc>
      </w:tr>
      <w:tr w:rsidR="00F613A4" w:rsidRPr="00116242" w14:paraId="6D7AC8DD" w14:textId="77777777" w:rsidTr="00116242">
        <w:trPr>
          <w:trHeight w:val="308"/>
        </w:trPr>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46F73687" w14:textId="77777777" w:rsidR="00F613A4" w:rsidRPr="00116242" w:rsidRDefault="00F613A4" w:rsidP="00794CA7">
            <w:pPr>
              <w:pStyle w:val="Tabletextleft0"/>
              <w:keepNext/>
              <w:keepLines/>
              <w:spacing w:before="50" w:after="50"/>
              <w:rPr>
                <w:b/>
              </w:rPr>
            </w:pPr>
            <w:r w:rsidRPr="00116242">
              <w:rPr>
                <w:rFonts w:eastAsiaTheme="minorEastAsia"/>
                <w:b/>
              </w:rPr>
              <w:t>Total</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14F3B283" w14:textId="77777777" w:rsidR="00F613A4" w:rsidRPr="00116242" w:rsidRDefault="00F613A4" w:rsidP="00794CA7">
            <w:pPr>
              <w:pStyle w:val="Tabletextcentred"/>
              <w:keepNext/>
              <w:keepLines/>
              <w:spacing w:before="50" w:after="50"/>
              <w:rPr>
                <w:b/>
              </w:rPr>
            </w:pPr>
            <w:r w:rsidRPr="00116242">
              <w:rPr>
                <w:rFonts w:eastAsiaTheme="minorEastAsia"/>
                <w:b/>
              </w:rPr>
              <w:t>97</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6413FA6B" w14:textId="77777777" w:rsidR="00F613A4" w:rsidRPr="00116242" w:rsidRDefault="00F613A4" w:rsidP="00794CA7">
            <w:pPr>
              <w:pStyle w:val="Tabletextcentred"/>
              <w:keepNext/>
              <w:keepLines/>
              <w:spacing w:before="50" w:after="50"/>
              <w:rPr>
                <w:b/>
              </w:rPr>
            </w:pPr>
            <w:r w:rsidRPr="00116242">
              <w:rPr>
                <w:rFonts w:eastAsiaTheme="minorEastAsia"/>
                <w:b/>
              </w:rPr>
              <w:t>12</w:t>
            </w:r>
          </w:p>
        </w:tc>
      </w:tr>
    </w:tbl>
    <w:p w14:paraId="64D0BCAE" w14:textId="52F9749C" w:rsidR="00FF4F3B" w:rsidRPr="0054156B" w:rsidRDefault="00542A1D" w:rsidP="0054156B">
      <w:pPr>
        <w:pStyle w:val="ChartorTableNote"/>
        <w:keepNext/>
        <w:keepLines/>
        <w:spacing w:after="0"/>
        <w:rPr>
          <w:rFonts w:eastAsiaTheme="minorEastAsia"/>
        </w:rPr>
      </w:pPr>
      <w:r w:rsidRPr="0020422D">
        <w:rPr>
          <w:rFonts w:eastAsiaTheme="minorEastAsia"/>
        </w:rPr>
        <w:t>* 95 per cent confidence interval</w:t>
      </w:r>
      <w:r>
        <w:rPr>
          <w:rFonts w:eastAsiaTheme="minorEastAsia"/>
        </w:rPr>
        <w:t>.</w:t>
      </w:r>
      <w:r w:rsidR="00116242">
        <w:rPr>
          <w:rFonts w:eastAsiaTheme="minorEastAsia"/>
        </w:rPr>
        <w:t xml:space="preserve"> </w:t>
      </w:r>
    </w:p>
    <w:p w14:paraId="6864E7BC" w14:textId="353ABF98" w:rsidR="00DF40B5" w:rsidRDefault="004B65B4" w:rsidP="0054156B">
      <w:pPr>
        <w:pStyle w:val="Heading4"/>
      </w:pPr>
      <w:r>
        <w:t xml:space="preserve">Can other factors explain the instances where </w:t>
      </w:r>
      <w:r w:rsidR="00B0794C">
        <w:t xml:space="preserve">bunching </w:t>
      </w:r>
      <w:r w:rsidR="00A21E19">
        <w:t>is occurring</w:t>
      </w:r>
      <w:r>
        <w:t>?</w:t>
      </w:r>
    </w:p>
    <w:p w14:paraId="53C0886C" w14:textId="763BEDCE" w:rsidR="00BF0E3A" w:rsidRDefault="00BF0E3A" w:rsidP="00BF0E3A">
      <w:pPr>
        <w:rPr>
          <w:rFonts w:eastAsiaTheme="minorEastAsia"/>
        </w:rPr>
      </w:pPr>
      <w:r>
        <w:rPr>
          <w:rFonts w:eastAsiaTheme="minorEastAsia"/>
        </w:rPr>
        <w:t>The more concrete instances of bunching are those that occur over consecutive years and do so at the 95 per cent confidence level. This occurs for both Western Australia and Victoria. A closer examination of the dataset slightly weakens the veracity of the Western Australia result, but also maintains the integrity of the result for Victoria.</w:t>
      </w:r>
    </w:p>
    <w:p w14:paraId="1C3E8083" w14:textId="77777777" w:rsidR="00BF0E3A" w:rsidRDefault="00BF0E3A" w:rsidP="00BF0E3A">
      <w:pPr>
        <w:rPr>
          <w:rFonts w:eastAsiaTheme="minorEastAsia"/>
        </w:rPr>
      </w:pPr>
      <w:r>
        <w:rPr>
          <w:rFonts w:eastAsiaTheme="minorEastAsia"/>
        </w:rPr>
        <w:t>The next section examines whether the bunching at the Victorian and Western Australian thresholds are unique to those states. This is then followed by an analysis of the firms on either side of the payroll tax threshold</w:t>
      </w:r>
      <w:r w:rsidR="00D706A9">
        <w:rPr>
          <w:rFonts w:eastAsiaTheme="minorEastAsia"/>
        </w:rPr>
        <w:t>.</w:t>
      </w:r>
    </w:p>
    <w:p w14:paraId="24D4DCEF" w14:textId="1A16B214" w:rsidR="00B0794C" w:rsidRDefault="007A55E1" w:rsidP="0054156B">
      <w:pPr>
        <w:pStyle w:val="Heading4"/>
      </w:pPr>
      <w:r>
        <w:t>N</w:t>
      </w:r>
      <w:r w:rsidR="00A47444">
        <w:t>ation-wide regulations</w:t>
      </w:r>
    </w:p>
    <w:p w14:paraId="152C9145" w14:textId="5A7C4256" w:rsidR="00B57867" w:rsidRDefault="00B57867" w:rsidP="00B0794C">
      <w:pPr>
        <w:rPr>
          <w:rFonts w:eastAsiaTheme="minorEastAsia"/>
        </w:rPr>
      </w:pPr>
      <w:r>
        <w:rPr>
          <w:rFonts w:eastAsiaTheme="minorEastAsia"/>
        </w:rPr>
        <w:t>Victoria and Western Australia have different payroll tax thresholds compared to the other states. There is the possibility that there could be some nation-wide regulation caus</w:t>
      </w:r>
      <w:r w:rsidR="00025E4F">
        <w:rPr>
          <w:rFonts w:eastAsiaTheme="minorEastAsia"/>
        </w:rPr>
        <w:t>ing</w:t>
      </w:r>
      <w:r>
        <w:rPr>
          <w:rFonts w:eastAsiaTheme="minorEastAsia"/>
        </w:rPr>
        <w:t xml:space="preserve"> bunching for these years. Two possible regulations are the small business test in the taxation system and the small business exemption from the unfair dismissal laws. </w:t>
      </w:r>
      <w:r>
        <w:t xml:space="preserve">The small business test for tax purposes applies to firms that have </w:t>
      </w:r>
      <w:r w:rsidR="006234F4">
        <w:t xml:space="preserve">less than </w:t>
      </w:r>
      <w:r>
        <w:t>$2</w:t>
      </w:r>
      <w:r w:rsidR="006234F4">
        <w:t xml:space="preserve"> </w:t>
      </w:r>
      <w:r>
        <w:t>m</w:t>
      </w:r>
      <w:r w:rsidR="006234F4">
        <w:t>illion</w:t>
      </w:r>
      <w:r>
        <w:t xml:space="preserve"> in turnover. This provides several tax and reporting concessions. The small business exemption from the unfair dismissal laws applies to firms that have fewer than 15</w:t>
      </w:r>
      <w:r w:rsidR="006234F4">
        <w:t> </w:t>
      </w:r>
      <w:r>
        <w:t>employees.</w:t>
      </w:r>
    </w:p>
    <w:p w14:paraId="69CDD2BD" w14:textId="77777777" w:rsidR="006736E9" w:rsidRDefault="00B0794C" w:rsidP="007A55E1">
      <w:pPr>
        <w:rPr>
          <w:rFonts w:eastAsiaTheme="minorEastAsia"/>
        </w:rPr>
      </w:pPr>
      <w:r>
        <w:rPr>
          <w:rFonts w:eastAsiaTheme="minorEastAsia"/>
        </w:rPr>
        <w:t>To test for this, the Victorian an</w:t>
      </w:r>
      <w:r w:rsidR="008C5057">
        <w:rPr>
          <w:rFonts w:eastAsiaTheme="minorEastAsia"/>
        </w:rPr>
        <w:t>d Western Australia thresholds a</w:t>
      </w:r>
      <w:r>
        <w:rPr>
          <w:rFonts w:eastAsiaTheme="minorEastAsia"/>
        </w:rPr>
        <w:t>re applied to the other states</w:t>
      </w:r>
      <w:r w:rsidR="00F1719C">
        <w:rPr>
          <w:rFonts w:eastAsiaTheme="minorEastAsia"/>
        </w:rPr>
        <w:t>.</w:t>
      </w:r>
      <w:r>
        <w:rPr>
          <w:rStyle w:val="FootnoteReference"/>
          <w:rFonts w:eastAsiaTheme="minorEastAsia"/>
        </w:rPr>
        <w:footnoteReference w:id="15"/>
      </w:r>
      <w:r>
        <w:rPr>
          <w:rFonts w:eastAsiaTheme="minorEastAsia"/>
        </w:rPr>
        <w:t xml:space="preserve"> The results are in tables </w:t>
      </w:r>
      <w:r w:rsidR="00D706A9">
        <w:rPr>
          <w:rFonts w:eastAsiaTheme="minorEastAsia"/>
        </w:rPr>
        <w:t xml:space="preserve">8 and 9 </w:t>
      </w:r>
      <w:r>
        <w:rPr>
          <w:rFonts w:eastAsiaTheme="minorEastAsia"/>
        </w:rPr>
        <w:t>below.</w:t>
      </w:r>
    </w:p>
    <w:p w14:paraId="495B1B53" w14:textId="4916D619" w:rsidR="00A47444" w:rsidRPr="00794CA7" w:rsidRDefault="00A47444" w:rsidP="00794CA7">
      <w:pPr>
        <w:pStyle w:val="TableMainHeading"/>
        <w:rPr>
          <w:rFonts w:eastAsiaTheme="minorEastAsia"/>
        </w:rPr>
      </w:pPr>
      <w:r w:rsidRPr="00794CA7">
        <w:t>Table 8: Victorian threshold applied to other states 201</w:t>
      </w:r>
      <w:r w:rsidR="007475AD" w:rsidRPr="00794CA7">
        <w:t>0-11 to 2012-</w:t>
      </w:r>
      <w:r w:rsidRPr="00794CA7">
        <w:t>13</w:t>
      </w:r>
    </w:p>
    <w:tbl>
      <w:tblPr>
        <w:tblW w:w="4916" w:type="pct"/>
        <w:tblLook w:val="04A0" w:firstRow="1" w:lastRow="0" w:firstColumn="1" w:lastColumn="0" w:noHBand="0" w:noVBand="1"/>
      </w:tblPr>
      <w:tblGrid>
        <w:gridCol w:w="3118"/>
        <w:gridCol w:w="3119"/>
        <w:gridCol w:w="3117"/>
      </w:tblGrid>
      <w:tr w:rsidR="00B0794C" w:rsidRPr="00774818" w14:paraId="4BAE5CF6" w14:textId="77777777" w:rsidTr="00116242">
        <w:trPr>
          <w:trHeight w:val="305"/>
        </w:trPr>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175D22EC" w14:textId="77777777" w:rsidR="00B0794C" w:rsidRPr="00A47444" w:rsidRDefault="00B0794C" w:rsidP="00645CFF">
            <w:pPr>
              <w:pStyle w:val="TableColumnHeadingLeft"/>
              <w:spacing w:before="54" w:after="54"/>
            </w:pPr>
            <w:r w:rsidRPr="00A47444">
              <w:t>State</w:t>
            </w:r>
          </w:p>
        </w:tc>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B11771F" w14:textId="77777777" w:rsidR="00B0794C" w:rsidRPr="00A47444" w:rsidRDefault="00B0794C" w:rsidP="00645CFF">
            <w:pPr>
              <w:pStyle w:val="TableColumnHeadingCentred"/>
              <w:spacing w:before="54" w:after="54"/>
            </w:pPr>
            <w:r w:rsidRPr="00A47444">
              <w:t>No. of tests</w:t>
            </w:r>
          </w:p>
        </w:tc>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1813D3BB" w14:textId="77777777" w:rsidR="00B0794C" w:rsidRPr="00A47444" w:rsidRDefault="00B0794C" w:rsidP="00645CFF">
            <w:pPr>
              <w:pStyle w:val="TableColumnHeadingCentred"/>
              <w:spacing w:before="54" w:after="54"/>
            </w:pPr>
            <w:r w:rsidRPr="00A47444">
              <w:rPr>
                <w:rFonts w:eastAsiaTheme="minorEastAsia"/>
              </w:rPr>
              <w:t>No. found significant</w:t>
            </w:r>
            <w:r w:rsidR="007A55E1" w:rsidRPr="00A47444">
              <w:rPr>
                <w:rFonts w:eastAsiaTheme="minorEastAsia"/>
              </w:rPr>
              <w:t>*</w:t>
            </w:r>
          </w:p>
        </w:tc>
      </w:tr>
      <w:tr w:rsidR="00B0794C" w:rsidRPr="00774818" w14:paraId="7B377050" w14:textId="77777777" w:rsidTr="00DF40B5">
        <w:trPr>
          <w:trHeight w:val="305"/>
        </w:trPr>
        <w:tc>
          <w:tcPr>
            <w:tcW w:w="1667" w:type="pct"/>
            <w:tcBorders>
              <w:top w:val="single" w:sz="8" w:space="0" w:color="000000" w:themeColor="text1"/>
              <w:left w:val="nil"/>
              <w:bottom w:val="nil"/>
              <w:right w:val="nil"/>
            </w:tcBorders>
            <w:shd w:val="clear" w:color="000000" w:fill="FFFFFF"/>
            <w:vAlign w:val="center"/>
            <w:hideMark/>
          </w:tcPr>
          <w:p w14:paraId="7B3133C3" w14:textId="77777777" w:rsidR="00B0794C" w:rsidRPr="00774818" w:rsidRDefault="00B0794C" w:rsidP="00645CFF">
            <w:pPr>
              <w:pStyle w:val="Tabletextleft0"/>
              <w:spacing w:before="54" w:after="54"/>
            </w:pPr>
            <w:r>
              <w:t>New South Wales</w:t>
            </w:r>
          </w:p>
        </w:tc>
        <w:tc>
          <w:tcPr>
            <w:tcW w:w="1667" w:type="pct"/>
            <w:tcBorders>
              <w:top w:val="single" w:sz="8" w:space="0" w:color="000000" w:themeColor="text1"/>
              <w:left w:val="nil"/>
              <w:bottom w:val="nil"/>
              <w:right w:val="nil"/>
            </w:tcBorders>
            <w:shd w:val="clear" w:color="000000" w:fill="FFFFFF"/>
            <w:vAlign w:val="center"/>
            <w:hideMark/>
          </w:tcPr>
          <w:p w14:paraId="299BBD59" w14:textId="77777777" w:rsidR="00B0794C" w:rsidRPr="00542A1D" w:rsidRDefault="00B0794C" w:rsidP="00645CFF">
            <w:pPr>
              <w:pStyle w:val="TableTextCentered"/>
              <w:spacing w:before="54" w:after="54"/>
            </w:pPr>
            <w:r w:rsidRPr="00542A1D">
              <w:t>3</w:t>
            </w:r>
          </w:p>
        </w:tc>
        <w:tc>
          <w:tcPr>
            <w:tcW w:w="1667" w:type="pct"/>
            <w:tcBorders>
              <w:top w:val="single" w:sz="8" w:space="0" w:color="000000" w:themeColor="text1"/>
              <w:left w:val="nil"/>
              <w:bottom w:val="nil"/>
              <w:right w:val="nil"/>
            </w:tcBorders>
            <w:shd w:val="clear" w:color="000000" w:fill="FFFFFF"/>
            <w:vAlign w:val="center"/>
            <w:hideMark/>
          </w:tcPr>
          <w:p w14:paraId="56BBBC66" w14:textId="77777777" w:rsidR="00B0794C" w:rsidRPr="00542A1D" w:rsidRDefault="00B0794C" w:rsidP="00645CFF">
            <w:pPr>
              <w:pStyle w:val="TableTextCentered"/>
              <w:spacing w:before="54" w:after="54"/>
            </w:pPr>
            <w:r w:rsidRPr="00542A1D">
              <w:t>0</w:t>
            </w:r>
          </w:p>
        </w:tc>
      </w:tr>
      <w:tr w:rsidR="00B0794C" w:rsidRPr="00774818" w14:paraId="398A608F" w14:textId="77777777" w:rsidTr="00116242">
        <w:trPr>
          <w:trHeight w:val="305"/>
        </w:trPr>
        <w:tc>
          <w:tcPr>
            <w:tcW w:w="1667" w:type="pct"/>
            <w:tcBorders>
              <w:top w:val="nil"/>
              <w:left w:val="nil"/>
              <w:bottom w:val="nil"/>
              <w:right w:val="nil"/>
            </w:tcBorders>
            <w:shd w:val="clear" w:color="auto" w:fill="F2F2F2" w:themeFill="background1" w:themeFillShade="F2"/>
            <w:vAlign w:val="center"/>
          </w:tcPr>
          <w:p w14:paraId="18DCB669" w14:textId="77777777" w:rsidR="00B0794C" w:rsidRPr="00774818" w:rsidRDefault="007A55E1" w:rsidP="00645CFF">
            <w:pPr>
              <w:pStyle w:val="Tabletextleft0"/>
              <w:spacing w:before="54" w:after="54"/>
            </w:pPr>
            <w:r>
              <w:t>Northern Territory</w:t>
            </w:r>
          </w:p>
        </w:tc>
        <w:tc>
          <w:tcPr>
            <w:tcW w:w="1667" w:type="pct"/>
            <w:tcBorders>
              <w:top w:val="nil"/>
              <w:left w:val="nil"/>
              <w:bottom w:val="nil"/>
              <w:right w:val="nil"/>
            </w:tcBorders>
            <w:shd w:val="clear" w:color="auto" w:fill="F2F2F2" w:themeFill="background1" w:themeFillShade="F2"/>
            <w:vAlign w:val="center"/>
            <w:hideMark/>
          </w:tcPr>
          <w:p w14:paraId="664E8BAC" w14:textId="77777777" w:rsidR="00B0794C" w:rsidRPr="00542A1D" w:rsidRDefault="00B0794C" w:rsidP="00645CFF">
            <w:pPr>
              <w:pStyle w:val="TableTextCentered"/>
              <w:spacing w:before="54" w:after="54"/>
            </w:pPr>
            <w:r w:rsidRPr="00542A1D">
              <w:t>3</w:t>
            </w:r>
          </w:p>
        </w:tc>
        <w:tc>
          <w:tcPr>
            <w:tcW w:w="1667" w:type="pct"/>
            <w:tcBorders>
              <w:top w:val="nil"/>
              <w:left w:val="nil"/>
              <w:bottom w:val="nil"/>
              <w:right w:val="nil"/>
            </w:tcBorders>
            <w:shd w:val="clear" w:color="auto" w:fill="F2F2F2" w:themeFill="background1" w:themeFillShade="F2"/>
            <w:vAlign w:val="center"/>
            <w:hideMark/>
          </w:tcPr>
          <w:p w14:paraId="6E5121CB" w14:textId="77777777" w:rsidR="00B0794C" w:rsidRPr="00542A1D" w:rsidRDefault="00B0794C" w:rsidP="00645CFF">
            <w:pPr>
              <w:pStyle w:val="TableTextCentered"/>
              <w:spacing w:before="54" w:after="54"/>
            </w:pPr>
            <w:r w:rsidRPr="00542A1D">
              <w:t>0</w:t>
            </w:r>
          </w:p>
        </w:tc>
      </w:tr>
      <w:tr w:rsidR="00B0794C" w:rsidRPr="00774818" w14:paraId="475BD8F6" w14:textId="77777777" w:rsidTr="00DF40B5">
        <w:trPr>
          <w:trHeight w:val="305"/>
        </w:trPr>
        <w:tc>
          <w:tcPr>
            <w:tcW w:w="1667" w:type="pct"/>
            <w:tcBorders>
              <w:top w:val="nil"/>
              <w:left w:val="nil"/>
              <w:bottom w:val="nil"/>
              <w:right w:val="nil"/>
            </w:tcBorders>
            <w:shd w:val="clear" w:color="000000" w:fill="FFFFFF"/>
            <w:vAlign w:val="center"/>
          </w:tcPr>
          <w:p w14:paraId="0CA71283" w14:textId="77777777" w:rsidR="00B0794C" w:rsidRPr="00774818" w:rsidRDefault="007A55E1" w:rsidP="00645CFF">
            <w:pPr>
              <w:pStyle w:val="Tabletextleft0"/>
              <w:spacing w:before="54" w:after="54"/>
            </w:pPr>
            <w:r>
              <w:t>Queensland</w:t>
            </w:r>
          </w:p>
        </w:tc>
        <w:tc>
          <w:tcPr>
            <w:tcW w:w="1667" w:type="pct"/>
            <w:tcBorders>
              <w:top w:val="nil"/>
              <w:left w:val="nil"/>
              <w:bottom w:val="nil"/>
              <w:right w:val="nil"/>
            </w:tcBorders>
            <w:shd w:val="clear" w:color="000000" w:fill="FFFFFF"/>
            <w:vAlign w:val="center"/>
            <w:hideMark/>
          </w:tcPr>
          <w:p w14:paraId="007DE6CA" w14:textId="77777777" w:rsidR="00B0794C" w:rsidRPr="00542A1D" w:rsidRDefault="00B0794C" w:rsidP="00645CFF">
            <w:pPr>
              <w:pStyle w:val="TableTextCentered"/>
              <w:spacing w:before="54" w:after="54"/>
            </w:pPr>
            <w:r w:rsidRPr="00542A1D">
              <w:t>3</w:t>
            </w:r>
          </w:p>
        </w:tc>
        <w:tc>
          <w:tcPr>
            <w:tcW w:w="1667" w:type="pct"/>
            <w:tcBorders>
              <w:top w:val="nil"/>
              <w:left w:val="nil"/>
              <w:bottom w:val="nil"/>
              <w:right w:val="nil"/>
            </w:tcBorders>
            <w:shd w:val="clear" w:color="000000" w:fill="FFFFFF"/>
            <w:vAlign w:val="center"/>
            <w:hideMark/>
          </w:tcPr>
          <w:p w14:paraId="790B7386" w14:textId="77777777" w:rsidR="00B0794C" w:rsidRPr="00542A1D" w:rsidRDefault="007A55E1" w:rsidP="00645CFF">
            <w:pPr>
              <w:pStyle w:val="TableTextCentered"/>
              <w:spacing w:before="54" w:after="54"/>
            </w:pPr>
            <w:r w:rsidRPr="00542A1D">
              <w:t>0</w:t>
            </w:r>
          </w:p>
        </w:tc>
      </w:tr>
      <w:tr w:rsidR="00B0794C" w:rsidRPr="00774818" w14:paraId="6E72300A" w14:textId="77777777" w:rsidTr="00116242">
        <w:trPr>
          <w:trHeight w:val="305"/>
        </w:trPr>
        <w:tc>
          <w:tcPr>
            <w:tcW w:w="1667" w:type="pct"/>
            <w:tcBorders>
              <w:top w:val="nil"/>
              <w:left w:val="nil"/>
              <w:bottom w:val="nil"/>
              <w:right w:val="nil"/>
            </w:tcBorders>
            <w:shd w:val="clear" w:color="auto" w:fill="F2F2F2" w:themeFill="background1" w:themeFillShade="F2"/>
            <w:vAlign w:val="center"/>
          </w:tcPr>
          <w:p w14:paraId="299F2F5C" w14:textId="77777777" w:rsidR="00B0794C" w:rsidRPr="00774818" w:rsidRDefault="007A55E1" w:rsidP="00645CFF">
            <w:pPr>
              <w:pStyle w:val="Tabletextleft0"/>
              <w:spacing w:before="54" w:after="54"/>
            </w:pPr>
            <w:r>
              <w:t>South Australia</w:t>
            </w:r>
          </w:p>
        </w:tc>
        <w:tc>
          <w:tcPr>
            <w:tcW w:w="1667" w:type="pct"/>
            <w:tcBorders>
              <w:top w:val="nil"/>
              <w:left w:val="nil"/>
              <w:bottom w:val="nil"/>
              <w:right w:val="nil"/>
            </w:tcBorders>
            <w:shd w:val="clear" w:color="auto" w:fill="F2F2F2" w:themeFill="background1" w:themeFillShade="F2"/>
            <w:vAlign w:val="center"/>
            <w:hideMark/>
          </w:tcPr>
          <w:p w14:paraId="5AE895AA" w14:textId="77777777" w:rsidR="00B0794C" w:rsidRPr="00542A1D" w:rsidRDefault="00B0794C" w:rsidP="00645CFF">
            <w:pPr>
              <w:pStyle w:val="TableTextCentered"/>
              <w:spacing w:before="54" w:after="54"/>
            </w:pPr>
            <w:r w:rsidRPr="00542A1D">
              <w:t>3</w:t>
            </w:r>
          </w:p>
        </w:tc>
        <w:tc>
          <w:tcPr>
            <w:tcW w:w="1667" w:type="pct"/>
            <w:tcBorders>
              <w:top w:val="nil"/>
              <w:left w:val="nil"/>
              <w:bottom w:val="nil"/>
              <w:right w:val="nil"/>
            </w:tcBorders>
            <w:shd w:val="clear" w:color="auto" w:fill="F2F2F2" w:themeFill="background1" w:themeFillShade="F2"/>
            <w:vAlign w:val="center"/>
            <w:hideMark/>
          </w:tcPr>
          <w:p w14:paraId="27C29245" w14:textId="77777777" w:rsidR="00B0794C" w:rsidRPr="00542A1D" w:rsidRDefault="007A55E1" w:rsidP="00645CFF">
            <w:pPr>
              <w:pStyle w:val="TableTextCentered"/>
              <w:spacing w:before="54" w:after="54"/>
            </w:pPr>
            <w:r w:rsidRPr="00542A1D">
              <w:t>1</w:t>
            </w:r>
          </w:p>
        </w:tc>
      </w:tr>
      <w:tr w:rsidR="00B0794C" w:rsidRPr="00774818" w14:paraId="7F762B7D" w14:textId="77777777" w:rsidTr="00DF40B5">
        <w:trPr>
          <w:trHeight w:val="305"/>
        </w:trPr>
        <w:tc>
          <w:tcPr>
            <w:tcW w:w="1667" w:type="pct"/>
            <w:tcBorders>
              <w:top w:val="nil"/>
              <w:left w:val="nil"/>
              <w:right w:val="nil"/>
            </w:tcBorders>
            <w:shd w:val="clear" w:color="000000" w:fill="FFFFFF"/>
            <w:vAlign w:val="center"/>
          </w:tcPr>
          <w:p w14:paraId="2DA9DAB5" w14:textId="77777777" w:rsidR="00B0794C" w:rsidRPr="00774818" w:rsidRDefault="007A55E1" w:rsidP="00645CFF">
            <w:pPr>
              <w:pStyle w:val="Tabletextleft0"/>
              <w:spacing w:before="54" w:after="54"/>
            </w:pPr>
            <w:r>
              <w:t>Tasmania</w:t>
            </w:r>
          </w:p>
        </w:tc>
        <w:tc>
          <w:tcPr>
            <w:tcW w:w="1667" w:type="pct"/>
            <w:tcBorders>
              <w:top w:val="nil"/>
              <w:left w:val="nil"/>
              <w:right w:val="nil"/>
            </w:tcBorders>
            <w:shd w:val="clear" w:color="000000" w:fill="FFFFFF"/>
            <w:vAlign w:val="center"/>
            <w:hideMark/>
          </w:tcPr>
          <w:p w14:paraId="68381AF5" w14:textId="77777777" w:rsidR="00B0794C" w:rsidRPr="00542A1D" w:rsidRDefault="00B0794C" w:rsidP="00645CFF">
            <w:pPr>
              <w:pStyle w:val="TableTextCentered"/>
              <w:spacing w:before="54" w:after="54"/>
            </w:pPr>
            <w:r w:rsidRPr="00542A1D">
              <w:t>3</w:t>
            </w:r>
          </w:p>
        </w:tc>
        <w:tc>
          <w:tcPr>
            <w:tcW w:w="1667" w:type="pct"/>
            <w:tcBorders>
              <w:top w:val="nil"/>
              <w:left w:val="nil"/>
              <w:right w:val="nil"/>
            </w:tcBorders>
            <w:shd w:val="clear" w:color="000000" w:fill="FFFFFF"/>
            <w:vAlign w:val="center"/>
            <w:hideMark/>
          </w:tcPr>
          <w:p w14:paraId="4B6F149A" w14:textId="77777777" w:rsidR="00B0794C" w:rsidRPr="00542A1D" w:rsidRDefault="00B0794C" w:rsidP="00645CFF">
            <w:pPr>
              <w:pStyle w:val="TableTextCentered"/>
              <w:spacing w:before="54" w:after="54"/>
            </w:pPr>
            <w:r w:rsidRPr="00542A1D">
              <w:t>0</w:t>
            </w:r>
          </w:p>
        </w:tc>
      </w:tr>
      <w:tr w:rsidR="00B0794C" w:rsidRPr="00774818" w14:paraId="06B707AD" w14:textId="77777777" w:rsidTr="00116242">
        <w:trPr>
          <w:trHeight w:val="305"/>
        </w:trPr>
        <w:tc>
          <w:tcPr>
            <w:tcW w:w="1667" w:type="pct"/>
            <w:tcBorders>
              <w:top w:val="nil"/>
              <w:left w:val="nil"/>
              <w:bottom w:val="single" w:sz="8" w:space="0" w:color="000000" w:themeColor="text1"/>
              <w:right w:val="nil"/>
            </w:tcBorders>
            <w:shd w:val="clear" w:color="auto" w:fill="F2F2F2" w:themeFill="background1" w:themeFillShade="F2"/>
            <w:vAlign w:val="center"/>
          </w:tcPr>
          <w:p w14:paraId="736F488D" w14:textId="77777777" w:rsidR="00B0794C" w:rsidRPr="00774818" w:rsidRDefault="007A55E1" w:rsidP="00645CFF">
            <w:pPr>
              <w:pStyle w:val="Tabletextleft0"/>
              <w:spacing w:before="54" w:after="54"/>
            </w:pPr>
            <w:r>
              <w:t>Western Australia</w:t>
            </w:r>
          </w:p>
        </w:tc>
        <w:tc>
          <w:tcPr>
            <w:tcW w:w="1667" w:type="pct"/>
            <w:tcBorders>
              <w:top w:val="nil"/>
              <w:left w:val="nil"/>
              <w:bottom w:val="single" w:sz="8" w:space="0" w:color="000000" w:themeColor="text1"/>
              <w:right w:val="nil"/>
            </w:tcBorders>
            <w:shd w:val="clear" w:color="auto" w:fill="F2F2F2" w:themeFill="background1" w:themeFillShade="F2"/>
            <w:vAlign w:val="center"/>
            <w:hideMark/>
          </w:tcPr>
          <w:p w14:paraId="0F3F49E1" w14:textId="77777777" w:rsidR="00B0794C" w:rsidRPr="00542A1D" w:rsidRDefault="00B0794C" w:rsidP="00645CFF">
            <w:pPr>
              <w:pStyle w:val="TableTextCentered"/>
              <w:spacing w:before="54" w:after="54"/>
            </w:pPr>
            <w:r w:rsidRPr="00542A1D">
              <w:t>3</w:t>
            </w:r>
          </w:p>
        </w:tc>
        <w:tc>
          <w:tcPr>
            <w:tcW w:w="1667" w:type="pct"/>
            <w:tcBorders>
              <w:top w:val="nil"/>
              <w:left w:val="nil"/>
              <w:bottom w:val="single" w:sz="8" w:space="0" w:color="000000" w:themeColor="text1"/>
              <w:right w:val="nil"/>
            </w:tcBorders>
            <w:shd w:val="clear" w:color="auto" w:fill="F2F2F2" w:themeFill="background1" w:themeFillShade="F2"/>
            <w:vAlign w:val="center"/>
            <w:hideMark/>
          </w:tcPr>
          <w:p w14:paraId="0A01EB92" w14:textId="77777777" w:rsidR="00B0794C" w:rsidRPr="00542A1D" w:rsidRDefault="00B0794C" w:rsidP="00645CFF">
            <w:pPr>
              <w:pStyle w:val="TableTextCentered"/>
              <w:spacing w:before="54" w:after="54"/>
            </w:pPr>
            <w:r w:rsidRPr="00542A1D">
              <w:t>0</w:t>
            </w:r>
          </w:p>
        </w:tc>
      </w:tr>
      <w:tr w:rsidR="00B0794C" w:rsidRPr="00116242" w14:paraId="412D87B9" w14:textId="77777777" w:rsidTr="00116242">
        <w:trPr>
          <w:trHeight w:val="305"/>
        </w:trPr>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36AE1DD6" w14:textId="77777777" w:rsidR="00B0794C" w:rsidRPr="00116242" w:rsidRDefault="00B0794C" w:rsidP="00645CFF">
            <w:pPr>
              <w:pStyle w:val="Tabletextleft0"/>
              <w:spacing w:before="54" w:after="54"/>
              <w:rPr>
                <w:b/>
              </w:rPr>
            </w:pPr>
            <w:r w:rsidRPr="00116242">
              <w:rPr>
                <w:b/>
              </w:rPr>
              <w:t>Total</w:t>
            </w:r>
          </w:p>
        </w:tc>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0BB781A" w14:textId="77777777" w:rsidR="00B0794C" w:rsidRPr="00116242" w:rsidRDefault="00B0794C" w:rsidP="00645CFF">
            <w:pPr>
              <w:pStyle w:val="TableTextCentered"/>
              <w:spacing w:before="54" w:after="54"/>
              <w:rPr>
                <w:b/>
              </w:rPr>
            </w:pPr>
            <w:r w:rsidRPr="00116242">
              <w:rPr>
                <w:b/>
              </w:rPr>
              <w:t>18</w:t>
            </w:r>
          </w:p>
        </w:tc>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42FB63B9" w14:textId="77777777" w:rsidR="00B0794C" w:rsidRPr="00116242" w:rsidRDefault="00B7794B" w:rsidP="00645CFF">
            <w:pPr>
              <w:pStyle w:val="TableTextCentered"/>
              <w:spacing w:before="54" w:after="54"/>
              <w:rPr>
                <w:b/>
              </w:rPr>
            </w:pPr>
            <w:r w:rsidRPr="00116242">
              <w:rPr>
                <w:b/>
              </w:rPr>
              <w:t>1</w:t>
            </w:r>
          </w:p>
        </w:tc>
      </w:tr>
    </w:tbl>
    <w:p w14:paraId="5393D7D2" w14:textId="77777777" w:rsidR="00542A1D" w:rsidRDefault="00542A1D" w:rsidP="00794CA7">
      <w:pPr>
        <w:pStyle w:val="ChartorTableNote"/>
        <w:spacing w:after="0"/>
      </w:pPr>
      <w:r w:rsidRPr="0020422D">
        <w:rPr>
          <w:rFonts w:eastAsiaTheme="minorEastAsia"/>
        </w:rPr>
        <w:t>* 95 per cent confidence interval</w:t>
      </w:r>
      <w:r>
        <w:rPr>
          <w:rFonts w:eastAsiaTheme="minorEastAsia"/>
        </w:rPr>
        <w:t>.</w:t>
      </w:r>
    </w:p>
    <w:p w14:paraId="6A90DADD" w14:textId="77777777" w:rsidR="00794CA7" w:rsidRDefault="00794CA7" w:rsidP="00794CA7">
      <w:pPr>
        <w:pStyle w:val="SingleParagraph"/>
      </w:pPr>
    </w:p>
    <w:p w14:paraId="1E3C5CF6" w14:textId="7E09628E" w:rsidR="00A47444" w:rsidRPr="00794CA7" w:rsidRDefault="00A47444" w:rsidP="00794CA7">
      <w:pPr>
        <w:pStyle w:val="TableMainHeading"/>
        <w:rPr>
          <w:rFonts w:eastAsiaTheme="minorEastAsia"/>
        </w:rPr>
      </w:pPr>
      <w:r w:rsidRPr="00794CA7">
        <w:t>Table 9: Western Australia threshold applied to other states 201</w:t>
      </w:r>
      <w:r w:rsidR="007475AD" w:rsidRPr="00794CA7">
        <w:t>2-1</w:t>
      </w:r>
      <w:r w:rsidRPr="00794CA7">
        <w:t>3</w:t>
      </w:r>
      <w:r w:rsidR="007475AD" w:rsidRPr="00794CA7">
        <w:t xml:space="preserve"> to 2014-</w:t>
      </w:r>
      <w:r w:rsidRPr="00794CA7">
        <w:t>15</w:t>
      </w:r>
    </w:p>
    <w:tbl>
      <w:tblPr>
        <w:tblW w:w="4916" w:type="pct"/>
        <w:tblLook w:val="04A0" w:firstRow="1" w:lastRow="0" w:firstColumn="1" w:lastColumn="0" w:noHBand="0" w:noVBand="1"/>
      </w:tblPr>
      <w:tblGrid>
        <w:gridCol w:w="3118"/>
        <w:gridCol w:w="3119"/>
        <w:gridCol w:w="3117"/>
      </w:tblGrid>
      <w:tr w:rsidR="00A47444" w:rsidRPr="00281637" w14:paraId="3814F5A8" w14:textId="77777777" w:rsidTr="00116242">
        <w:trPr>
          <w:trHeight w:val="305"/>
        </w:trPr>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1BC27B5" w14:textId="77777777" w:rsidR="00A47444" w:rsidRPr="00281637" w:rsidRDefault="00A47444" w:rsidP="00A47444">
            <w:pPr>
              <w:pStyle w:val="TableColumnHeadingLeft"/>
            </w:pPr>
            <w:r w:rsidRPr="00281637">
              <w:t>State</w:t>
            </w:r>
          </w:p>
        </w:tc>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0A4C4065" w14:textId="77777777" w:rsidR="00A47444" w:rsidRPr="00281637" w:rsidRDefault="00A47444" w:rsidP="00542A1D">
            <w:pPr>
              <w:pStyle w:val="TableColumnHeadingCentred"/>
            </w:pPr>
            <w:r w:rsidRPr="00281637">
              <w:t>No. of tests</w:t>
            </w:r>
          </w:p>
        </w:tc>
        <w:tc>
          <w:tcPr>
            <w:tcW w:w="1667"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2A4F1CEA" w14:textId="77777777" w:rsidR="00A47444" w:rsidRPr="00281637" w:rsidRDefault="00A47444" w:rsidP="00542A1D">
            <w:pPr>
              <w:pStyle w:val="TableColumnHeadingCentred"/>
            </w:pPr>
            <w:r w:rsidRPr="00281637">
              <w:rPr>
                <w:rFonts w:eastAsiaTheme="minorEastAsia"/>
              </w:rPr>
              <w:t>No. found significant</w:t>
            </w:r>
            <w:r>
              <w:rPr>
                <w:rFonts w:eastAsiaTheme="minorEastAsia"/>
              </w:rPr>
              <w:t>*</w:t>
            </w:r>
          </w:p>
        </w:tc>
      </w:tr>
      <w:tr w:rsidR="00A47444" w:rsidRPr="00774818" w14:paraId="0D089465" w14:textId="77777777" w:rsidTr="00DF40B5">
        <w:trPr>
          <w:trHeight w:val="305"/>
        </w:trPr>
        <w:tc>
          <w:tcPr>
            <w:tcW w:w="1667" w:type="pct"/>
            <w:tcBorders>
              <w:top w:val="single" w:sz="8" w:space="0" w:color="000000" w:themeColor="text1"/>
              <w:left w:val="nil"/>
              <w:bottom w:val="nil"/>
              <w:right w:val="nil"/>
            </w:tcBorders>
            <w:shd w:val="clear" w:color="000000" w:fill="FFFFFF"/>
            <w:vAlign w:val="center"/>
            <w:hideMark/>
          </w:tcPr>
          <w:p w14:paraId="1720EDCC" w14:textId="77777777" w:rsidR="00A47444" w:rsidRPr="004D37F1" w:rsidRDefault="00A47444" w:rsidP="00A47444">
            <w:pPr>
              <w:pStyle w:val="Tabletextleft0"/>
            </w:pPr>
            <w:r>
              <w:rPr>
                <w:rFonts w:eastAsiaTheme="minorEastAsia"/>
              </w:rPr>
              <w:t>New South Wales</w:t>
            </w:r>
          </w:p>
        </w:tc>
        <w:tc>
          <w:tcPr>
            <w:tcW w:w="1667" w:type="pct"/>
            <w:tcBorders>
              <w:top w:val="single" w:sz="8" w:space="0" w:color="000000" w:themeColor="text1"/>
              <w:left w:val="nil"/>
              <w:bottom w:val="nil"/>
              <w:right w:val="nil"/>
            </w:tcBorders>
            <w:shd w:val="clear" w:color="000000" w:fill="FFFFFF"/>
            <w:vAlign w:val="center"/>
            <w:hideMark/>
          </w:tcPr>
          <w:p w14:paraId="654F74B0" w14:textId="77777777" w:rsidR="00A47444" w:rsidRPr="00774818" w:rsidRDefault="00A47444" w:rsidP="00A47444">
            <w:pPr>
              <w:pStyle w:val="TableTextCentered"/>
            </w:pPr>
            <w:r>
              <w:t>3</w:t>
            </w:r>
          </w:p>
        </w:tc>
        <w:tc>
          <w:tcPr>
            <w:tcW w:w="1667" w:type="pct"/>
            <w:tcBorders>
              <w:top w:val="single" w:sz="8" w:space="0" w:color="000000" w:themeColor="text1"/>
              <w:left w:val="nil"/>
              <w:bottom w:val="nil"/>
              <w:right w:val="nil"/>
            </w:tcBorders>
            <w:shd w:val="clear" w:color="000000" w:fill="FFFFFF"/>
            <w:vAlign w:val="center"/>
            <w:hideMark/>
          </w:tcPr>
          <w:p w14:paraId="343C6C04" w14:textId="77777777" w:rsidR="00A47444" w:rsidRPr="00774818" w:rsidRDefault="00A47444" w:rsidP="00A47444">
            <w:pPr>
              <w:pStyle w:val="TableTextCentered"/>
            </w:pPr>
            <w:r w:rsidRPr="00774818">
              <w:t>0</w:t>
            </w:r>
          </w:p>
        </w:tc>
      </w:tr>
      <w:tr w:rsidR="00A47444" w:rsidRPr="00774818" w14:paraId="0E449276" w14:textId="77777777" w:rsidTr="00116242">
        <w:trPr>
          <w:trHeight w:val="305"/>
        </w:trPr>
        <w:tc>
          <w:tcPr>
            <w:tcW w:w="1667" w:type="pct"/>
            <w:tcBorders>
              <w:top w:val="nil"/>
              <w:left w:val="nil"/>
              <w:bottom w:val="nil"/>
              <w:right w:val="nil"/>
            </w:tcBorders>
            <w:shd w:val="clear" w:color="auto" w:fill="F2F2F2" w:themeFill="background1" w:themeFillShade="F2"/>
            <w:vAlign w:val="center"/>
          </w:tcPr>
          <w:p w14:paraId="1D31B059" w14:textId="77777777" w:rsidR="00A47444" w:rsidRPr="004D37F1" w:rsidRDefault="00A47444" w:rsidP="00A47444">
            <w:pPr>
              <w:pStyle w:val="Tabletextleft0"/>
            </w:pPr>
            <w:r>
              <w:t>Northern Territory</w:t>
            </w:r>
          </w:p>
        </w:tc>
        <w:tc>
          <w:tcPr>
            <w:tcW w:w="1667" w:type="pct"/>
            <w:tcBorders>
              <w:top w:val="nil"/>
              <w:left w:val="nil"/>
              <w:bottom w:val="nil"/>
              <w:right w:val="nil"/>
            </w:tcBorders>
            <w:shd w:val="clear" w:color="auto" w:fill="F2F2F2" w:themeFill="background1" w:themeFillShade="F2"/>
            <w:vAlign w:val="center"/>
            <w:hideMark/>
          </w:tcPr>
          <w:p w14:paraId="16470F04" w14:textId="77777777" w:rsidR="00A47444" w:rsidRPr="00774818" w:rsidRDefault="00A47444" w:rsidP="00A47444">
            <w:pPr>
              <w:pStyle w:val="TableTextCentered"/>
            </w:pPr>
            <w:r>
              <w:t>3</w:t>
            </w:r>
          </w:p>
        </w:tc>
        <w:tc>
          <w:tcPr>
            <w:tcW w:w="1667" w:type="pct"/>
            <w:tcBorders>
              <w:top w:val="nil"/>
              <w:left w:val="nil"/>
              <w:bottom w:val="nil"/>
              <w:right w:val="nil"/>
            </w:tcBorders>
            <w:shd w:val="clear" w:color="auto" w:fill="F2F2F2" w:themeFill="background1" w:themeFillShade="F2"/>
            <w:vAlign w:val="center"/>
            <w:hideMark/>
          </w:tcPr>
          <w:p w14:paraId="3F17C746" w14:textId="77777777" w:rsidR="00A47444" w:rsidRPr="00774818" w:rsidRDefault="00A47444" w:rsidP="00A47444">
            <w:pPr>
              <w:pStyle w:val="TableTextCentered"/>
            </w:pPr>
            <w:r w:rsidRPr="00774818">
              <w:t>0</w:t>
            </w:r>
          </w:p>
        </w:tc>
      </w:tr>
      <w:tr w:rsidR="00A47444" w:rsidRPr="00774818" w14:paraId="5035092C" w14:textId="77777777" w:rsidTr="00DF40B5">
        <w:trPr>
          <w:trHeight w:val="305"/>
        </w:trPr>
        <w:tc>
          <w:tcPr>
            <w:tcW w:w="1667" w:type="pct"/>
            <w:tcBorders>
              <w:top w:val="nil"/>
              <w:left w:val="nil"/>
              <w:bottom w:val="nil"/>
              <w:right w:val="nil"/>
            </w:tcBorders>
            <w:shd w:val="clear" w:color="000000" w:fill="FFFFFF"/>
            <w:vAlign w:val="center"/>
          </w:tcPr>
          <w:p w14:paraId="77B37E06" w14:textId="77777777" w:rsidR="00A47444" w:rsidRPr="004D37F1" w:rsidRDefault="00A47444" w:rsidP="00A47444">
            <w:pPr>
              <w:pStyle w:val="Tabletextleft0"/>
            </w:pPr>
            <w:r>
              <w:t>Queensland</w:t>
            </w:r>
          </w:p>
        </w:tc>
        <w:tc>
          <w:tcPr>
            <w:tcW w:w="1667" w:type="pct"/>
            <w:tcBorders>
              <w:top w:val="nil"/>
              <w:left w:val="nil"/>
              <w:bottom w:val="nil"/>
              <w:right w:val="nil"/>
            </w:tcBorders>
            <w:shd w:val="clear" w:color="000000" w:fill="FFFFFF"/>
            <w:vAlign w:val="center"/>
            <w:hideMark/>
          </w:tcPr>
          <w:p w14:paraId="3BF69F1F" w14:textId="77777777" w:rsidR="00A47444" w:rsidRPr="00774818" w:rsidRDefault="00A47444" w:rsidP="00A47444">
            <w:pPr>
              <w:pStyle w:val="TableTextCentered"/>
            </w:pPr>
            <w:r>
              <w:t>3</w:t>
            </w:r>
          </w:p>
        </w:tc>
        <w:tc>
          <w:tcPr>
            <w:tcW w:w="1667" w:type="pct"/>
            <w:tcBorders>
              <w:top w:val="nil"/>
              <w:left w:val="nil"/>
              <w:bottom w:val="nil"/>
              <w:right w:val="nil"/>
            </w:tcBorders>
            <w:shd w:val="clear" w:color="000000" w:fill="FFFFFF"/>
            <w:vAlign w:val="center"/>
            <w:hideMark/>
          </w:tcPr>
          <w:p w14:paraId="7F433429" w14:textId="77777777" w:rsidR="00A47444" w:rsidRPr="00774818" w:rsidRDefault="00A47444" w:rsidP="00A47444">
            <w:pPr>
              <w:pStyle w:val="TableTextCentered"/>
            </w:pPr>
            <w:r>
              <w:t>0</w:t>
            </w:r>
          </w:p>
        </w:tc>
      </w:tr>
      <w:tr w:rsidR="00A47444" w:rsidRPr="00774818" w14:paraId="008AA27B" w14:textId="77777777" w:rsidTr="00116242">
        <w:trPr>
          <w:trHeight w:val="305"/>
        </w:trPr>
        <w:tc>
          <w:tcPr>
            <w:tcW w:w="1667" w:type="pct"/>
            <w:tcBorders>
              <w:top w:val="nil"/>
              <w:left w:val="nil"/>
              <w:bottom w:val="nil"/>
              <w:right w:val="nil"/>
            </w:tcBorders>
            <w:shd w:val="clear" w:color="auto" w:fill="F2F2F2" w:themeFill="background1" w:themeFillShade="F2"/>
            <w:vAlign w:val="center"/>
          </w:tcPr>
          <w:p w14:paraId="1DADB5A1" w14:textId="77777777" w:rsidR="00A47444" w:rsidRPr="004D37F1" w:rsidRDefault="00A47444" w:rsidP="00A47444">
            <w:pPr>
              <w:pStyle w:val="Tabletextleft0"/>
            </w:pPr>
            <w:r>
              <w:t>South Australia</w:t>
            </w:r>
          </w:p>
        </w:tc>
        <w:tc>
          <w:tcPr>
            <w:tcW w:w="1667" w:type="pct"/>
            <w:tcBorders>
              <w:top w:val="nil"/>
              <w:left w:val="nil"/>
              <w:bottom w:val="nil"/>
              <w:right w:val="nil"/>
            </w:tcBorders>
            <w:shd w:val="clear" w:color="auto" w:fill="F2F2F2" w:themeFill="background1" w:themeFillShade="F2"/>
            <w:vAlign w:val="center"/>
            <w:hideMark/>
          </w:tcPr>
          <w:p w14:paraId="2C1D9065" w14:textId="77777777" w:rsidR="00A47444" w:rsidRPr="00774818" w:rsidRDefault="00A47444" w:rsidP="00A47444">
            <w:pPr>
              <w:pStyle w:val="TableTextCentered"/>
            </w:pPr>
            <w:r>
              <w:t>3</w:t>
            </w:r>
          </w:p>
        </w:tc>
        <w:tc>
          <w:tcPr>
            <w:tcW w:w="1667" w:type="pct"/>
            <w:tcBorders>
              <w:top w:val="nil"/>
              <w:left w:val="nil"/>
              <w:bottom w:val="nil"/>
              <w:right w:val="nil"/>
            </w:tcBorders>
            <w:shd w:val="clear" w:color="auto" w:fill="F2F2F2" w:themeFill="background1" w:themeFillShade="F2"/>
            <w:vAlign w:val="center"/>
            <w:hideMark/>
          </w:tcPr>
          <w:p w14:paraId="0539414C" w14:textId="77777777" w:rsidR="00A47444" w:rsidRPr="00774818" w:rsidRDefault="00A47444" w:rsidP="00A47444">
            <w:pPr>
              <w:pStyle w:val="TableTextCentered"/>
            </w:pPr>
            <w:r w:rsidRPr="00774818">
              <w:t>0</w:t>
            </w:r>
          </w:p>
        </w:tc>
      </w:tr>
      <w:tr w:rsidR="00A47444" w:rsidRPr="00774818" w14:paraId="69D84728" w14:textId="77777777" w:rsidTr="00DF40B5">
        <w:trPr>
          <w:trHeight w:val="305"/>
        </w:trPr>
        <w:tc>
          <w:tcPr>
            <w:tcW w:w="1667" w:type="pct"/>
            <w:tcBorders>
              <w:top w:val="nil"/>
              <w:left w:val="nil"/>
              <w:right w:val="nil"/>
            </w:tcBorders>
            <w:shd w:val="clear" w:color="000000" w:fill="FFFFFF"/>
            <w:vAlign w:val="center"/>
          </w:tcPr>
          <w:p w14:paraId="6188000E" w14:textId="77777777" w:rsidR="00A47444" w:rsidRPr="004D37F1" w:rsidRDefault="00A47444" w:rsidP="00A47444">
            <w:pPr>
              <w:pStyle w:val="Tabletextleft0"/>
            </w:pPr>
            <w:r>
              <w:t>Tasmania</w:t>
            </w:r>
          </w:p>
        </w:tc>
        <w:tc>
          <w:tcPr>
            <w:tcW w:w="1667" w:type="pct"/>
            <w:tcBorders>
              <w:top w:val="nil"/>
              <w:left w:val="nil"/>
              <w:right w:val="nil"/>
            </w:tcBorders>
            <w:shd w:val="clear" w:color="000000" w:fill="FFFFFF"/>
            <w:vAlign w:val="center"/>
            <w:hideMark/>
          </w:tcPr>
          <w:p w14:paraId="3976FBD8" w14:textId="77777777" w:rsidR="00A47444" w:rsidRPr="00774818" w:rsidRDefault="00A47444" w:rsidP="00A47444">
            <w:pPr>
              <w:pStyle w:val="TableTextCentered"/>
            </w:pPr>
            <w:r>
              <w:t>3</w:t>
            </w:r>
          </w:p>
        </w:tc>
        <w:tc>
          <w:tcPr>
            <w:tcW w:w="1667" w:type="pct"/>
            <w:tcBorders>
              <w:top w:val="nil"/>
              <w:left w:val="nil"/>
              <w:right w:val="nil"/>
            </w:tcBorders>
            <w:shd w:val="clear" w:color="000000" w:fill="FFFFFF"/>
            <w:vAlign w:val="center"/>
            <w:hideMark/>
          </w:tcPr>
          <w:p w14:paraId="24A85BD9" w14:textId="77777777" w:rsidR="00A47444" w:rsidRPr="00774818" w:rsidRDefault="00A47444" w:rsidP="00A47444">
            <w:pPr>
              <w:pStyle w:val="TableTextCentered"/>
            </w:pPr>
            <w:r w:rsidRPr="00774818">
              <w:t>0</w:t>
            </w:r>
          </w:p>
        </w:tc>
      </w:tr>
      <w:tr w:rsidR="00A47444" w:rsidRPr="00774818" w14:paraId="7AB5A074" w14:textId="77777777" w:rsidTr="00116242">
        <w:trPr>
          <w:trHeight w:val="305"/>
        </w:trPr>
        <w:tc>
          <w:tcPr>
            <w:tcW w:w="1667" w:type="pct"/>
            <w:tcBorders>
              <w:top w:val="nil"/>
              <w:left w:val="nil"/>
              <w:bottom w:val="single" w:sz="8" w:space="0" w:color="000000" w:themeColor="text1"/>
              <w:right w:val="nil"/>
            </w:tcBorders>
            <w:shd w:val="clear" w:color="auto" w:fill="F2F2F2" w:themeFill="background1" w:themeFillShade="F2"/>
            <w:vAlign w:val="center"/>
          </w:tcPr>
          <w:p w14:paraId="292EB3A2" w14:textId="77777777" w:rsidR="00A47444" w:rsidRPr="004D37F1" w:rsidRDefault="00A47444" w:rsidP="00A47444">
            <w:pPr>
              <w:pStyle w:val="Tabletextleft0"/>
            </w:pPr>
            <w:r>
              <w:t>Western Australia</w:t>
            </w:r>
          </w:p>
        </w:tc>
        <w:tc>
          <w:tcPr>
            <w:tcW w:w="1667" w:type="pct"/>
            <w:tcBorders>
              <w:top w:val="nil"/>
              <w:left w:val="nil"/>
              <w:bottom w:val="single" w:sz="8" w:space="0" w:color="000000" w:themeColor="text1"/>
              <w:right w:val="nil"/>
            </w:tcBorders>
            <w:shd w:val="clear" w:color="auto" w:fill="F2F2F2" w:themeFill="background1" w:themeFillShade="F2"/>
            <w:vAlign w:val="center"/>
            <w:hideMark/>
          </w:tcPr>
          <w:p w14:paraId="7FAE091E" w14:textId="77777777" w:rsidR="00A47444" w:rsidRPr="00774818" w:rsidRDefault="00A47444" w:rsidP="00A47444">
            <w:pPr>
              <w:pStyle w:val="TableTextCentered"/>
            </w:pPr>
            <w:r>
              <w:t>3</w:t>
            </w:r>
          </w:p>
        </w:tc>
        <w:tc>
          <w:tcPr>
            <w:tcW w:w="1667" w:type="pct"/>
            <w:tcBorders>
              <w:top w:val="nil"/>
              <w:left w:val="nil"/>
              <w:bottom w:val="single" w:sz="8" w:space="0" w:color="000000" w:themeColor="text1"/>
              <w:right w:val="nil"/>
            </w:tcBorders>
            <w:shd w:val="clear" w:color="auto" w:fill="F2F2F2" w:themeFill="background1" w:themeFillShade="F2"/>
            <w:vAlign w:val="center"/>
            <w:hideMark/>
          </w:tcPr>
          <w:p w14:paraId="52A0B7BD" w14:textId="77777777" w:rsidR="00A47444" w:rsidRPr="00774818" w:rsidRDefault="00A47444" w:rsidP="00A47444">
            <w:pPr>
              <w:pStyle w:val="TableTextCentered"/>
            </w:pPr>
            <w:r>
              <w:t>0</w:t>
            </w:r>
          </w:p>
        </w:tc>
      </w:tr>
      <w:tr w:rsidR="00A47444" w:rsidRPr="00116242" w14:paraId="25F77984" w14:textId="77777777" w:rsidTr="00116242">
        <w:trPr>
          <w:trHeight w:val="305"/>
        </w:trPr>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24D97755" w14:textId="77777777" w:rsidR="00A47444" w:rsidRPr="00116242" w:rsidRDefault="00A47444" w:rsidP="00A47444">
            <w:pPr>
              <w:pStyle w:val="Tabletextleft0"/>
              <w:rPr>
                <w:b/>
              </w:rPr>
            </w:pPr>
            <w:r w:rsidRPr="00116242">
              <w:rPr>
                <w:b/>
              </w:rPr>
              <w:t>Total</w:t>
            </w:r>
          </w:p>
        </w:tc>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45C3AEA7" w14:textId="77777777" w:rsidR="00A47444" w:rsidRPr="00116242" w:rsidRDefault="00A47444" w:rsidP="00A47444">
            <w:pPr>
              <w:pStyle w:val="TableTextCentered"/>
              <w:rPr>
                <w:b/>
              </w:rPr>
            </w:pPr>
            <w:r w:rsidRPr="00116242">
              <w:rPr>
                <w:b/>
              </w:rPr>
              <w:t>18</w:t>
            </w:r>
          </w:p>
        </w:tc>
        <w:tc>
          <w:tcPr>
            <w:tcW w:w="1667" w:type="pct"/>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7F100E09" w14:textId="77777777" w:rsidR="00A47444" w:rsidRPr="00116242" w:rsidRDefault="00A47444" w:rsidP="00A47444">
            <w:pPr>
              <w:pStyle w:val="TableTextCentered"/>
              <w:rPr>
                <w:b/>
              </w:rPr>
            </w:pPr>
            <w:r w:rsidRPr="00116242">
              <w:rPr>
                <w:b/>
              </w:rPr>
              <w:t>0</w:t>
            </w:r>
          </w:p>
        </w:tc>
      </w:tr>
    </w:tbl>
    <w:p w14:paraId="3A47901F" w14:textId="1107DF73" w:rsidR="00542A1D" w:rsidRPr="00542A1D" w:rsidRDefault="00542A1D" w:rsidP="00794CA7">
      <w:pPr>
        <w:pStyle w:val="ChartorTableNote"/>
        <w:spacing w:after="0"/>
      </w:pPr>
      <w:r w:rsidRPr="0020422D">
        <w:rPr>
          <w:rFonts w:eastAsiaTheme="minorEastAsia"/>
        </w:rPr>
        <w:t>* 95 per cent confidence interval</w:t>
      </w:r>
      <w:r>
        <w:rPr>
          <w:rFonts w:eastAsiaTheme="minorEastAsia"/>
        </w:rPr>
        <w:t>.</w:t>
      </w:r>
    </w:p>
    <w:p w14:paraId="27B40CEC" w14:textId="77777777" w:rsidR="00DF40B5" w:rsidRDefault="00DF40B5" w:rsidP="00DF40B5">
      <w:pPr>
        <w:pStyle w:val="SingleParagraph"/>
      </w:pPr>
    </w:p>
    <w:p w14:paraId="6EADEE66" w14:textId="52293CB5" w:rsidR="00B0794C" w:rsidRDefault="00B0794C" w:rsidP="00B0794C">
      <w:pPr>
        <w:rPr>
          <w:rFonts w:eastAsiaTheme="minorEastAsia"/>
        </w:rPr>
      </w:pPr>
      <w:r>
        <w:rPr>
          <w:rFonts w:eastAsiaTheme="minorEastAsia"/>
        </w:rPr>
        <w:t>T</w:t>
      </w:r>
      <w:r w:rsidR="00D706A9">
        <w:rPr>
          <w:rFonts w:eastAsiaTheme="minorEastAsia"/>
        </w:rPr>
        <w:t xml:space="preserve">he results show </w:t>
      </w:r>
      <w:r>
        <w:rPr>
          <w:rFonts w:eastAsiaTheme="minorEastAsia"/>
        </w:rPr>
        <w:t xml:space="preserve">that bunching broadly did not occur at the Victorian or Western Australian thresholds for the other states. </w:t>
      </w:r>
      <w:r w:rsidR="001369F3">
        <w:rPr>
          <w:rFonts w:eastAsiaTheme="minorEastAsia"/>
        </w:rPr>
        <w:t>This result is consistent with there being no nation-wide regulation causing the bunching for Victoria and Western Australia</w:t>
      </w:r>
      <w:r w:rsidR="00A47444">
        <w:rPr>
          <w:rFonts w:eastAsiaTheme="minorEastAsia"/>
        </w:rPr>
        <w:t>.</w:t>
      </w:r>
    </w:p>
    <w:p w14:paraId="219FB61E" w14:textId="77777777" w:rsidR="00B0794C" w:rsidRDefault="00B0794C" w:rsidP="0054156B">
      <w:pPr>
        <w:pStyle w:val="Heading4"/>
      </w:pPr>
      <w:r>
        <w:t>Fundamental differences between firms</w:t>
      </w:r>
    </w:p>
    <w:p w14:paraId="071A6881" w14:textId="3728A33F" w:rsidR="00B0794C" w:rsidRDefault="00B0794C" w:rsidP="00B0794C">
      <w:pPr>
        <w:rPr>
          <w:rFonts w:eastAsiaTheme="minorEastAsia"/>
        </w:rPr>
      </w:pPr>
      <w:r>
        <w:rPr>
          <w:rFonts w:eastAsiaTheme="minorEastAsia"/>
        </w:rPr>
        <w:t xml:space="preserve">As highlighted earlier, a potential reason for the bunching to occur is due to fundamental differences between firms above and below the threshold but within their respective bandwidths. </w:t>
      </w:r>
      <w:r w:rsidR="00F82448">
        <w:rPr>
          <w:rFonts w:eastAsiaTheme="minorEastAsia"/>
        </w:rPr>
        <w:t>The logit tests for whether these factors help explain the bunching</w:t>
      </w:r>
      <w:r w:rsidR="00303ADE">
        <w:rPr>
          <w:rFonts w:eastAsiaTheme="minorEastAsia"/>
        </w:rPr>
        <w:t xml:space="preserve"> are performed</w:t>
      </w:r>
      <w:r w:rsidR="00F82448">
        <w:rPr>
          <w:rFonts w:eastAsiaTheme="minorEastAsia"/>
        </w:rPr>
        <w:t xml:space="preserve">. </w:t>
      </w:r>
      <w:r>
        <w:rPr>
          <w:rFonts w:eastAsiaTheme="minorEastAsia"/>
        </w:rPr>
        <w:t>The p</w:t>
      </w:r>
      <w:r>
        <w:rPr>
          <w:rFonts w:eastAsiaTheme="minorEastAsia"/>
        </w:rPr>
        <w:noBreakHyphen/>
        <w:t xml:space="preserve">values from the overall test of significance </w:t>
      </w:r>
      <w:r w:rsidR="00F82448">
        <w:rPr>
          <w:rFonts w:eastAsiaTheme="minorEastAsia"/>
        </w:rPr>
        <w:t>are</w:t>
      </w:r>
      <w:r>
        <w:rPr>
          <w:rFonts w:eastAsiaTheme="minorEastAsia"/>
        </w:rPr>
        <w:t xml:space="preserve"> in the table below.</w:t>
      </w:r>
    </w:p>
    <w:p w14:paraId="008E9CD0" w14:textId="78920DF4" w:rsidR="00A47444" w:rsidRDefault="00A47444" w:rsidP="0003678D">
      <w:pPr>
        <w:pStyle w:val="TableMainHeading"/>
        <w:rPr>
          <w:rFonts w:eastAsiaTheme="minorEastAsia"/>
        </w:rPr>
      </w:pPr>
      <w:r w:rsidRPr="00217BD6">
        <w:t xml:space="preserve">Table 10: </w:t>
      </w:r>
      <w:r>
        <w:t>Instances of bunching found – significance of firm characteristics (p</w:t>
      </w:r>
      <w:r>
        <w:noBreakHyphen/>
        <w:t>values)</w:t>
      </w:r>
    </w:p>
    <w:tbl>
      <w:tblPr>
        <w:tblW w:w="4945" w:type="pct"/>
        <w:tblLook w:val="04A0" w:firstRow="1" w:lastRow="0" w:firstColumn="1" w:lastColumn="0" w:noHBand="0" w:noVBand="1"/>
      </w:tblPr>
      <w:tblGrid>
        <w:gridCol w:w="2609"/>
        <w:gridCol w:w="1363"/>
        <w:gridCol w:w="1362"/>
        <w:gridCol w:w="1362"/>
        <w:gridCol w:w="1362"/>
        <w:gridCol w:w="1351"/>
      </w:tblGrid>
      <w:tr w:rsidR="00B0794C" w:rsidRPr="00774818" w14:paraId="02E89C02" w14:textId="77777777" w:rsidTr="00116242">
        <w:trPr>
          <w:trHeight w:val="274"/>
        </w:trPr>
        <w:tc>
          <w:tcPr>
            <w:tcW w:w="138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6D98AEC3" w14:textId="77777777" w:rsidR="00B0794C" w:rsidRPr="00774818" w:rsidRDefault="00B0794C" w:rsidP="00794CA7">
            <w:pPr>
              <w:pStyle w:val="TableColumnHeadingLeft"/>
              <w:spacing w:before="50" w:after="50"/>
            </w:pPr>
            <w:r w:rsidRPr="00774818">
              <w:t>State</w:t>
            </w:r>
          </w:p>
        </w:tc>
        <w:tc>
          <w:tcPr>
            <w:tcW w:w="724"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57571E4" w14:textId="77777777" w:rsidR="00B0794C" w:rsidRPr="00774818" w:rsidRDefault="00B0794C" w:rsidP="00816CB0">
            <w:pPr>
              <w:pStyle w:val="TableColumnHeadingRight"/>
            </w:pPr>
            <w:r w:rsidRPr="00774818">
              <w:t>20</w:t>
            </w:r>
            <w:r w:rsidR="001369F3">
              <w:t>10-</w:t>
            </w:r>
            <w:r w:rsidRPr="00774818">
              <w:t>11</w:t>
            </w:r>
          </w:p>
        </w:tc>
        <w:tc>
          <w:tcPr>
            <w:tcW w:w="724"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559F05D4" w14:textId="77777777" w:rsidR="00B0794C" w:rsidRPr="00774818" w:rsidRDefault="00B0794C" w:rsidP="00816CB0">
            <w:pPr>
              <w:pStyle w:val="TableColumnHeadingRight"/>
            </w:pPr>
            <w:r w:rsidRPr="00774818">
              <w:t>201</w:t>
            </w:r>
            <w:r w:rsidR="001369F3">
              <w:t>1-1</w:t>
            </w:r>
            <w:r w:rsidRPr="00774818">
              <w:t>2</w:t>
            </w:r>
          </w:p>
        </w:tc>
        <w:tc>
          <w:tcPr>
            <w:tcW w:w="724"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50AF733A" w14:textId="77777777" w:rsidR="00B0794C" w:rsidRPr="00774818" w:rsidRDefault="00B0794C" w:rsidP="00816CB0">
            <w:pPr>
              <w:pStyle w:val="TableColumnHeadingRight"/>
            </w:pPr>
            <w:r w:rsidRPr="00774818">
              <w:t>20</w:t>
            </w:r>
            <w:r w:rsidR="001369F3">
              <w:t>12-</w:t>
            </w:r>
            <w:r w:rsidRPr="00774818">
              <w:t>13</w:t>
            </w:r>
          </w:p>
        </w:tc>
        <w:tc>
          <w:tcPr>
            <w:tcW w:w="724"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75E45068" w14:textId="77777777" w:rsidR="00B0794C" w:rsidRPr="00774818" w:rsidRDefault="00B0794C" w:rsidP="00816CB0">
            <w:pPr>
              <w:pStyle w:val="TableColumnHeadingRight"/>
            </w:pPr>
            <w:r w:rsidRPr="00774818">
              <w:t>20</w:t>
            </w:r>
            <w:r w:rsidR="001369F3">
              <w:t>13-</w:t>
            </w:r>
            <w:r w:rsidRPr="00774818">
              <w:t>14</w:t>
            </w:r>
          </w:p>
        </w:tc>
        <w:tc>
          <w:tcPr>
            <w:tcW w:w="719" w:type="pct"/>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52EDABE7" w14:textId="77777777" w:rsidR="00B0794C" w:rsidRPr="00774818" w:rsidRDefault="00B0794C" w:rsidP="00816CB0">
            <w:pPr>
              <w:pStyle w:val="TableColumnHeadingRight"/>
            </w:pPr>
            <w:r w:rsidRPr="00774818">
              <w:t>20</w:t>
            </w:r>
            <w:r w:rsidR="001369F3">
              <w:t>14-</w:t>
            </w:r>
            <w:r w:rsidRPr="00774818">
              <w:t>1</w:t>
            </w:r>
            <w:r>
              <w:t>5</w:t>
            </w:r>
          </w:p>
        </w:tc>
      </w:tr>
      <w:tr w:rsidR="00B0794C" w:rsidRPr="00774818" w14:paraId="49B5F838" w14:textId="77777777" w:rsidTr="00794CA7">
        <w:trPr>
          <w:trHeight w:val="274"/>
        </w:trPr>
        <w:tc>
          <w:tcPr>
            <w:tcW w:w="1386" w:type="pct"/>
            <w:tcBorders>
              <w:top w:val="single" w:sz="8" w:space="0" w:color="000000" w:themeColor="text1"/>
              <w:left w:val="nil"/>
              <w:right w:val="nil"/>
            </w:tcBorders>
            <w:shd w:val="clear" w:color="000000" w:fill="FFFFFF"/>
            <w:vAlign w:val="center"/>
            <w:hideMark/>
          </w:tcPr>
          <w:p w14:paraId="30B59919" w14:textId="77777777" w:rsidR="00B0794C" w:rsidRPr="00281637" w:rsidRDefault="00B0794C" w:rsidP="00794CA7">
            <w:pPr>
              <w:pStyle w:val="Tabletextleft0"/>
              <w:spacing w:before="50" w:after="50"/>
            </w:pPr>
            <w:r>
              <w:rPr>
                <w:rFonts w:eastAsiaTheme="minorEastAsia"/>
              </w:rPr>
              <w:t>Victoria</w:t>
            </w:r>
          </w:p>
        </w:tc>
        <w:tc>
          <w:tcPr>
            <w:tcW w:w="724" w:type="pct"/>
            <w:tcBorders>
              <w:top w:val="single" w:sz="8" w:space="0" w:color="000000" w:themeColor="text1"/>
              <w:left w:val="nil"/>
              <w:right w:val="nil"/>
            </w:tcBorders>
            <w:shd w:val="clear" w:color="000000" w:fill="FFFFFF"/>
            <w:vAlign w:val="center"/>
            <w:hideMark/>
          </w:tcPr>
          <w:p w14:paraId="41BF198B" w14:textId="77777777" w:rsidR="00B0794C" w:rsidRPr="00774818" w:rsidRDefault="00B0794C" w:rsidP="00794CA7">
            <w:pPr>
              <w:pStyle w:val="TableTextRight"/>
              <w:spacing w:before="50" w:after="50"/>
            </w:pPr>
            <w:r w:rsidRPr="00774818">
              <w:rPr>
                <w:rFonts w:eastAsiaTheme="minorEastAsia"/>
              </w:rPr>
              <w:t>0.1</w:t>
            </w:r>
            <w:r w:rsidR="004B65B4">
              <w:rPr>
                <w:rFonts w:eastAsiaTheme="minorEastAsia"/>
              </w:rPr>
              <w:t>0</w:t>
            </w:r>
          </w:p>
        </w:tc>
        <w:tc>
          <w:tcPr>
            <w:tcW w:w="724" w:type="pct"/>
            <w:tcBorders>
              <w:top w:val="single" w:sz="8" w:space="0" w:color="000000" w:themeColor="text1"/>
              <w:left w:val="nil"/>
              <w:right w:val="nil"/>
            </w:tcBorders>
            <w:shd w:val="clear" w:color="000000" w:fill="FFFFFF"/>
            <w:vAlign w:val="center"/>
            <w:hideMark/>
          </w:tcPr>
          <w:p w14:paraId="5B43C296" w14:textId="77777777" w:rsidR="00B0794C" w:rsidRPr="00774818" w:rsidRDefault="00B0794C" w:rsidP="00794CA7">
            <w:pPr>
              <w:pStyle w:val="TableTextRight"/>
              <w:spacing w:before="50" w:after="50"/>
            </w:pPr>
            <w:r w:rsidRPr="00774818">
              <w:rPr>
                <w:rFonts w:eastAsiaTheme="minorEastAsia"/>
              </w:rPr>
              <w:t>0.23</w:t>
            </w:r>
          </w:p>
        </w:tc>
        <w:tc>
          <w:tcPr>
            <w:tcW w:w="724" w:type="pct"/>
            <w:tcBorders>
              <w:top w:val="single" w:sz="8" w:space="0" w:color="000000" w:themeColor="text1"/>
              <w:left w:val="nil"/>
              <w:right w:val="nil"/>
            </w:tcBorders>
            <w:shd w:val="clear" w:color="000000" w:fill="FFFFFF"/>
            <w:vAlign w:val="center"/>
            <w:hideMark/>
          </w:tcPr>
          <w:p w14:paraId="518CCD35" w14:textId="77777777" w:rsidR="00B0794C" w:rsidRPr="00774818" w:rsidRDefault="00B0794C" w:rsidP="00794CA7">
            <w:pPr>
              <w:pStyle w:val="TableTextRight"/>
              <w:spacing w:before="50" w:after="50"/>
            </w:pPr>
            <w:r w:rsidRPr="00774818">
              <w:rPr>
                <w:rFonts w:eastAsiaTheme="minorEastAsia"/>
              </w:rPr>
              <w:t>0.2</w:t>
            </w:r>
            <w:r w:rsidR="00B7794B">
              <w:rPr>
                <w:rFonts w:eastAsiaTheme="minorEastAsia"/>
              </w:rPr>
              <w:t>0</w:t>
            </w:r>
          </w:p>
        </w:tc>
        <w:tc>
          <w:tcPr>
            <w:tcW w:w="724" w:type="pct"/>
            <w:tcBorders>
              <w:top w:val="single" w:sz="8" w:space="0" w:color="000000" w:themeColor="text1"/>
              <w:left w:val="nil"/>
              <w:right w:val="nil"/>
            </w:tcBorders>
            <w:shd w:val="clear" w:color="000000" w:fill="FFFFFF"/>
            <w:vAlign w:val="center"/>
            <w:hideMark/>
          </w:tcPr>
          <w:p w14:paraId="21A9467E" w14:textId="77777777" w:rsidR="00B0794C" w:rsidRPr="00774818" w:rsidRDefault="00B0794C" w:rsidP="00794CA7">
            <w:pPr>
              <w:pStyle w:val="TableTextRight"/>
              <w:spacing w:before="50" w:after="50"/>
            </w:pPr>
            <w:r w:rsidRPr="00774818">
              <w:rPr>
                <w:rFonts w:eastAsiaTheme="minorEastAsia"/>
              </w:rPr>
              <w:t>-</w:t>
            </w:r>
          </w:p>
        </w:tc>
        <w:tc>
          <w:tcPr>
            <w:tcW w:w="719" w:type="pct"/>
            <w:tcBorders>
              <w:top w:val="single" w:sz="8" w:space="0" w:color="000000" w:themeColor="text1"/>
              <w:left w:val="nil"/>
              <w:right w:val="nil"/>
            </w:tcBorders>
            <w:shd w:val="clear" w:color="000000" w:fill="FFFFFF"/>
            <w:vAlign w:val="center"/>
          </w:tcPr>
          <w:p w14:paraId="76021A40" w14:textId="77777777" w:rsidR="00B0794C" w:rsidRPr="00774818" w:rsidRDefault="001369F3" w:rsidP="00794CA7">
            <w:pPr>
              <w:pStyle w:val="TableTextRight"/>
              <w:spacing w:before="50" w:after="50"/>
              <w:rPr>
                <w:rFonts w:eastAsiaTheme="minorEastAsia"/>
              </w:rPr>
            </w:pPr>
            <w:r>
              <w:rPr>
                <w:rFonts w:eastAsiaTheme="minorEastAsia"/>
              </w:rPr>
              <w:t>-</w:t>
            </w:r>
          </w:p>
        </w:tc>
      </w:tr>
      <w:tr w:rsidR="00B0794C" w:rsidRPr="00774818" w14:paraId="6BC923C3" w14:textId="77777777" w:rsidTr="00116242">
        <w:trPr>
          <w:trHeight w:val="274"/>
        </w:trPr>
        <w:tc>
          <w:tcPr>
            <w:tcW w:w="1386" w:type="pct"/>
            <w:tcBorders>
              <w:top w:val="nil"/>
              <w:left w:val="nil"/>
              <w:bottom w:val="single" w:sz="8" w:space="0" w:color="000000" w:themeColor="text1"/>
              <w:right w:val="nil"/>
            </w:tcBorders>
            <w:shd w:val="clear" w:color="auto" w:fill="F2F2F2" w:themeFill="background1" w:themeFillShade="F2"/>
            <w:vAlign w:val="center"/>
            <w:hideMark/>
          </w:tcPr>
          <w:p w14:paraId="650056A1" w14:textId="77777777" w:rsidR="00B0794C" w:rsidRPr="00281637" w:rsidRDefault="00B0794C" w:rsidP="00794CA7">
            <w:pPr>
              <w:pStyle w:val="Tabletextleft0"/>
              <w:spacing w:before="50" w:after="50"/>
            </w:pPr>
            <w:r>
              <w:rPr>
                <w:rFonts w:eastAsiaTheme="minorEastAsia"/>
              </w:rPr>
              <w:t>Western Australia</w:t>
            </w:r>
          </w:p>
        </w:tc>
        <w:tc>
          <w:tcPr>
            <w:tcW w:w="724" w:type="pct"/>
            <w:tcBorders>
              <w:top w:val="nil"/>
              <w:left w:val="nil"/>
              <w:bottom w:val="single" w:sz="8" w:space="0" w:color="000000" w:themeColor="text1"/>
              <w:right w:val="nil"/>
            </w:tcBorders>
            <w:shd w:val="clear" w:color="auto" w:fill="F2F2F2" w:themeFill="background1" w:themeFillShade="F2"/>
            <w:vAlign w:val="center"/>
            <w:hideMark/>
          </w:tcPr>
          <w:p w14:paraId="590859F8" w14:textId="77777777" w:rsidR="00B0794C" w:rsidRPr="00774818" w:rsidRDefault="001369F3" w:rsidP="00794CA7">
            <w:pPr>
              <w:pStyle w:val="TableTextRight"/>
              <w:spacing w:before="50" w:after="50"/>
            </w:pPr>
            <w:r>
              <w:t>-</w:t>
            </w:r>
          </w:p>
        </w:tc>
        <w:tc>
          <w:tcPr>
            <w:tcW w:w="724" w:type="pct"/>
            <w:tcBorders>
              <w:top w:val="nil"/>
              <w:left w:val="nil"/>
              <w:bottom w:val="single" w:sz="8" w:space="0" w:color="000000" w:themeColor="text1"/>
              <w:right w:val="nil"/>
            </w:tcBorders>
            <w:shd w:val="clear" w:color="auto" w:fill="F2F2F2" w:themeFill="background1" w:themeFillShade="F2"/>
            <w:vAlign w:val="center"/>
            <w:hideMark/>
          </w:tcPr>
          <w:p w14:paraId="3070661F" w14:textId="77777777" w:rsidR="00B0794C" w:rsidRPr="00774818" w:rsidRDefault="001369F3" w:rsidP="00794CA7">
            <w:pPr>
              <w:pStyle w:val="TableTextRight"/>
              <w:spacing w:before="50" w:after="50"/>
            </w:pPr>
            <w:r>
              <w:rPr>
                <w:rFonts w:eastAsiaTheme="minorEastAsia"/>
              </w:rPr>
              <w:t>-</w:t>
            </w:r>
          </w:p>
        </w:tc>
        <w:tc>
          <w:tcPr>
            <w:tcW w:w="724" w:type="pct"/>
            <w:tcBorders>
              <w:top w:val="nil"/>
              <w:left w:val="nil"/>
              <w:bottom w:val="single" w:sz="8" w:space="0" w:color="000000" w:themeColor="text1"/>
              <w:right w:val="nil"/>
            </w:tcBorders>
            <w:shd w:val="clear" w:color="auto" w:fill="F2F2F2" w:themeFill="background1" w:themeFillShade="F2"/>
            <w:vAlign w:val="center"/>
            <w:hideMark/>
          </w:tcPr>
          <w:p w14:paraId="630A83BC" w14:textId="77777777" w:rsidR="00B0794C" w:rsidRPr="00774818" w:rsidRDefault="00B0794C" w:rsidP="00794CA7">
            <w:pPr>
              <w:pStyle w:val="TableTextRight"/>
              <w:spacing w:before="50" w:after="50"/>
            </w:pPr>
            <w:r w:rsidRPr="00774818">
              <w:rPr>
                <w:rFonts w:eastAsiaTheme="minorEastAsia"/>
              </w:rPr>
              <w:t>0.28</w:t>
            </w:r>
          </w:p>
        </w:tc>
        <w:tc>
          <w:tcPr>
            <w:tcW w:w="724" w:type="pct"/>
            <w:tcBorders>
              <w:top w:val="nil"/>
              <w:left w:val="nil"/>
              <w:bottom w:val="single" w:sz="8" w:space="0" w:color="000000" w:themeColor="text1"/>
              <w:right w:val="nil"/>
            </w:tcBorders>
            <w:shd w:val="clear" w:color="auto" w:fill="F2F2F2" w:themeFill="background1" w:themeFillShade="F2"/>
            <w:vAlign w:val="center"/>
            <w:hideMark/>
          </w:tcPr>
          <w:p w14:paraId="256CA049" w14:textId="77777777" w:rsidR="00B0794C" w:rsidRPr="00774818" w:rsidRDefault="00B0794C" w:rsidP="00794CA7">
            <w:pPr>
              <w:pStyle w:val="TableTextRight"/>
              <w:spacing w:before="50" w:after="50"/>
            </w:pPr>
            <w:r w:rsidRPr="00774818">
              <w:rPr>
                <w:rFonts w:eastAsiaTheme="minorEastAsia"/>
              </w:rPr>
              <w:t>0.13</w:t>
            </w:r>
          </w:p>
        </w:tc>
        <w:tc>
          <w:tcPr>
            <w:tcW w:w="719" w:type="pct"/>
            <w:tcBorders>
              <w:top w:val="nil"/>
              <w:left w:val="nil"/>
              <w:bottom w:val="single" w:sz="8" w:space="0" w:color="000000" w:themeColor="text1"/>
              <w:right w:val="nil"/>
            </w:tcBorders>
            <w:shd w:val="clear" w:color="auto" w:fill="F2F2F2" w:themeFill="background1" w:themeFillShade="F2"/>
            <w:vAlign w:val="center"/>
          </w:tcPr>
          <w:p w14:paraId="534DD3F4" w14:textId="77777777" w:rsidR="00B0794C" w:rsidRPr="00774818" w:rsidRDefault="00B0794C" w:rsidP="00794CA7">
            <w:pPr>
              <w:pStyle w:val="TableTextRight"/>
              <w:spacing w:before="50" w:after="50"/>
              <w:rPr>
                <w:rFonts w:eastAsiaTheme="minorEastAsia"/>
              </w:rPr>
            </w:pPr>
            <w:r w:rsidRPr="00774818">
              <w:rPr>
                <w:rFonts w:eastAsiaTheme="minorEastAsia"/>
              </w:rPr>
              <w:t>0.</w:t>
            </w:r>
            <w:r>
              <w:rPr>
                <w:rFonts w:eastAsiaTheme="minorEastAsia"/>
              </w:rPr>
              <w:t>00</w:t>
            </w:r>
          </w:p>
        </w:tc>
      </w:tr>
    </w:tbl>
    <w:p w14:paraId="757D02C4" w14:textId="48B0B06F" w:rsidR="00B0794C" w:rsidRDefault="00B0794C" w:rsidP="00A47444">
      <w:pPr>
        <w:spacing w:before="240" w:after="240"/>
        <w:rPr>
          <w:rFonts w:eastAsiaTheme="minorEastAsia"/>
        </w:rPr>
      </w:pPr>
      <w:r>
        <w:rPr>
          <w:rFonts w:eastAsiaTheme="minorEastAsia"/>
        </w:rPr>
        <w:t>The results show that for Victoria the model was not particularly good at predicting which side of the threshold a firm was likely to be. This means that firms on either side of the threshold are largely the same. The model results</w:t>
      </w:r>
      <w:r w:rsidR="001369F3">
        <w:rPr>
          <w:rFonts w:eastAsiaTheme="minorEastAsia"/>
        </w:rPr>
        <w:t xml:space="preserve"> for Western Australia are not as clear cut, with 2012-13</w:t>
      </w:r>
      <w:r w:rsidR="007475AD">
        <w:rPr>
          <w:rFonts w:eastAsiaTheme="minorEastAsia"/>
        </w:rPr>
        <w:t xml:space="preserve"> and 2013-14</w:t>
      </w:r>
      <w:r>
        <w:rPr>
          <w:rFonts w:eastAsiaTheme="minorEastAsia"/>
        </w:rPr>
        <w:t xml:space="preserve"> being </w:t>
      </w:r>
      <w:r w:rsidR="00303ADE">
        <w:rPr>
          <w:rFonts w:eastAsiaTheme="minorEastAsia"/>
        </w:rPr>
        <w:t>insignificant</w:t>
      </w:r>
      <w:r>
        <w:rPr>
          <w:rFonts w:eastAsiaTheme="minorEastAsia"/>
        </w:rPr>
        <w:t>, and 20</w:t>
      </w:r>
      <w:r w:rsidR="001369F3">
        <w:rPr>
          <w:rFonts w:eastAsiaTheme="minorEastAsia"/>
        </w:rPr>
        <w:t>14-</w:t>
      </w:r>
      <w:r>
        <w:rPr>
          <w:rFonts w:eastAsiaTheme="minorEastAsia"/>
        </w:rPr>
        <w:t xml:space="preserve">15 </w:t>
      </w:r>
      <w:r w:rsidR="007475AD">
        <w:rPr>
          <w:rFonts w:eastAsiaTheme="minorEastAsia"/>
        </w:rPr>
        <w:t>significant</w:t>
      </w:r>
      <w:r>
        <w:rPr>
          <w:rFonts w:eastAsiaTheme="minorEastAsia"/>
        </w:rPr>
        <w:t>. For Western Australia this suggests that as time progressed firms on either side of the threshold became increasingly different from each other.</w:t>
      </w:r>
    </w:p>
    <w:p w14:paraId="57E01C7A" w14:textId="77777777" w:rsidR="00AE336A" w:rsidRDefault="00B0794C" w:rsidP="00B0794C">
      <w:pPr>
        <w:rPr>
          <w:rFonts w:eastAsiaTheme="minorEastAsia"/>
        </w:rPr>
      </w:pPr>
      <w:r>
        <w:rPr>
          <w:rFonts w:eastAsiaTheme="minorEastAsia"/>
        </w:rPr>
        <w:t>For Western Australia it is not clear which way the causality runs. It could be that it is the differences between firms that results in the bunching at the payroll tax threshold. Conversely, the payroll tax threshold could cause firms to be different from each other. This is an unresolved question.</w:t>
      </w:r>
    </w:p>
    <w:p w14:paraId="4BB15726" w14:textId="77777777" w:rsidR="00B0794C" w:rsidRDefault="00106DC8" w:rsidP="00B0794C">
      <w:pPr>
        <w:pStyle w:val="Heading3"/>
      </w:pPr>
      <w:r>
        <w:t>The use of contractors</w:t>
      </w:r>
    </w:p>
    <w:p w14:paraId="6D693D0B" w14:textId="3CA151DD" w:rsidR="00A81553" w:rsidRDefault="00A81553" w:rsidP="00B0794C">
      <w:pPr>
        <w:rPr>
          <w:rFonts w:eastAsiaTheme="minorEastAsia"/>
        </w:rPr>
      </w:pPr>
      <w:r>
        <w:rPr>
          <w:rFonts w:eastAsiaTheme="minorEastAsia"/>
        </w:rPr>
        <w:t>Before moving onto the discussion, it is worth noting that firms on either side of the payroll tax threshold are largely the same even when bunching does not occur. This suggests that firms near the threshold do not hire contractors to avoid payroll tax. Tab</w:t>
      </w:r>
      <w:r w:rsidR="00A47444">
        <w:rPr>
          <w:rFonts w:eastAsiaTheme="minorEastAsia"/>
        </w:rPr>
        <w:t>le 11 summarises these results.</w:t>
      </w:r>
    </w:p>
    <w:p w14:paraId="7957D2F1" w14:textId="701077B2" w:rsidR="00A81553" w:rsidRDefault="00A81553" w:rsidP="00B0794C">
      <w:pPr>
        <w:rPr>
          <w:rFonts w:eastAsiaTheme="minorEastAsia"/>
        </w:rPr>
      </w:pPr>
      <w:r>
        <w:rPr>
          <w:rFonts w:eastAsiaTheme="minorEastAsia"/>
        </w:rPr>
        <w:t>A logit test is done to see if firms on either side of the threshold, where bunching was not previously found for consecutive years</w:t>
      </w:r>
      <w:r w:rsidR="00BD59D3">
        <w:rPr>
          <w:rFonts w:eastAsiaTheme="minorEastAsia"/>
        </w:rPr>
        <w:t>, are significantly different from each other</w:t>
      </w:r>
      <w:r>
        <w:rPr>
          <w:rFonts w:eastAsiaTheme="minorEastAsia"/>
        </w:rPr>
        <w:t xml:space="preserve">. </w:t>
      </w:r>
      <w:r w:rsidR="00BD59D3">
        <w:rPr>
          <w:rFonts w:eastAsiaTheme="minorEastAsia"/>
        </w:rPr>
        <w:t xml:space="preserve">Further information on the equation and the variables is in a sub-section of the methodology discussion called, </w:t>
      </w:r>
      <w:r w:rsidR="00BD59D3">
        <w:rPr>
          <w:rFonts w:eastAsiaTheme="minorEastAsia"/>
          <w:i/>
        </w:rPr>
        <w:t xml:space="preserve">Detecting if bunching is caused by firm </w:t>
      </w:r>
      <w:r w:rsidR="00BD59D3" w:rsidRPr="00BD59D3">
        <w:rPr>
          <w:rFonts w:eastAsiaTheme="minorEastAsia"/>
          <w:i/>
        </w:rPr>
        <w:t>type</w:t>
      </w:r>
      <w:r w:rsidR="00A47444">
        <w:rPr>
          <w:rFonts w:eastAsiaTheme="minorEastAsia"/>
        </w:rPr>
        <w:t>.</w:t>
      </w:r>
    </w:p>
    <w:p w14:paraId="4F6E6F4F" w14:textId="77777777" w:rsidR="00DF40B5" w:rsidRDefault="00DF40B5">
      <w:pPr>
        <w:spacing w:after="200" w:line="276" w:lineRule="auto"/>
        <w:rPr>
          <w:rFonts w:asciiTheme="majorHAnsi" w:eastAsia="Times New Roman" w:hAnsiTheme="majorHAnsi" w:cs="Times New Roman"/>
          <w:b/>
          <w:color w:val="003057"/>
          <w:sz w:val="21"/>
          <w:szCs w:val="20"/>
          <w:lang w:eastAsia="en-AU"/>
        </w:rPr>
      </w:pPr>
      <w:r>
        <w:br w:type="page"/>
      </w:r>
    </w:p>
    <w:p w14:paraId="56F5FEFF" w14:textId="4B95DDE5" w:rsidR="00BC3F1A" w:rsidRDefault="00BC3F1A" w:rsidP="0003678D">
      <w:pPr>
        <w:pStyle w:val="TableMainHeading"/>
      </w:pPr>
      <w:r w:rsidRPr="006F2722">
        <w:lastRenderedPageBreak/>
        <w:t>Table 1</w:t>
      </w:r>
      <w:r>
        <w:t>1</w:t>
      </w:r>
      <w:r w:rsidRPr="006F2722">
        <w:t>: Instances of bunching found – significant outcomes</w:t>
      </w:r>
    </w:p>
    <w:tbl>
      <w:tblPr>
        <w:tblW w:w="9354" w:type="dxa"/>
        <w:tblInd w:w="93" w:type="dxa"/>
        <w:tblLook w:val="04A0" w:firstRow="1" w:lastRow="0" w:firstColumn="1" w:lastColumn="0" w:noHBand="0" w:noVBand="1"/>
      </w:tblPr>
      <w:tblGrid>
        <w:gridCol w:w="3118"/>
        <w:gridCol w:w="3118"/>
        <w:gridCol w:w="3118"/>
      </w:tblGrid>
      <w:tr w:rsidR="00B0794C" w:rsidRPr="006F2722" w14:paraId="0053563B" w14:textId="77777777" w:rsidTr="00116242">
        <w:trPr>
          <w:trHeight w:val="284"/>
        </w:trPr>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0CFE1380" w14:textId="77777777" w:rsidR="00B0794C" w:rsidRDefault="00B0794C" w:rsidP="00794CA7">
            <w:pPr>
              <w:pStyle w:val="TableColumnHeadingLeft"/>
              <w:spacing w:before="50" w:after="50"/>
              <w:rPr>
                <w:rFonts w:eastAsiaTheme="minorEastAsia"/>
              </w:rPr>
            </w:pPr>
            <w:r>
              <w:rPr>
                <w:rFonts w:eastAsiaTheme="minorEastAsia"/>
              </w:rPr>
              <w:t>State</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0A3EC6E2" w14:textId="77777777" w:rsidR="00B0794C" w:rsidRPr="006F2722" w:rsidRDefault="00B0794C" w:rsidP="00794CA7">
            <w:pPr>
              <w:pStyle w:val="TableColumnHeadingCentred"/>
              <w:spacing w:before="50" w:after="50"/>
              <w:rPr>
                <w:rFonts w:eastAsiaTheme="minorEastAsia"/>
              </w:rPr>
            </w:pPr>
            <w:r w:rsidRPr="006F2722">
              <w:rPr>
                <w:rFonts w:eastAsiaTheme="minorEastAsia"/>
              </w:rPr>
              <w:t>No. of tests</w:t>
            </w:r>
          </w:p>
        </w:tc>
        <w:tc>
          <w:tcPr>
            <w:tcW w:w="3118"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2560741D" w14:textId="77777777" w:rsidR="00B0794C" w:rsidRPr="006F2722" w:rsidRDefault="00B0794C" w:rsidP="00794CA7">
            <w:pPr>
              <w:pStyle w:val="TableColumnHeadingCentred"/>
              <w:spacing w:before="50" w:after="50"/>
              <w:rPr>
                <w:rFonts w:eastAsiaTheme="minorEastAsia"/>
              </w:rPr>
            </w:pPr>
            <w:r w:rsidRPr="006F2722">
              <w:rPr>
                <w:rFonts w:eastAsiaTheme="minorEastAsia"/>
              </w:rPr>
              <w:t>No. found significant</w:t>
            </w:r>
            <w:r w:rsidR="008B531F">
              <w:rPr>
                <w:rFonts w:eastAsiaTheme="minorEastAsia"/>
              </w:rPr>
              <w:t>*</w:t>
            </w:r>
          </w:p>
        </w:tc>
      </w:tr>
      <w:tr w:rsidR="00B0794C" w:rsidRPr="006F2722" w14:paraId="5D03F389" w14:textId="77777777" w:rsidTr="00794CA7">
        <w:trPr>
          <w:trHeight w:val="284"/>
        </w:trPr>
        <w:tc>
          <w:tcPr>
            <w:tcW w:w="3118" w:type="dxa"/>
            <w:tcBorders>
              <w:top w:val="single" w:sz="8" w:space="0" w:color="000000" w:themeColor="text1"/>
              <w:left w:val="nil"/>
              <w:bottom w:val="nil"/>
              <w:right w:val="nil"/>
            </w:tcBorders>
            <w:shd w:val="clear" w:color="000000" w:fill="FFFFFF"/>
            <w:vAlign w:val="center"/>
            <w:hideMark/>
          </w:tcPr>
          <w:p w14:paraId="181FB2CF" w14:textId="77777777" w:rsidR="00B0794C" w:rsidRPr="00281637" w:rsidRDefault="00B0794C" w:rsidP="00794CA7">
            <w:pPr>
              <w:pStyle w:val="Tabletextleft0"/>
              <w:spacing w:before="50" w:after="50"/>
            </w:pPr>
            <w:r>
              <w:rPr>
                <w:rFonts w:eastAsiaTheme="minorEastAsia"/>
              </w:rPr>
              <w:t>New South Wales</w:t>
            </w:r>
          </w:p>
        </w:tc>
        <w:tc>
          <w:tcPr>
            <w:tcW w:w="3118" w:type="dxa"/>
            <w:tcBorders>
              <w:top w:val="single" w:sz="8" w:space="0" w:color="000000" w:themeColor="text1"/>
              <w:left w:val="nil"/>
              <w:bottom w:val="nil"/>
              <w:right w:val="nil"/>
            </w:tcBorders>
            <w:shd w:val="clear" w:color="000000" w:fill="FFFFFF"/>
            <w:vAlign w:val="center"/>
            <w:hideMark/>
          </w:tcPr>
          <w:p w14:paraId="131B6A79" w14:textId="77777777" w:rsidR="00B0794C" w:rsidRPr="006F2722" w:rsidRDefault="00B0794C" w:rsidP="00794CA7">
            <w:pPr>
              <w:pStyle w:val="Tabletextcentred"/>
              <w:spacing w:before="50" w:after="50"/>
            </w:pPr>
            <w:r w:rsidRPr="006F2722">
              <w:rPr>
                <w:rFonts w:eastAsiaTheme="minorEastAsia"/>
              </w:rPr>
              <w:t>13</w:t>
            </w:r>
          </w:p>
        </w:tc>
        <w:tc>
          <w:tcPr>
            <w:tcW w:w="3118" w:type="dxa"/>
            <w:tcBorders>
              <w:top w:val="single" w:sz="8" w:space="0" w:color="000000" w:themeColor="text1"/>
              <w:left w:val="nil"/>
              <w:bottom w:val="nil"/>
              <w:right w:val="nil"/>
            </w:tcBorders>
            <w:shd w:val="clear" w:color="000000" w:fill="FFFFFF"/>
            <w:vAlign w:val="center"/>
            <w:hideMark/>
          </w:tcPr>
          <w:p w14:paraId="1DD05971" w14:textId="77777777" w:rsidR="00B0794C" w:rsidRPr="006F2722" w:rsidRDefault="00B0794C" w:rsidP="00794CA7">
            <w:pPr>
              <w:pStyle w:val="Tabletextcentred"/>
              <w:spacing w:before="50" w:after="50"/>
            </w:pPr>
            <w:r w:rsidRPr="006F2722">
              <w:rPr>
                <w:rFonts w:eastAsiaTheme="minorEastAsia"/>
              </w:rPr>
              <w:t>2</w:t>
            </w:r>
          </w:p>
        </w:tc>
      </w:tr>
      <w:tr w:rsidR="00B0794C" w:rsidRPr="006F2722" w14:paraId="0569DC70" w14:textId="77777777" w:rsidTr="00116242">
        <w:trPr>
          <w:trHeight w:val="284"/>
        </w:trPr>
        <w:tc>
          <w:tcPr>
            <w:tcW w:w="3118" w:type="dxa"/>
            <w:tcBorders>
              <w:top w:val="nil"/>
              <w:left w:val="nil"/>
              <w:bottom w:val="nil"/>
              <w:right w:val="nil"/>
            </w:tcBorders>
            <w:shd w:val="clear" w:color="auto" w:fill="F2F2F2" w:themeFill="background1" w:themeFillShade="F2"/>
            <w:vAlign w:val="center"/>
          </w:tcPr>
          <w:p w14:paraId="7BA2B69E" w14:textId="77777777" w:rsidR="00B0794C" w:rsidRPr="00281637" w:rsidRDefault="00D461AF" w:rsidP="00794CA7">
            <w:pPr>
              <w:pStyle w:val="Tabletextleft0"/>
              <w:spacing w:before="50" w:after="50"/>
            </w:pPr>
            <w:r>
              <w:t>Northern Territory</w:t>
            </w:r>
          </w:p>
        </w:tc>
        <w:tc>
          <w:tcPr>
            <w:tcW w:w="3118" w:type="dxa"/>
            <w:tcBorders>
              <w:top w:val="nil"/>
              <w:left w:val="nil"/>
              <w:bottom w:val="nil"/>
              <w:right w:val="nil"/>
            </w:tcBorders>
            <w:shd w:val="clear" w:color="auto" w:fill="F2F2F2" w:themeFill="background1" w:themeFillShade="F2"/>
            <w:vAlign w:val="center"/>
          </w:tcPr>
          <w:p w14:paraId="2C44C229" w14:textId="77777777" w:rsidR="00B0794C" w:rsidRPr="006F2722" w:rsidRDefault="00D461AF" w:rsidP="00794CA7">
            <w:pPr>
              <w:pStyle w:val="Tabletextcentred"/>
              <w:spacing w:before="50" w:after="50"/>
            </w:pPr>
            <w:r>
              <w:t>9</w:t>
            </w:r>
          </w:p>
        </w:tc>
        <w:tc>
          <w:tcPr>
            <w:tcW w:w="3118" w:type="dxa"/>
            <w:tcBorders>
              <w:top w:val="nil"/>
              <w:left w:val="nil"/>
              <w:bottom w:val="nil"/>
              <w:right w:val="nil"/>
            </w:tcBorders>
            <w:shd w:val="clear" w:color="auto" w:fill="F2F2F2" w:themeFill="background1" w:themeFillShade="F2"/>
            <w:vAlign w:val="center"/>
          </w:tcPr>
          <w:p w14:paraId="64D974FC" w14:textId="77777777" w:rsidR="00B0794C" w:rsidRPr="006F2722" w:rsidRDefault="00D461AF" w:rsidP="00794CA7">
            <w:pPr>
              <w:pStyle w:val="Tabletextcentred"/>
              <w:spacing w:before="50" w:after="50"/>
            </w:pPr>
            <w:r>
              <w:t>0</w:t>
            </w:r>
          </w:p>
        </w:tc>
      </w:tr>
      <w:tr w:rsidR="00B0794C" w:rsidRPr="006F2722" w14:paraId="1729B9BB" w14:textId="77777777" w:rsidTr="00794CA7">
        <w:trPr>
          <w:trHeight w:val="284"/>
        </w:trPr>
        <w:tc>
          <w:tcPr>
            <w:tcW w:w="3118" w:type="dxa"/>
            <w:tcBorders>
              <w:top w:val="nil"/>
              <w:left w:val="nil"/>
              <w:bottom w:val="nil"/>
              <w:right w:val="nil"/>
            </w:tcBorders>
            <w:shd w:val="clear" w:color="000000" w:fill="FFFFFF"/>
            <w:vAlign w:val="center"/>
          </w:tcPr>
          <w:p w14:paraId="493A75F3" w14:textId="77777777" w:rsidR="00B0794C" w:rsidRPr="00281637" w:rsidRDefault="00D461AF" w:rsidP="00794CA7">
            <w:pPr>
              <w:pStyle w:val="Tabletextleft0"/>
              <w:spacing w:before="50" w:after="50"/>
            </w:pPr>
            <w:r>
              <w:t>Queensland</w:t>
            </w:r>
          </w:p>
        </w:tc>
        <w:tc>
          <w:tcPr>
            <w:tcW w:w="3118" w:type="dxa"/>
            <w:tcBorders>
              <w:top w:val="nil"/>
              <w:left w:val="nil"/>
              <w:bottom w:val="nil"/>
              <w:right w:val="nil"/>
            </w:tcBorders>
            <w:shd w:val="clear" w:color="000000" w:fill="FFFFFF"/>
            <w:vAlign w:val="center"/>
          </w:tcPr>
          <w:p w14:paraId="62CBCD22" w14:textId="77777777" w:rsidR="00B0794C" w:rsidRPr="006F2722" w:rsidRDefault="00D461AF" w:rsidP="00794CA7">
            <w:pPr>
              <w:pStyle w:val="Tabletextcentred"/>
              <w:spacing w:before="50" w:after="50"/>
            </w:pPr>
            <w:r>
              <w:t>14</w:t>
            </w:r>
          </w:p>
        </w:tc>
        <w:tc>
          <w:tcPr>
            <w:tcW w:w="3118" w:type="dxa"/>
            <w:tcBorders>
              <w:top w:val="nil"/>
              <w:left w:val="nil"/>
              <w:bottom w:val="nil"/>
              <w:right w:val="nil"/>
            </w:tcBorders>
            <w:shd w:val="clear" w:color="000000" w:fill="FFFFFF"/>
            <w:vAlign w:val="center"/>
          </w:tcPr>
          <w:p w14:paraId="3F8973BC" w14:textId="77777777" w:rsidR="00B0794C" w:rsidRPr="006F2722" w:rsidRDefault="00D461AF" w:rsidP="00794CA7">
            <w:pPr>
              <w:pStyle w:val="Tabletextcentred"/>
              <w:spacing w:before="50" w:after="50"/>
            </w:pPr>
            <w:r>
              <w:t>0</w:t>
            </w:r>
          </w:p>
        </w:tc>
      </w:tr>
      <w:tr w:rsidR="00B0794C" w:rsidRPr="006F2722" w14:paraId="2423F8B4" w14:textId="77777777" w:rsidTr="00116242">
        <w:trPr>
          <w:trHeight w:val="284"/>
        </w:trPr>
        <w:tc>
          <w:tcPr>
            <w:tcW w:w="3118" w:type="dxa"/>
            <w:tcBorders>
              <w:top w:val="nil"/>
              <w:left w:val="nil"/>
              <w:bottom w:val="nil"/>
              <w:right w:val="nil"/>
            </w:tcBorders>
            <w:shd w:val="clear" w:color="auto" w:fill="F2F2F2" w:themeFill="background1" w:themeFillShade="F2"/>
            <w:vAlign w:val="center"/>
          </w:tcPr>
          <w:p w14:paraId="36C70AE2" w14:textId="77777777" w:rsidR="00B0794C" w:rsidRPr="00281637" w:rsidRDefault="00D461AF" w:rsidP="00794CA7">
            <w:pPr>
              <w:pStyle w:val="Tabletextleft0"/>
              <w:spacing w:before="50" w:after="50"/>
            </w:pPr>
            <w:r>
              <w:t>South Australia</w:t>
            </w:r>
          </w:p>
        </w:tc>
        <w:tc>
          <w:tcPr>
            <w:tcW w:w="3118" w:type="dxa"/>
            <w:tcBorders>
              <w:top w:val="nil"/>
              <w:left w:val="nil"/>
              <w:bottom w:val="nil"/>
              <w:right w:val="nil"/>
            </w:tcBorders>
            <w:shd w:val="clear" w:color="auto" w:fill="F2F2F2" w:themeFill="background1" w:themeFillShade="F2"/>
            <w:vAlign w:val="center"/>
          </w:tcPr>
          <w:p w14:paraId="0CF952AD" w14:textId="77777777" w:rsidR="00B0794C" w:rsidRPr="006F2722" w:rsidRDefault="00D461AF" w:rsidP="00794CA7">
            <w:pPr>
              <w:pStyle w:val="Tabletextcentred"/>
              <w:spacing w:before="50" w:after="50"/>
            </w:pPr>
            <w:r>
              <w:t>14</w:t>
            </w:r>
          </w:p>
        </w:tc>
        <w:tc>
          <w:tcPr>
            <w:tcW w:w="3118" w:type="dxa"/>
            <w:tcBorders>
              <w:top w:val="nil"/>
              <w:left w:val="nil"/>
              <w:bottom w:val="nil"/>
              <w:right w:val="nil"/>
            </w:tcBorders>
            <w:shd w:val="clear" w:color="auto" w:fill="F2F2F2" w:themeFill="background1" w:themeFillShade="F2"/>
            <w:vAlign w:val="center"/>
          </w:tcPr>
          <w:p w14:paraId="53E570C4" w14:textId="77777777" w:rsidR="00B0794C" w:rsidRPr="006F2722" w:rsidRDefault="00D461AF" w:rsidP="00794CA7">
            <w:pPr>
              <w:pStyle w:val="Tabletextcentred"/>
              <w:spacing w:before="50" w:after="50"/>
            </w:pPr>
            <w:r>
              <w:t>2</w:t>
            </w:r>
          </w:p>
        </w:tc>
      </w:tr>
      <w:tr w:rsidR="00B0794C" w:rsidRPr="006F2722" w14:paraId="2C98D1CD" w14:textId="77777777" w:rsidTr="00794CA7">
        <w:trPr>
          <w:trHeight w:val="284"/>
        </w:trPr>
        <w:tc>
          <w:tcPr>
            <w:tcW w:w="3118" w:type="dxa"/>
            <w:tcBorders>
              <w:top w:val="nil"/>
              <w:left w:val="nil"/>
              <w:bottom w:val="nil"/>
              <w:right w:val="nil"/>
            </w:tcBorders>
            <w:shd w:val="clear" w:color="000000" w:fill="FFFFFF"/>
            <w:vAlign w:val="center"/>
          </w:tcPr>
          <w:p w14:paraId="1308E1A4" w14:textId="77777777" w:rsidR="00B0794C" w:rsidRPr="00281637" w:rsidRDefault="00D461AF" w:rsidP="00794CA7">
            <w:pPr>
              <w:pStyle w:val="Tabletextleft0"/>
              <w:spacing w:before="50" w:after="50"/>
            </w:pPr>
            <w:r>
              <w:t>Tasmania</w:t>
            </w:r>
          </w:p>
        </w:tc>
        <w:tc>
          <w:tcPr>
            <w:tcW w:w="3118" w:type="dxa"/>
            <w:tcBorders>
              <w:top w:val="nil"/>
              <w:left w:val="nil"/>
              <w:bottom w:val="nil"/>
              <w:right w:val="nil"/>
            </w:tcBorders>
            <w:shd w:val="clear" w:color="000000" w:fill="FFFFFF"/>
            <w:vAlign w:val="center"/>
          </w:tcPr>
          <w:p w14:paraId="56C518A8" w14:textId="77777777" w:rsidR="00B0794C" w:rsidRPr="006F2722" w:rsidRDefault="00D461AF" w:rsidP="00794CA7">
            <w:pPr>
              <w:pStyle w:val="Tabletextcentred"/>
              <w:spacing w:before="50" w:after="50"/>
            </w:pPr>
            <w:r>
              <w:t>12</w:t>
            </w:r>
          </w:p>
        </w:tc>
        <w:tc>
          <w:tcPr>
            <w:tcW w:w="3118" w:type="dxa"/>
            <w:tcBorders>
              <w:top w:val="nil"/>
              <w:left w:val="nil"/>
              <w:bottom w:val="nil"/>
              <w:right w:val="nil"/>
            </w:tcBorders>
            <w:shd w:val="clear" w:color="000000" w:fill="FFFFFF"/>
            <w:vAlign w:val="center"/>
          </w:tcPr>
          <w:p w14:paraId="624FDB31" w14:textId="77777777" w:rsidR="00B0794C" w:rsidRPr="006F2722" w:rsidRDefault="00D461AF" w:rsidP="00794CA7">
            <w:pPr>
              <w:pStyle w:val="Tabletextcentred"/>
              <w:spacing w:before="50" w:after="50"/>
            </w:pPr>
            <w:r>
              <w:t>0</w:t>
            </w:r>
          </w:p>
        </w:tc>
      </w:tr>
      <w:tr w:rsidR="00B0794C" w:rsidRPr="006F2722" w14:paraId="32EC3817" w14:textId="77777777" w:rsidTr="00116242">
        <w:trPr>
          <w:trHeight w:val="284"/>
        </w:trPr>
        <w:tc>
          <w:tcPr>
            <w:tcW w:w="3118" w:type="dxa"/>
            <w:tcBorders>
              <w:top w:val="nil"/>
              <w:left w:val="nil"/>
              <w:right w:val="nil"/>
            </w:tcBorders>
            <w:shd w:val="clear" w:color="auto" w:fill="F2F2F2" w:themeFill="background1" w:themeFillShade="F2"/>
            <w:vAlign w:val="center"/>
          </w:tcPr>
          <w:p w14:paraId="7DB567A2" w14:textId="77777777" w:rsidR="00B0794C" w:rsidRPr="00281637" w:rsidRDefault="00D461AF" w:rsidP="00794CA7">
            <w:pPr>
              <w:pStyle w:val="Tabletextleft0"/>
              <w:spacing w:before="50" w:after="50"/>
            </w:pPr>
            <w:r>
              <w:t>Victoria</w:t>
            </w:r>
          </w:p>
        </w:tc>
        <w:tc>
          <w:tcPr>
            <w:tcW w:w="3118" w:type="dxa"/>
            <w:tcBorders>
              <w:top w:val="nil"/>
              <w:left w:val="nil"/>
              <w:right w:val="nil"/>
            </w:tcBorders>
            <w:shd w:val="clear" w:color="auto" w:fill="F2F2F2" w:themeFill="background1" w:themeFillShade="F2"/>
            <w:vAlign w:val="center"/>
          </w:tcPr>
          <w:p w14:paraId="33559A9A" w14:textId="77777777" w:rsidR="00B0794C" w:rsidRPr="006F2722" w:rsidRDefault="00D461AF" w:rsidP="00794CA7">
            <w:pPr>
              <w:pStyle w:val="Tabletextcentred"/>
              <w:spacing w:before="50" w:after="50"/>
            </w:pPr>
            <w:r>
              <w:t>10</w:t>
            </w:r>
          </w:p>
        </w:tc>
        <w:tc>
          <w:tcPr>
            <w:tcW w:w="3118" w:type="dxa"/>
            <w:tcBorders>
              <w:top w:val="nil"/>
              <w:left w:val="nil"/>
              <w:right w:val="nil"/>
            </w:tcBorders>
            <w:shd w:val="clear" w:color="auto" w:fill="F2F2F2" w:themeFill="background1" w:themeFillShade="F2"/>
            <w:vAlign w:val="center"/>
          </w:tcPr>
          <w:p w14:paraId="7618DD3C" w14:textId="77777777" w:rsidR="00B0794C" w:rsidRPr="006F2722" w:rsidRDefault="00D461AF" w:rsidP="00794CA7">
            <w:pPr>
              <w:pStyle w:val="Tabletextcentred"/>
              <w:spacing w:before="50" w:after="50"/>
            </w:pPr>
            <w:r>
              <w:t>1</w:t>
            </w:r>
          </w:p>
        </w:tc>
      </w:tr>
      <w:tr w:rsidR="00B0794C" w:rsidRPr="006F2722" w14:paraId="7CC3DB44" w14:textId="77777777" w:rsidTr="00794CA7">
        <w:trPr>
          <w:trHeight w:val="284"/>
        </w:trPr>
        <w:tc>
          <w:tcPr>
            <w:tcW w:w="3118" w:type="dxa"/>
            <w:tcBorders>
              <w:top w:val="nil"/>
              <w:left w:val="nil"/>
              <w:bottom w:val="single" w:sz="8" w:space="0" w:color="000000" w:themeColor="text1"/>
              <w:right w:val="nil"/>
            </w:tcBorders>
            <w:shd w:val="clear" w:color="000000" w:fill="FFFFFF"/>
            <w:vAlign w:val="center"/>
          </w:tcPr>
          <w:p w14:paraId="2B309669" w14:textId="77777777" w:rsidR="00B0794C" w:rsidRPr="00281637" w:rsidRDefault="00D461AF" w:rsidP="00794CA7">
            <w:pPr>
              <w:pStyle w:val="Tabletextleft0"/>
              <w:spacing w:before="50" w:after="50"/>
            </w:pPr>
            <w:r>
              <w:t>Western Australia</w:t>
            </w:r>
          </w:p>
        </w:tc>
        <w:tc>
          <w:tcPr>
            <w:tcW w:w="3118" w:type="dxa"/>
            <w:tcBorders>
              <w:top w:val="nil"/>
              <w:left w:val="nil"/>
              <w:bottom w:val="single" w:sz="8" w:space="0" w:color="000000" w:themeColor="text1"/>
              <w:right w:val="nil"/>
            </w:tcBorders>
            <w:shd w:val="clear" w:color="000000" w:fill="FFFFFF"/>
            <w:vAlign w:val="center"/>
          </w:tcPr>
          <w:p w14:paraId="0206FBA3" w14:textId="77777777" w:rsidR="00B0794C" w:rsidRPr="006F2722" w:rsidRDefault="00D461AF" w:rsidP="00794CA7">
            <w:pPr>
              <w:pStyle w:val="Tabletextcentred"/>
              <w:spacing w:before="50" w:after="50"/>
            </w:pPr>
            <w:r>
              <w:t>11</w:t>
            </w:r>
          </w:p>
        </w:tc>
        <w:tc>
          <w:tcPr>
            <w:tcW w:w="3118" w:type="dxa"/>
            <w:tcBorders>
              <w:top w:val="nil"/>
              <w:left w:val="nil"/>
              <w:bottom w:val="single" w:sz="8" w:space="0" w:color="000000" w:themeColor="text1"/>
              <w:right w:val="nil"/>
            </w:tcBorders>
            <w:shd w:val="clear" w:color="000000" w:fill="FFFFFF"/>
            <w:vAlign w:val="center"/>
          </w:tcPr>
          <w:p w14:paraId="60F0463F" w14:textId="77777777" w:rsidR="00B0794C" w:rsidRPr="006F2722" w:rsidRDefault="00D461AF" w:rsidP="00794CA7">
            <w:pPr>
              <w:pStyle w:val="Tabletextcentred"/>
              <w:spacing w:before="50" w:after="50"/>
            </w:pPr>
            <w:r>
              <w:t>2</w:t>
            </w:r>
          </w:p>
        </w:tc>
      </w:tr>
      <w:tr w:rsidR="00B0794C" w:rsidRPr="00116242" w14:paraId="03D90360" w14:textId="77777777" w:rsidTr="00116242">
        <w:trPr>
          <w:trHeight w:val="284"/>
        </w:trPr>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00BFC4A1" w14:textId="77777777" w:rsidR="00B0794C" w:rsidRPr="00116242" w:rsidRDefault="00B0794C" w:rsidP="00794CA7">
            <w:pPr>
              <w:pStyle w:val="Tabletextleft0"/>
              <w:spacing w:before="50" w:after="50"/>
              <w:rPr>
                <w:b/>
              </w:rPr>
            </w:pPr>
            <w:r w:rsidRPr="00116242">
              <w:rPr>
                <w:rFonts w:eastAsiaTheme="minorEastAsia"/>
                <w:b/>
              </w:rPr>
              <w:t>Total</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7E710CE" w14:textId="77777777" w:rsidR="00B0794C" w:rsidRPr="00116242" w:rsidRDefault="00B0794C" w:rsidP="00794CA7">
            <w:pPr>
              <w:pStyle w:val="Tabletextcentred"/>
              <w:spacing w:before="50" w:after="50"/>
              <w:rPr>
                <w:b/>
              </w:rPr>
            </w:pPr>
            <w:r w:rsidRPr="00116242">
              <w:rPr>
                <w:rFonts w:eastAsiaTheme="minorEastAsia"/>
                <w:b/>
              </w:rPr>
              <w:t>83</w:t>
            </w:r>
          </w:p>
        </w:tc>
        <w:tc>
          <w:tcPr>
            <w:tcW w:w="3118"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67C9124" w14:textId="77777777" w:rsidR="00B0794C" w:rsidRPr="00116242" w:rsidRDefault="00B0794C" w:rsidP="00794CA7">
            <w:pPr>
              <w:pStyle w:val="Tabletextcentred"/>
              <w:spacing w:before="50" w:after="50"/>
              <w:rPr>
                <w:b/>
              </w:rPr>
            </w:pPr>
            <w:r w:rsidRPr="00116242">
              <w:rPr>
                <w:rFonts w:eastAsiaTheme="minorEastAsia"/>
                <w:b/>
              </w:rPr>
              <w:t>7</w:t>
            </w:r>
          </w:p>
        </w:tc>
      </w:tr>
    </w:tbl>
    <w:p w14:paraId="4494597F" w14:textId="3A2B069B" w:rsidR="00BC3F1A" w:rsidRPr="00BC3F1A" w:rsidRDefault="00BC3F1A" w:rsidP="00DF40B5">
      <w:pPr>
        <w:pStyle w:val="ChartorTableNote"/>
        <w:spacing w:after="0"/>
        <w:rPr>
          <w:rFonts w:eastAsiaTheme="minorEastAsia"/>
        </w:rPr>
      </w:pPr>
      <w:r w:rsidRPr="0020422D">
        <w:rPr>
          <w:rFonts w:eastAsiaTheme="minorEastAsia"/>
        </w:rPr>
        <w:t>* 95 per cent confidence interval</w:t>
      </w:r>
      <w:r>
        <w:rPr>
          <w:rFonts w:eastAsiaTheme="minorEastAsia"/>
        </w:rPr>
        <w:t>.</w:t>
      </w:r>
    </w:p>
    <w:p w14:paraId="60CC02FB" w14:textId="77777777" w:rsidR="00DF40B5" w:rsidRDefault="00DF40B5" w:rsidP="00DF40B5">
      <w:pPr>
        <w:pStyle w:val="SingleParagraph"/>
      </w:pPr>
    </w:p>
    <w:p w14:paraId="0B6D5C6F" w14:textId="7E6E5BA3" w:rsidR="00B0794C" w:rsidRDefault="00B0794C" w:rsidP="00B0794C">
      <w:pPr>
        <w:rPr>
          <w:rFonts w:eastAsiaTheme="minorEastAsia"/>
        </w:rPr>
      </w:pPr>
      <w:r>
        <w:rPr>
          <w:rFonts w:eastAsiaTheme="minorEastAsia"/>
        </w:rPr>
        <w:t xml:space="preserve">The results show that the </w:t>
      </w:r>
      <w:r w:rsidR="00BD59D3">
        <w:rPr>
          <w:rFonts w:eastAsiaTheme="minorEastAsia"/>
        </w:rPr>
        <w:t>variables</w:t>
      </w:r>
      <w:r>
        <w:rPr>
          <w:rFonts w:eastAsiaTheme="minorEastAsia"/>
        </w:rPr>
        <w:t xml:space="preserve"> when combined are not a reliable predictor of which side of the threshold a firm will be. Put differently, the results signify that firms on either side of the threshold are largely the same. In addition, there appears to be no significant differences between firms</w:t>
      </w:r>
      <w:r w:rsidR="006234F4">
        <w:rPr>
          <w:rFonts w:eastAsiaTheme="minorEastAsia"/>
        </w:rPr>
        <w:t>’</w:t>
      </w:r>
      <w:r>
        <w:rPr>
          <w:rFonts w:eastAsiaTheme="minorEastAsia"/>
        </w:rPr>
        <w:t xml:space="preserve"> hiring rates of contractors immediately below and immediately above the threshold.</w:t>
      </w:r>
      <w:r w:rsidR="0021572E">
        <w:rPr>
          <w:rFonts w:eastAsiaTheme="minorEastAsia"/>
        </w:rPr>
        <w:t xml:space="preserve"> Recall that the definition of a firm’s remun</w:t>
      </w:r>
      <w:r w:rsidR="00BD59D3">
        <w:rPr>
          <w:rFonts w:eastAsiaTheme="minorEastAsia"/>
        </w:rPr>
        <w:t>eration used for this analysis i</w:t>
      </w:r>
      <w:r w:rsidR="0021572E">
        <w:rPr>
          <w:rFonts w:eastAsiaTheme="minorEastAsia"/>
        </w:rPr>
        <w:t>s total salary and wage expenses plus superannuation expenses. Contractor fees are not included in this definition. Therefore, if firms used more contractors just below the threshold than above the threshold this would alter the ratio of contractors to total remuneration and be a significant predictor of firm size.</w:t>
      </w:r>
    </w:p>
    <w:p w14:paraId="7D7FC9D0" w14:textId="77777777" w:rsidR="00B0794C" w:rsidRDefault="00B0794C" w:rsidP="00B0794C">
      <w:pPr>
        <w:pStyle w:val="Heading3"/>
      </w:pPr>
      <w:r>
        <w:t>Discussion</w:t>
      </w:r>
    </w:p>
    <w:p w14:paraId="2A6E394F" w14:textId="270BC66F" w:rsidR="00B0794C" w:rsidRDefault="00B0794C" w:rsidP="00B0794C">
      <w:r>
        <w:t xml:space="preserve">In </w:t>
      </w:r>
      <w:r w:rsidR="00745236">
        <w:t>general,</w:t>
      </w:r>
      <w:r>
        <w:t xml:space="preserve"> it seems that there was no bunching at the payroll tax thresholds. In addition, the instances where bunching d</w:t>
      </w:r>
      <w:r w:rsidR="00745236">
        <w:t>oes</w:t>
      </w:r>
      <w:r>
        <w:t xml:space="preserve"> occur seem to be largely robust to explanations based on other firm characteristics. </w:t>
      </w:r>
      <w:proofErr w:type="gramStart"/>
      <w:r>
        <w:t xml:space="preserve">Instances where bunching </w:t>
      </w:r>
      <w:r w:rsidR="00745236">
        <w:t>is</w:t>
      </w:r>
      <w:r>
        <w:t xml:space="preserve"> found </w:t>
      </w:r>
      <w:r w:rsidR="00745236">
        <w:t>a</w:t>
      </w:r>
      <w:r>
        <w:t>re unique to th</w:t>
      </w:r>
      <w:r w:rsidR="00745236">
        <w:t>os</w:t>
      </w:r>
      <w:r>
        <w:t>e states.</w:t>
      </w:r>
      <w:proofErr w:type="gramEnd"/>
      <w:r>
        <w:t xml:space="preserve"> However, some unknown state</w:t>
      </w:r>
      <w:r>
        <w:noBreakHyphen/>
        <w:t xml:space="preserve">based regulation </w:t>
      </w:r>
      <w:r w:rsidR="00745236">
        <w:t>may be responsible</w:t>
      </w:r>
      <w:r>
        <w:t xml:space="preserve"> </w:t>
      </w:r>
      <w:r w:rsidR="00745236">
        <w:t xml:space="preserve">for </w:t>
      </w:r>
      <w:r>
        <w:t xml:space="preserve">this result.  </w:t>
      </w:r>
    </w:p>
    <w:p w14:paraId="61995234" w14:textId="77777777" w:rsidR="00B0794C" w:rsidRDefault="00B0794C" w:rsidP="0054156B">
      <w:pPr>
        <w:pStyle w:val="Heading4"/>
      </w:pPr>
      <w:r>
        <w:t>Stagnant thresholds</w:t>
      </w:r>
    </w:p>
    <w:p w14:paraId="51F3922C" w14:textId="77777777" w:rsidR="00B0794C" w:rsidRDefault="00B0794C" w:rsidP="00B0794C">
      <w:r>
        <w:t xml:space="preserve">A possible reason for the observed results is that it takes time for firms to adjust. Therefore, the longer the threshold is in place the more likely it is for bunching to occur. </w:t>
      </w:r>
    </w:p>
    <w:p w14:paraId="083B7070" w14:textId="6ABE79DE" w:rsidR="00B0794C" w:rsidRDefault="00B0794C" w:rsidP="00B0794C">
      <w:r>
        <w:t>In Victoria the threshold had been in place for nine years when the first instance of bunching occurred. Similarly, Western Australia had a threshold of $750,000 in place for 10 years before bunching started to appear.</w:t>
      </w:r>
      <w:r w:rsidRPr="007B1F80">
        <w:t xml:space="preserve"> </w:t>
      </w:r>
    </w:p>
    <w:p w14:paraId="6B5532FB" w14:textId="77777777" w:rsidR="00B0794C" w:rsidRDefault="00B0794C" w:rsidP="00B0794C">
      <w:r>
        <w:t>However, this argument is weakened by looking further. South Australia had the thresholds of $504,000 (from 2003 to 2008) and $600,000 (2010 to 2015) in place for six years. Yet, bunching was not found for South Australia. Tasmania had a threshold of $1.01 million in place for 11 years, from 2003 to 2013, and no bunching was recorded. Arguably, the Tasmanian threshold was quite high and the sorts of businesses it capture</w:t>
      </w:r>
      <w:r w:rsidR="003660F4">
        <w:t>s</w:t>
      </w:r>
      <w:r>
        <w:t xml:space="preserve"> </w:t>
      </w:r>
      <w:r w:rsidR="003660F4">
        <w:t>a</w:t>
      </w:r>
      <w:r>
        <w:t>re of a different nature and therefore perhaps not as sensitive to payroll tax. Finally, Western Australia increased its threshold in 2015 and still experienced bunching</w:t>
      </w:r>
      <w:r w:rsidR="00B57867">
        <w:t>, although this could be explained by firms being significantly different from each other (see Table 10)</w:t>
      </w:r>
      <w:r>
        <w:t>.</w:t>
      </w:r>
    </w:p>
    <w:p w14:paraId="3E91AD29" w14:textId="6784BDD6" w:rsidR="00B0794C" w:rsidRDefault="00B0794C" w:rsidP="00B0794C">
      <w:r>
        <w:t xml:space="preserve">If stagnant thresholds were the sole reason for bunching, it is not clear why it takes so long for firms to adjust. If it were a conscious decision of firms to hold back from hiring due to the threshold, an increase in the threshold could take some time before having an </w:t>
      </w:r>
      <w:r w:rsidR="0049462B">
        <w:t>e</w:t>
      </w:r>
      <w:r w:rsidR="00DF512A">
        <w:t>ffect</w:t>
      </w:r>
      <w:r>
        <w:t>. This lag would be due to recognition of the new threshold and the time taken to employ someone (advertising, interview process, etc.). This could take a couple of years at most</w:t>
      </w:r>
      <w:r w:rsidR="007475AD">
        <w:t>,</w:t>
      </w:r>
      <w:r>
        <w:t xml:space="preserve"> </w:t>
      </w:r>
      <w:r w:rsidR="007475AD">
        <w:t>n</w:t>
      </w:r>
      <w:r>
        <w:t>ot the seven years plus seen in the results.</w:t>
      </w:r>
    </w:p>
    <w:p w14:paraId="75ACDFF9" w14:textId="77777777" w:rsidR="00B0794C" w:rsidRDefault="00B0794C" w:rsidP="0054156B">
      <w:pPr>
        <w:pStyle w:val="Heading4"/>
      </w:pPr>
      <w:r>
        <w:lastRenderedPageBreak/>
        <w:t>Incidence of the tax</w:t>
      </w:r>
    </w:p>
    <w:p w14:paraId="04194ABF" w14:textId="77777777" w:rsidR="00B0794C" w:rsidRDefault="00B0794C" w:rsidP="00B0794C">
      <w:r>
        <w:t xml:space="preserve">A possible reason for the lack of bunching could be due to the incidence of payroll tax not being borne by employers. The 2010 KPMG </w:t>
      </w:r>
      <w:proofErr w:type="spellStart"/>
      <w:r>
        <w:t>Econtech</w:t>
      </w:r>
      <w:proofErr w:type="spellEnd"/>
      <w:r>
        <w:t xml:space="preserve"> report noted that the incidence could be on labour o</w:t>
      </w:r>
      <w:r w:rsidR="003660F4">
        <w:t xml:space="preserve">r consumers. </w:t>
      </w:r>
      <w:proofErr w:type="gramStart"/>
      <w:r w:rsidR="003660F4">
        <w:t>If the incidence i</w:t>
      </w:r>
      <w:r>
        <w:t xml:space="preserve">s passed through </w:t>
      </w:r>
      <w:r w:rsidR="003660F4">
        <w:t xml:space="preserve">to workers </w:t>
      </w:r>
      <w:r>
        <w:t>this w</w:t>
      </w:r>
      <w:r w:rsidR="003660F4">
        <w:t>ill</w:t>
      </w:r>
      <w:r>
        <w:t xml:space="preserve"> see </w:t>
      </w:r>
      <w:r w:rsidR="003660F4">
        <w:t xml:space="preserve">an absence of </w:t>
      </w:r>
      <w:r>
        <w:t xml:space="preserve">bunching at the relevant </w:t>
      </w:r>
      <w:r w:rsidR="003660F4">
        <w:t xml:space="preserve">payroll tax </w:t>
      </w:r>
      <w:r>
        <w:t>threshold.</w:t>
      </w:r>
      <w:proofErr w:type="gramEnd"/>
    </w:p>
    <w:p w14:paraId="59553B74" w14:textId="77777777" w:rsidR="00B0794C" w:rsidRDefault="00B0794C" w:rsidP="0054156B">
      <w:pPr>
        <w:pStyle w:val="Heading4"/>
      </w:pPr>
      <w:r>
        <w:t xml:space="preserve">Low </w:t>
      </w:r>
      <w:r w:rsidR="0049462B">
        <w:t>impact</w:t>
      </w:r>
      <w:r>
        <w:t xml:space="preserve"> on decision making of firms</w:t>
      </w:r>
    </w:p>
    <w:p w14:paraId="0076073F" w14:textId="4F808B67" w:rsidR="00F12EE0" w:rsidRDefault="00B0794C" w:rsidP="00B0794C">
      <w:r>
        <w:t xml:space="preserve">Another reason for the lack of bunching could be that the </w:t>
      </w:r>
      <w:r w:rsidR="00DF512A">
        <w:t>effect</w:t>
      </w:r>
      <w:r>
        <w:t xml:space="preserve"> is too small to affect the decisions made by businesses. Most states have a rate around 5 to 5.5 per cent for each dollar over the threshold. </w:t>
      </w:r>
      <w:proofErr w:type="gramStart"/>
      <w:r>
        <w:t xml:space="preserve">So that </w:t>
      </w:r>
      <w:r w:rsidR="00303ADE">
        <w:t>an additional</w:t>
      </w:r>
      <w:r>
        <w:t xml:space="preserve"> $100,000 salary would result in an extra $5,000 to $5,500</w:t>
      </w:r>
      <w:r w:rsidR="00303ADE">
        <w:t xml:space="preserve"> in tax payable</w:t>
      </w:r>
      <w:r>
        <w:t>.</w:t>
      </w:r>
      <w:proofErr w:type="gramEnd"/>
      <w:r>
        <w:t xml:space="preserve"> Of course, this stands at odds with the previously discussed results for Victoria, which has one of the lowest payroll tax rates in the country and observed bunching in 20</w:t>
      </w:r>
      <w:r w:rsidR="00F12EE0">
        <w:t>10–</w:t>
      </w:r>
      <w:r>
        <w:t>11, 20</w:t>
      </w:r>
      <w:r w:rsidR="00F12EE0">
        <w:t>11–</w:t>
      </w:r>
      <w:r>
        <w:t>12 and 20</w:t>
      </w:r>
      <w:r w:rsidR="00F12EE0">
        <w:t>12</w:t>
      </w:r>
      <w:r w:rsidR="006271CF">
        <w:noBreakHyphen/>
      </w:r>
      <w:r w:rsidR="00F12EE0">
        <w:t>13.</w:t>
      </w:r>
    </w:p>
    <w:p w14:paraId="0BD99DC6" w14:textId="77777777" w:rsidR="00B0794C" w:rsidRDefault="00B0794C" w:rsidP="00B0794C">
      <w:pPr>
        <w:pStyle w:val="Heading2"/>
        <w:numPr>
          <w:ilvl w:val="0"/>
          <w:numId w:val="32"/>
        </w:numPr>
        <w:ind w:left="0"/>
      </w:pPr>
      <w:bookmarkStart w:id="11" w:name="_Toc509306065"/>
      <w:r>
        <w:t>Conclusion</w:t>
      </w:r>
      <w:bookmarkEnd w:id="11"/>
    </w:p>
    <w:p w14:paraId="36867DC3" w14:textId="34BFDC5A" w:rsidR="00B0794C" w:rsidRDefault="00B0794C" w:rsidP="00B0794C">
      <w:r>
        <w:t>The results show that in general there was not a concentration of firms just below the payroll tax thresholds in most st</w:t>
      </w:r>
      <w:r w:rsidR="008C5057">
        <w:t>ates and in most years. There a</w:t>
      </w:r>
      <w:r>
        <w:t>re some instances of bunching recorded for Victoria and Western Australia. This is despite Victoria following what would be considered the general policy prescription of low thresholds and low rates. Bunching also occurred despite Western Australia in</w:t>
      </w:r>
      <w:r w:rsidR="006234F4">
        <w:t>creasing its threshold for</w:t>
      </w:r>
      <w:r w:rsidR="00F12EE0">
        <w:t xml:space="preserve"> 201</w:t>
      </w:r>
      <w:r w:rsidR="006234F4">
        <w:t>4-1</w:t>
      </w:r>
      <w:r w:rsidR="00F12EE0">
        <w:t>5.</w:t>
      </w:r>
    </w:p>
    <w:p w14:paraId="60936A98" w14:textId="365F0FDB" w:rsidR="00B0794C" w:rsidRDefault="00B0794C" w:rsidP="00B0794C">
      <w:r>
        <w:t xml:space="preserve">These results suggest that </w:t>
      </w:r>
      <w:r w:rsidR="003660F4">
        <w:t xml:space="preserve">in general </w:t>
      </w:r>
      <w:r>
        <w:t xml:space="preserve">there is little change in behaviour of firms around payroll tax thresholds. However, firms could still be altering behaviour in the lead up to the threshold. This would then result in no bunching around the threshold, but firms operating below an efficient level. To try and understand whether this is the case, additional analysis could be done to see whether firms alter their behaviour leading up to and/or beyond the </w:t>
      </w:r>
      <w:r w:rsidR="003660F4">
        <w:t xml:space="preserve">payroll tax </w:t>
      </w:r>
      <w:r>
        <w:t xml:space="preserve">threshold. This change in behaviour could be captured in the growth rate of taxable </w:t>
      </w:r>
      <w:r w:rsidR="00F12EE0">
        <w:t>wages for payroll tax purposes.</w:t>
      </w:r>
    </w:p>
    <w:p w14:paraId="126D315F" w14:textId="2981FB10" w:rsidR="00B0794C" w:rsidRDefault="00B0794C" w:rsidP="00B0794C">
      <w:r>
        <w:t>Finally, it should be noted that these results are for the period 200</w:t>
      </w:r>
      <w:r w:rsidR="00F12EE0">
        <w:t>1–</w:t>
      </w:r>
      <w:r w:rsidR="003660F4">
        <w:t>0</w:t>
      </w:r>
      <w:r>
        <w:t>2 to 20</w:t>
      </w:r>
      <w:r w:rsidR="00F12EE0">
        <w:t>14–</w:t>
      </w:r>
      <w:r>
        <w:t>15. They may not hold for other periods beyond this. To see if these same results hold in general, more advanced techniques would be needed (such as a structural model).</w:t>
      </w:r>
    </w:p>
    <w:p w14:paraId="020BCF6D" w14:textId="77777777" w:rsidR="00B0794C" w:rsidRDefault="00B0794C" w:rsidP="00B0794C">
      <w:pPr>
        <w:sectPr w:rsidR="00B0794C" w:rsidSect="00C27E46">
          <w:footerReference w:type="first" r:id="rId27"/>
          <w:pgSz w:w="11906" w:h="16838" w:code="9"/>
          <w:pgMar w:top="1418" w:right="1304" w:bottom="1418" w:left="1304" w:header="567" w:footer="567" w:gutter="0"/>
          <w:pgNumType w:start="14"/>
          <w:cols w:space="708"/>
          <w:titlePg/>
          <w:docGrid w:linePitch="360"/>
        </w:sectPr>
      </w:pPr>
    </w:p>
    <w:p w14:paraId="1A2127C5" w14:textId="77777777" w:rsidR="00B0794C" w:rsidRDefault="00B0794C" w:rsidP="00B0794C">
      <w:pPr>
        <w:pStyle w:val="AppendixHeadingLevel2NotNumbered"/>
      </w:pPr>
      <w:bookmarkStart w:id="12" w:name="_Toc509306066"/>
      <w:r>
        <w:lastRenderedPageBreak/>
        <w:t>References</w:t>
      </w:r>
      <w:bookmarkEnd w:id="12"/>
    </w:p>
    <w:p w14:paraId="04FF79A1" w14:textId="77777777" w:rsidR="00B0794C" w:rsidRDefault="00B0794C" w:rsidP="00816CB0">
      <w:pPr>
        <w:spacing w:after="180"/>
        <w:rPr>
          <w:lang w:val="en"/>
        </w:rPr>
      </w:pPr>
      <w:r>
        <w:rPr>
          <w:lang w:val="en"/>
        </w:rPr>
        <w:t xml:space="preserve">Australian Bureau of Statistics, 2017, </w:t>
      </w:r>
      <w:r w:rsidRPr="00BC288F">
        <w:rPr>
          <w:i/>
          <w:lang w:val="en"/>
        </w:rPr>
        <w:t>Taxation Revenue, Australia, 2015-16,</w:t>
      </w:r>
      <w:r>
        <w:rPr>
          <w:lang w:val="en"/>
        </w:rPr>
        <w:t xml:space="preserve"> p</w:t>
      </w:r>
      <w:r w:rsidRPr="00BC288F">
        <w:rPr>
          <w:lang w:val="en"/>
        </w:rPr>
        <w:t>ublication no. 5506.0</w:t>
      </w:r>
      <w:r>
        <w:rPr>
          <w:lang w:val="en"/>
        </w:rPr>
        <w:t>, Canberra.</w:t>
      </w:r>
    </w:p>
    <w:p w14:paraId="57E9BD6D" w14:textId="77777777" w:rsidR="00B0794C" w:rsidRDefault="00B0794C" w:rsidP="00816CB0">
      <w:pPr>
        <w:spacing w:after="180"/>
        <w:rPr>
          <w:lang w:val="en"/>
        </w:rPr>
      </w:pPr>
      <w:proofErr w:type="spellStart"/>
      <w:r>
        <w:rPr>
          <w:lang w:val="en"/>
        </w:rPr>
        <w:t>Cattaneo</w:t>
      </w:r>
      <w:proofErr w:type="spellEnd"/>
      <w:r>
        <w:rPr>
          <w:lang w:val="en"/>
        </w:rPr>
        <w:t xml:space="preserve">, M. D., M. </w:t>
      </w:r>
      <w:proofErr w:type="spellStart"/>
      <w:r>
        <w:rPr>
          <w:lang w:val="en"/>
        </w:rPr>
        <w:t>Jansson</w:t>
      </w:r>
      <w:proofErr w:type="spellEnd"/>
      <w:r>
        <w:rPr>
          <w:lang w:val="en"/>
        </w:rPr>
        <w:t xml:space="preserve">, and X. Ma, 2017a, </w:t>
      </w:r>
      <w:r w:rsidRPr="00343069">
        <w:rPr>
          <w:i/>
          <w:lang w:val="en"/>
        </w:rPr>
        <w:t>Simple Local Polynomial Density Estimators</w:t>
      </w:r>
      <w:r>
        <w:rPr>
          <w:lang w:val="en"/>
        </w:rPr>
        <w:t xml:space="preserve">, </w:t>
      </w:r>
      <w:r w:rsidR="00AE336A">
        <w:rPr>
          <w:lang w:val="en"/>
        </w:rPr>
        <w:t>Working Paper (27 September 2017)</w:t>
      </w:r>
      <w:r>
        <w:rPr>
          <w:lang w:val="en"/>
        </w:rPr>
        <w:t>, University of Michigan.</w:t>
      </w:r>
    </w:p>
    <w:p w14:paraId="3D14D152" w14:textId="3129B3DF" w:rsidR="00B0794C" w:rsidRDefault="00B0794C" w:rsidP="00816CB0">
      <w:pPr>
        <w:spacing w:after="180"/>
        <w:rPr>
          <w:lang w:val="en"/>
        </w:rPr>
      </w:pPr>
      <w:proofErr w:type="spellStart"/>
      <w:r>
        <w:rPr>
          <w:lang w:val="en"/>
        </w:rPr>
        <w:t>Cattaneo</w:t>
      </w:r>
      <w:proofErr w:type="spellEnd"/>
      <w:r>
        <w:rPr>
          <w:lang w:val="en"/>
        </w:rPr>
        <w:t xml:space="preserve">, M. D., M. </w:t>
      </w:r>
      <w:proofErr w:type="spellStart"/>
      <w:r>
        <w:rPr>
          <w:lang w:val="en"/>
        </w:rPr>
        <w:t>Jansson</w:t>
      </w:r>
      <w:proofErr w:type="spellEnd"/>
      <w:r>
        <w:rPr>
          <w:lang w:val="en"/>
        </w:rPr>
        <w:t xml:space="preserve">, and X. Ma, 2017b, </w:t>
      </w:r>
      <w:proofErr w:type="spellStart"/>
      <w:r>
        <w:rPr>
          <w:i/>
          <w:lang w:val="en"/>
        </w:rPr>
        <w:t>rddensity</w:t>
      </w:r>
      <w:proofErr w:type="spellEnd"/>
      <w:r>
        <w:rPr>
          <w:i/>
          <w:lang w:val="en"/>
        </w:rPr>
        <w:t>: Manipulation Testing Based on Density Discontinuity</w:t>
      </w:r>
      <w:r>
        <w:rPr>
          <w:lang w:val="en"/>
        </w:rPr>
        <w:t xml:space="preserve">, </w:t>
      </w:r>
      <w:r w:rsidR="00AE336A">
        <w:rPr>
          <w:lang w:val="en"/>
        </w:rPr>
        <w:t>Working Paper (</w:t>
      </w:r>
      <w:r w:rsidR="00357293">
        <w:rPr>
          <w:lang w:val="en"/>
        </w:rPr>
        <w:t xml:space="preserve">7 </w:t>
      </w:r>
      <w:r w:rsidR="00AE336A">
        <w:rPr>
          <w:lang w:val="en"/>
        </w:rPr>
        <w:t>October 2017)</w:t>
      </w:r>
      <w:r w:rsidR="00DE15B9">
        <w:rPr>
          <w:lang w:val="en"/>
        </w:rPr>
        <w:t>, University of Michigan</w:t>
      </w:r>
      <w:r>
        <w:rPr>
          <w:lang w:val="en"/>
        </w:rPr>
        <w:t>.</w:t>
      </w:r>
    </w:p>
    <w:p w14:paraId="62AEFEA5" w14:textId="77777777" w:rsidR="00B0794C" w:rsidRDefault="00B0794C" w:rsidP="00816CB0">
      <w:pPr>
        <w:spacing w:after="180"/>
        <w:rPr>
          <w:lang w:val="en"/>
        </w:rPr>
      </w:pPr>
      <w:r>
        <w:rPr>
          <w:lang w:val="en"/>
        </w:rPr>
        <w:t xml:space="preserve">Dixon, P. B., M. R. </w:t>
      </w:r>
      <w:proofErr w:type="spellStart"/>
      <w:r>
        <w:rPr>
          <w:lang w:val="en"/>
        </w:rPr>
        <w:t>Picton</w:t>
      </w:r>
      <w:proofErr w:type="spellEnd"/>
      <w:r>
        <w:rPr>
          <w:lang w:val="en"/>
        </w:rPr>
        <w:t xml:space="preserve"> and M. T. Rimmer, 2004, </w:t>
      </w:r>
      <w:r w:rsidRPr="0028162A">
        <w:rPr>
          <w:i/>
          <w:lang w:val="en"/>
        </w:rPr>
        <w:t>Payroll Taxes: Thresholds, Firm Sizes, Dead-weight Losses and Commonwealth Grants Commission Funding</w:t>
      </w:r>
      <w:r>
        <w:rPr>
          <w:lang w:val="en"/>
        </w:rPr>
        <w:t>, Centre of Policy Studies, Monash University, Melbourne Australia.</w:t>
      </w:r>
    </w:p>
    <w:p w14:paraId="6E6BE132" w14:textId="77777777" w:rsidR="00B0794C" w:rsidRDefault="00B0794C" w:rsidP="00816CB0">
      <w:pPr>
        <w:spacing w:after="180"/>
        <w:rPr>
          <w:lang w:val="en"/>
        </w:rPr>
      </w:pPr>
      <w:proofErr w:type="gramStart"/>
      <w:r>
        <w:rPr>
          <w:lang w:val="en"/>
        </w:rPr>
        <w:t xml:space="preserve">Fan, J. and I. </w:t>
      </w:r>
      <w:proofErr w:type="spellStart"/>
      <w:r>
        <w:rPr>
          <w:lang w:val="en"/>
        </w:rPr>
        <w:t>Gijbels</w:t>
      </w:r>
      <w:proofErr w:type="spellEnd"/>
      <w:r>
        <w:rPr>
          <w:lang w:val="en"/>
        </w:rPr>
        <w:t xml:space="preserve">, </w:t>
      </w:r>
      <w:r w:rsidRPr="008A277A">
        <w:rPr>
          <w:i/>
          <w:lang w:val="en"/>
        </w:rPr>
        <w:t>Local Polynomial Modelling and Its Applications</w:t>
      </w:r>
      <w:r>
        <w:rPr>
          <w:lang w:val="en"/>
        </w:rPr>
        <w:t>, Publishe</w:t>
      </w:r>
      <w:r w:rsidR="00357293">
        <w:rPr>
          <w:lang w:val="en"/>
        </w:rPr>
        <w:t>d by Chapman &amp; Hall, London, UK.</w:t>
      </w:r>
      <w:proofErr w:type="gramEnd"/>
    </w:p>
    <w:p w14:paraId="3BAB3287" w14:textId="77777777" w:rsidR="00B0794C" w:rsidRDefault="00B0794C" w:rsidP="00816CB0">
      <w:pPr>
        <w:spacing w:after="180"/>
        <w:rPr>
          <w:lang w:val="en"/>
        </w:rPr>
      </w:pPr>
      <w:r>
        <w:t xml:space="preserve">Fuss, M. A., and V. K. Gupta, 1981, </w:t>
      </w:r>
      <w:r w:rsidRPr="00080A23">
        <w:rPr>
          <w:i/>
        </w:rPr>
        <w:t>A Cost Function Approach to the Estimation of Minimum Efficient Scale, Returns to Scale, and Suboptimal Capacity: With an Application to Canadian Manufacturing</w:t>
      </w:r>
      <w:r>
        <w:t>, European Economic Review, 15(2), pp. 123-35.</w:t>
      </w:r>
    </w:p>
    <w:p w14:paraId="31BE2628" w14:textId="77777777" w:rsidR="00B0794C" w:rsidRDefault="00B0794C" w:rsidP="00816CB0">
      <w:pPr>
        <w:spacing w:after="180"/>
        <w:rPr>
          <w:lang w:val="en"/>
        </w:rPr>
      </w:pPr>
      <w:proofErr w:type="gramStart"/>
      <w:r>
        <w:rPr>
          <w:lang w:val="en"/>
        </w:rPr>
        <w:t xml:space="preserve">Gabbitas, O. and D. Eldridge, 1998, </w:t>
      </w:r>
      <w:r w:rsidRPr="0028162A">
        <w:rPr>
          <w:i/>
          <w:lang w:val="en"/>
        </w:rPr>
        <w:t>Directions for State Tax Reform</w:t>
      </w:r>
      <w:r>
        <w:rPr>
          <w:lang w:val="en"/>
        </w:rPr>
        <w:t xml:space="preserve">, Productivity Commission Staff Research Paper, </w:t>
      </w:r>
      <w:proofErr w:type="spellStart"/>
      <w:r>
        <w:rPr>
          <w:lang w:val="en"/>
        </w:rPr>
        <w:t>AusInfo</w:t>
      </w:r>
      <w:proofErr w:type="spellEnd"/>
      <w:r>
        <w:rPr>
          <w:lang w:val="en"/>
        </w:rPr>
        <w:t>, Canberra.</w:t>
      </w:r>
      <w:proofErr w:type="gramEnd"/>
    </w:p>
    <w:p w14:paraId="66CAA073" w14:textId="77777777" w:rsidR="00B0794C" w:rsidRDefault="00B0794C" w:rsidP="00816CB0">
      <w:pPr>
        <w:spacing w:after="180"/>
        <w:rPr>
          <w:lang w:val="en"/>
        </w:rPr>
      </w:pPr>
      <w:proofErr w:type="spellStart"/>
      <w:r>
        <w:rPr>
          <w:lang w:val="en"/>
        </w:rPr>
        <w:t>Garicano</w:t>
      </w:r>
      <w:proofErr w:type="spellEnd"/>
      <w:r>
        <w:rPr>
          <w:lang w:val="en"/>
        </w:rPr>
        <w:t xml:space="preserve">, L., C. </w:t>
      </w:r>
      <w:proofErr w:type="spellStart"/>
      <w:r>
        <w:rPr>
          <w:lang w:val="en"/>
        </w:rPr>
        <w:t>Lelarge</w:t>
      </w:r>
      <w:proofErr w:type="spellEnd"/>
      <w:r>
        <w:rPr>
          <w:lang w:val="en"/>
        </w:rPr>
        <w:t xml:space="preserve"> and J. Van Reenen, 2016, Firm Size Distortions and the Productivity Distribution: Evidence from France, American Economic Review, </w:t>
      </w:r>
      <w:proofErr w:type="gramStart"/>
      <w:r>
        <w:rPr>
          <w:lang w:val="en"/>
        </w:rPr>
        <w:t>Volume</w:t>
      </w:r>
      <w:proofErr w:type="gramEnd"/>
      <w:r>
        <w:rPr>
          <w:lang w:val="en"/>
        </w:rPr>
        <w:t xml:space="preserve"> 11, pp. 3439-77.</w:t>
      </w:r>
    </w:p>
    <w:p w14:paraId="067A4667" w14:textId="701BA132" w:rsidR="002E40B1" w:rsidRDefault="002E40B1" w:rsidP="00816CB0">
      <w:pPr>
        <w:spacing w:after="180"/>
        <w:rPr>
          <w:lang w:val="en"/>
        </w:rPr>
      </w:pPr>
      <w:proofErr w:type="spellStart"/>
      <w:r>
        <w:rPr>
          <w:lang w:val="en"/>
        </w:rPr>
        <w:t>Hansell</w:t>
      </w:r>
      <w:proofErr w:type="spellEnd"/>
      <w:r>
        <w:rPr>
          <w:lang w:val="en"/>
        </w:rPr>
        <w:t>, D. and B</w:t>
      </w:r>
      <w:r w:rsidR="00303ADE">
        <w:rPr>
          <w:lang w:val="en"/>
        </w:rPr>
        <w:t>.</w:t>
      </w:r>
      <w:r>
        <w:rPr>
          <w:lang w:val="en"/>
        </w:rPr>
        <w:t xml:space="preserve"> Rafi, </w:t>
      </w:r>
      <w:r w:rsidR="002879D9">
        <w:rPr>
          <w:lang w:val="en"/>
        </w:rPr>
        <w:t xml:space="preserve">2018, </w:t>
      </w:r>
      <w:r w:rsidRPr="002E40B1">
        <w:rPr>
          <w:i/>
          <w:lang w:val="en"/>
        </w:rPr>
        <w:t>Firm-level analysis using the ABS’ Business Longitudinal Analysis Data Environment</w:t>
      </w:r>
      <w:r w:rsidR="00DE15B9">
        <w:rPr>
          <w:i/>
          <w:lang w:val="en"/>
        </w:rPr>
        <w:t xml:space="preserve"> (BLADE)</w:t>
      </w:r>
      <w:r>
        <w:rPr>
          <w:lang w:val="en"/>
        </w:rPr>
        <w:t xml:space="preserve">, </w:t>
      </w:r>
      <w:r w:rsidR="00DE15B9">
        <w:rPr>
          <w:lang w:val="en"/>
        </w:rPr>
        <w:t>The Australian Economic Review, vol. 51, no. 1, pp. 132-8</w:t>
      </w:r>
      <w:r>
        <w:rPr>
          <w:lang w:val="en"/>
        </w:rPr>
        <w:t>.</w:t>
      </w:r>
    </w:p>
    <w:p w14:paraId="136DC062" w14:textId="52648253" w:rsidR="00550818" w:rsidRDefault="00550818" w:rsidP="00816CB0">
      <w:pPr>
        <w:spacing w:after="180"/>
        <w:rPr>
          <w:lang w:val="en"/>
        </w:rPr>
      </w:pPr>
      <w:r>
        <w:rPr>
          <w:lang w:val="en"/>
        </w:rPr>
        <w:t xml:space="preserve">International Monetary Fund, 2017, </w:t>
      </w:r>
      <w:r w:rsidRPr="00550818">
        <w:rPr>
          <w:i/>
          <w:color w:val="2C2825"/>
          <w:lang w:val="en"/>
        </w:rPr>
        <w:t>IMF Fiscal Monitor: Achieving More with Less</w:t>
      </w:r>
      <w:r>
        <w:rPr>
          <w:color w:val="2C2825"/>
          <w:lang w:val="en"/>
        </w:rPr>
        <w:t>, April 2017.</w:t>
      </w:r>
    </w:p>
    <w:p w14:paraId="1BEBA31B" w14:textId="77777777" w:rsidR="00B0794C" w:rsidRDefault="00B0794C" w:rsidP="00816CB0">
      <w:pPr>
        <w:spacing w:after="180"/>
        <w:rPr>
          <w:lang w:val="en"/>
        </w:rPr>
      </w:pPr>
      <w:r>
        <w:rPr>
          <w:lang w:val="en"/>
        </w:rPr>
        <w:t xml:space="preserve">Johnson, S. and R. </w:t>
      </w:r>
      <w:proofErr w:type="spellStart"/>
      <w:r>
        <w:rPr>
          <w:lang w:val="en"/>
        </w:rPr>
        <w:t>Breunig</w:t>
      </w:r>
      <w:proofErr w:type="spellEnd"/>
      <w:r>
        <w:rPr>
          <w:lang w:val="en"/>
        </w:rPr>
        <w:t xml:space="preserve">, 2016, </w:t>
      </w:r>
      <w:r w:rsidRPr="00334A9E">
        <w:rPr>
          <w:i/>
        </w:rPr>
        <w:t>Taxpayer responsiveness to marginal tax rates: Bunching evidence from the Australian personal income tax system</w:t>
      </w:r>
      <w:r w:rsidRPr="00334A9E">
        <w:t>, 29</w:t>
      </w:r>
      <w:r w:rsidRPr="00334A9E">
        <w:rPr>
          <w:vertAlign w:val="superscript"/>
        </w:rPr>
        <w:t>th</w:t>
      </w:r>
      <w:r w:rsidRPr="00334A9E">
        <w:t xml:space="preserve"> PhD Conference in Economics and Business, 2016, University of Western Australia.</w:t>
      </w:r>
      <w:r>
        <w:rPr>
          <w:lang w:val="en"/>
        </w:rPr>
        <w:t xml:space="preserve"> </w:t>
      </w:r>
    </w:p>
    <w:p w14:paraId="39DCF370" w14:textId="77777777" w:rsidR="00B0794C" w:rsidRDefault="00B0794C" w:rsidP="00816CB0">
      <w:pPr>
        <w:spacing w:after="180"/>
        <w:rPr>
          <w:lang w:val="en"/>
        </w:rPr>
      </w:pPr>
      <w:proofErr w:type="spellStart"/>
      <w:r>
        <w:rPr>
          <w:lang w:val="en"/>
        </w:rPr>
        <w:t>Kleven</w:t>
      </w:r>
      <w:proofErr w:type="spellEnd"/>
      <w:r>
        <w:rPr>
          <w:lang w:val="en"/>
        </w:rPr>
        <w:t xml:space="preserve">, H.J., and M. Waseem, 2013, </w:t>
      </w:r>
      <w:proofErr w:type="gramStart"/>
      <w:r w:rsidRPr="00E0557D">
        <w:rPr>
          <w:i/>
          <w:lang w:val="en"/>
        </w:rPr>
        <w:t>Using</w:t>
      </w:r>
      <w:proofErr w:type="gramEnd"/>
      <w:r w:rsidRPr="00E0557D">
        <w:rPr>
          <w:i/>
          <w:lang w:val="en"/>
        </w:rPr>
        <w:t xml:space="preserve"> notches to uncover optimization frictions and structural elasticities: theory and evidence from Pakistan</w:t>
      </w:r>
      <w:r>
        <w:rPr>
          <w:lang w:val="en"/>
        </w:rPr>
        <w:t>, The Quarterly Journal of Economics, Volume 128, Issue 2, 1 May 2013, pp. 669-723.</w:t>
      </w:r>
    </w:p>
    <w:p w14:paraId="6C73E51A" w14:textId="77777777" w:rsidR="00B0794C" w:rsidRDefault="00B0794C" w:rsidP="00816CB0">
      <w:pPr>
        <w:spacing w:after="180"/>
        <w:rPr>
          <w:lang w:val="en"/>
        </w:rPr>
      </w:pPr>
      <w:r>
        <w:rPr>
          <w:lang w:val="en"/>
        </w:rPr>
        <w:t xml:space="preserve">KPMG </w:t>
      </w:r>
      <w:proofErr w:type="spellStart"/>
      <w:r>
        <w:rPr>
          <w:lang w:val="en"/>
        </w:rPr>
        <w:t>Econtech</w:t>
      </w:r>
      <w:proofErr w:type="spellEnd"/>
      <w:r>
        <w:rPr>
          <w:lang w:val="en"/>
        </w:rPr>
        <w:t xml:space="preserve">, 2010, CGE Analysis of the Current Australian Tax System: Final Report, </w:t>
      </w:r>
      <w:r w:rsidRPr="00C768B5">
        <w:rPr>
          <w:lang w:val="en"/>
        </w:rPr>
        <w:t>Canberra</w:t>
      </w:r>
      <w:r>
        <w:rPr>
          <w:i/>
          <w:lang w:val="en"/>
        </w:rPr>
        <w:t>.</w:t>
      </w:r>
    </w:p>
    <w:p w14:paraId="35291959" w14:textId="77777777" w:rsidR="00B0794C" w:rsidRDefault="00B0794C" w:rsidP="00816CB0">
      <w:pPr>
        <w:spacing w:after="180"/>
        <w:rPr>
          <w:lang w:val="en"/>
        </w:rPr>
      </w:pPr>
      <w:r>
        <w:rPr>
          <w:lang w:val="en"/>
        </w:rPr>
        <w:t xml:space="preserve">McCrary, J., 2008, </w:t>
      </w:r>
      <w:r w:rsidRPr="00AE336A">
        <w:rPr>
          <w:i/>
          <w:lang w:val="en"/>
        </w:rPr>
        <w:t>Manipulation of running variable in the regression discontinuity design: A density test</w:t>
      </w:r>
      <w:r>
        <w:rPr>
          <w:lang w:val="en"/>
        </w:rPr>
        <w:t>, Journal of Econometrics 142, pp. 698-714.</w:t>
      </w:r>
    </w:p>
    <w:p w14:paraId="04BE2B66" w14:textId="77777777" w:rsidR="00B0794C" w:rsidRDefault="00B0794C" w:rsidP="00816CB0">
      <w:pPr>
        <w:spacing w:after="180"/>
        <w:rPr>
          <w:lang w:val="en"/>
        </w:rPr>
      </w:pPr>
      <w:r>
        <w:rPr>
          <w:lang w:val="en"/>
        </w:rPr>
        <w:t>Murphy, C.W., 1999, “Payroll Tax: Is it as good as a VAT or as bad as Sales Tax?” in Neil. A. Warren (ed.), State Taxation: Repeal, Reform or Resignation, Australian Tax Research Foundation, 1999, pp 67-105.</w:t>
      </w:r>
    </w:p>
    <w:p w14:paraId="0E93A726" w14:textId="1032D41C" w:rsidR="00B0794C" w:rsidRDefault="00B0794C" w:rsidP="00816CB0">
      <w:pPr>
        <w:spacing w:after="180"/>
        <w:rPr>
          <w:lang w:val="en"/>
        </w:rPr>
      </w:pPr>
      <w:r w:rsidRPr="00EA4AE7">
        <w:rPr>
          <w:lang w:val="en"/>
        </w:rPr>
        <w:t xml:space="preserve">Murphy C.W., </w:t>
      </w:r>
      <w:r>
        <w:rPr>
          <w:lang w:val="en"/>
        </w:rPr>
        <w:t xml:space="preserve">2016, </w:t>
      </w:r>
      <w:r w:rsidRPr="00EA4AE7">
        <w:rPr>
          <w:i/>
          <w:lang w:val="en"/>
        </w:rPr>
        <w:t>Efficiency of the tax system: a marginal excess burden analysis</w:t>
      </w:r>
      <w:r>
        <w:rPr>
          <w:lang w:val="en"/>
        </w:rPr>
        <w:t>, Tax and Transfer Policy Institute, Working Paper 4/2016, June 2016</w:t>
      </w:r>
      <w:r w:rsidR="00303ADE">
        <w:rPr>
          <w:lang w:val="en"/>
        </w:rPr>
        <w:t>.</w:t>
      </w:r>
    </w:p>
    <w:p w14:paraId="51800E08" w14:textId="4D30F7AF" w:rsidR="00AF68BE" w:rsidRPr="00EA4AE7" w:rsidRDefault="00AF68BE" w:rsidP="00816CB0">
      <w:pPr>
        <w:spacing w:after="180"/>
        <w:rPr>
          <w:lang w:val="en"/>
        </w:rPr>
      </w:pPr>
      <w:proofErr w:type="gramStart"/>
      <w:r>
        <w:rPr>
          <w:lang w:val="en"/>
        </w:rPr>
        <w:t>Reinhardt, S. and L</w:t>
      </w:r>
      <w:r w:rsidR="00303ADE">
        <w:rPr>
          <w:lang w:val="en"/>
        </w:rPr>
        <w:t>.</w:t>
      </w:r>
      <w:r>
        <w:rPr>
          <w:lang w:val="en"/>
        </w:rPr>
        <w:t xml:space="preserve"> Steel, 2006, </w:t>
      </w:r>
      <w:r w:rsidRPr="00AF68BE">
        <w:rPr>
          <w:i/>
          <w:lang w:val="en"/>
        </w:rPr>
        <w:t>A brief history of Australia’s tax system</w:t>
      </w:r>
      <w:r>
        <w:rPr>
          <w:lang w:val="en"/>
        </w:rPr>
        <w:t xml:space="preserve">, </w:t>
      </w:r>
      <w:r w:rsidRPr="00AF68BE">
        <w:rPr>
          <w:lang w:val="en"/>
        </w:rPr>
        <w:t>Economic Roundup Winter 2006</w:t>
      </w:r>
      <w:r>
        <w:rPr>
          <w:lang w:val="en"/>
        </w:rPr>
        <w:t>, The Treasury, Canberra.</w:t>
      </w:r>
      <w:proofErr w:type="gramEnd"/>
    </w:p>
    <w:p w14:paraId="00DE14B0" w14:textId="09684206" w:rsidR="00B0794C" w:rsidRDefault="00B0794C" w:rsidP="00816CB0">
      <w:pPr>
        <w:spacing w:after="180"/>
      </w:pPr>
      <w:proofErr w:type="spellStart"/>
      <w:r>
        <w:t>Saez</w:t>
      </w:r>
      <w:proofErr w:type="spellEnd"/>
      <w:r>
        <w:t xml:space="preserve">, E., 2010, </w:t>
      </w:r>
      <w:r>
        <w:rPr>
          <w:i/>
        </w:rPr>
        <w:t>Do Taxpayers Bunch at Kink</w:t>
      </w:r>
      <w:r w:rsidRPr="00FF3EBF">
        <w:rPr>
          <w:i/>
        </w:rPr>
        <w:t xml:space="preserve"> Points</w:t>
      </w:r>
      <w:proofErr w:type="gramStart"/>
      <w:r w:rsidRPr="00FF3EBF">
        <w:rPr>
          <w:i/>
        </w:rPr>
        <w:t>?</w:t>
      </w:r>
      <w:r>
        <w:t>,</w:t>
      </w:r>
      <w:proofErr w:type="gramEnd"/>
      <w:r>
        <w:t xml:space="preserve"> American Economic Journal: Economic Policy, Vol. 2, No. 3 (August 2010), pp. 180-212.</w:t>
      </w:r>
    </w:p>
    <w:p w14:paraId="62CC66EC" w14:textId="77777777" w:rsidR="00B0794C" w:rsidRDefault="00B0794C" w:rsidP="00B0794C">
      <w:pPr>
        <w:sectPr w:rsidR="00B0794C" w:rsidSect="008C0793">
          <w:pgSz w:w="11906" w:h="16838" w:code="9"/>
          <w:pgMar w:top="1418" w:right="1304" w:bottom="1418" w:left="1304" w:header="567" w:footer="567" w:gutter="0"/>
          <w:cols w:space="708"/>
          <w:titlePg/>
          <w:docGrid w:linePitch="360"/>
        </w:sectPr>
      </w:pPr>
    </w:p>
    <w:p w14:paraId="56955469" w14:textId="77777777" w:rsidR="00B0794C" w:rsidRDefault="00B0794C" w:rsidP="00B0794C">
      <w:pPr>
        <w:pStyle w:val="AppendixHeadingLevel2NotNumbered"/>
      </w:pPr>
      <w:bookmarkStart w:id="13" w:name="_Toc509306067"/>
      <w:r>
        <w:lastRenderedPageBreak/>
        <w:t xml:space="preserve">Appendix A – </w:t>
      </w:r>
      <w:r w:rsidR="007306A1">
        <w:t>Payroll tax t</w:t>
      </w:r>
      <w:r>
        <w:t>hresholds and rates</w:t>
      </w:r>
      <w:bookmarkEnd w:id="13"/>
    </w:p>
    <w:p w14:paraId="64DD9AC5" w14:textId="11FA3B1D" w:rsidR="00BC3F1A" w:rsidRDefault="00BC3F1A" w:rsidP="0003678D">
      <w:pPr>
        <w:pStyle w:val="TableMainHeading"/>
      </w:pPr>
      <w:r w:rsidRPr="00D1557C">
        <w:t xml:space="preserve">Table </w:t>
      </w:r>
      <w:r>
        <w:t>A</w:t>
      </w:r>
      <w:r w:rsidRPr="00D1557C">
        <w:t xml:space="preserve">1: Thresholds </w:t>
      </w:r>
      <w:r>
        <w:t xml:space="preserve">($) </w:t>
      </w:r>
      <w:r w:rsidRPr="00D1557C">
        <w:t>from financial year 200</w:t>
      </w:r>
      <w:r>
        <w:t>1-0</w:t>
      </w:r>
      <w:r w:rsidRPr="00D1557C">
        <w:t>2 to 200</w:t>
      </w:r>
      <w:r>
        <w:t>7-0</w:t>
      </w:r>
      <w:r w:rsidRPr="00D1557C">
        <w:t>8</w:t>
      </w:r>
    </w:p>
    <w:tbl>
      <w:tblPr>
        <w:tblW w:w="9467" w:type="dxa"/>
        <w:tblLayout w:type="fixed"/>
        <w:tblLook w:val="04A0" w:firstRow="1" w:lastRow="0" w:firstColumn="1" w:lastColumn="0" w:noHBand="0" w:noVBand="1"/>
      </w:tblPr>
      <w:tblGrid>
        <w:gridCol w:w="1809"/>
        <w:gridCol w:w="1094"/>
        <w:gridCol w:w="1094"/>
        <w:gridCol w:w="1094"/>
        <w:gridCol w:w="1094"/>
        <w:gridCol w:w="1094"/>
        <w:gridCol w:w="1094"/>
        <w:gridCol w:w="1094"/>
      </w:tblGrid>
      <w:tr w:rsidR="00BC3F1A" w:rsidRPr="00D1557C" w14:paraId="718B3248" w14:textId="77777777" w:rsidTr="00E80550">
        <w:trPr>
          <w:trHeight w:val="294"/>
        </w:trPr>
        <w:tc>
          <w:tcPr>
            <w:tcW w:w="1809"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47BA93D0" w14:textId="77777777" w:rsidR="00BC3F1A" w:rsidRPr="00D1557C" w:rsidRDefault="00BC3F1A" w:rsidP="000F3A05">
            <w:pPr>
              <w:pStyle w:val="TableColumnHeadingLeft"/>
            </w:pPr>
            <w:r w:rsidRPr="00D1557C">
              <w:t>State</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5BC568F4" w14:textId="77777777" w:rsidR="00BC3F1A" w:rsidRPr="00D1557C" w:rsidRDefault="00BC3F1A" w:rsidP="00816CB0">
            <w:pPr>
              <w:pStyle w:val="TableColumnHeadingRight"/>
            </w:pPr>
            <w:r w:rsidRPr="00D1557C">
              <w:t>2001-02</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3F58430A" w14:textId="77777777" w:rsidR="00BC3F1A" w:rsidRPr="00D1557C" w:rsidRDefault="00BC3F1A" w:rsidP="00816CB0">
            <w:pPr>
              <w:pStyle w:val="TableColumnHeadingRight"/>
            </w:pPr>
            <w:r w:rsidRPr="00D1557C">
              <w:t>2002-03</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3810ADC6" w14:textId="77777777" w:rsidR="00BC3F1A" w:rsidRPr="00D1557C" w:rsidRDefault="00BC3F1A" w:rsidP="00816CB0">
            <w:pPr>
              <w:pStyle w:val="TableColumnHeadingRight"/>
            </w:pPr>
            <w:r w:rsidRPr="00D1557C">
              <w:t>2003-04</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72E76848" w14:textId="77777777" w:rsidR="00BC3F1A" w:rsidRPr="00D1557C" w:rsidRDefault="00BC3F1A" w:rsidP="00816CB0">
            <w:pPr>
              <w:pStyle w:val="TableColumnHeadingRight"/>
            </w:pPr>
            <w:r w:rsidRPr="00D1557C">
              <w:t>2004-05</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32988CD1" w14:textId="77777777" w:rsidR="00BC3F1A" w:rsidRPr="00D1557C" w:rsidRDefault="00BC3F1A" w:rsidP="00816CB0">
            <w:pPr>
              <w:pStyle w:val="TableColumnHeadingRight"/>
            </w:pPr>
            <w:r w:rsidRPr="00D1557C">
              <w:t>2005-06</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215EEEBE" w14:textId="77777777" w:rsidR="00BC3F1A" w:rsidRPr="00D1557C" w:rsidRDefault="00BC3F1A" w:rsidP="00816CB0">
            <w:pPr>
              <w:pStyle w:val="TableColumnHeadingRight"/>
            </w:pPr>
            <w:r w:rsidRPr="00D1557C">
              <w:t>2006-07</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51F9A712" w14:textId="77777777" w:rsidR="00BC3F1A" w:rsidRPr="00D1557C" w:rsidRDefault="00BC3F1A" w:rsidP="00816CB0">
            <w:pPr>
              <w:pStyle w:val="TableColumnHeadingRight"/>
            </w:pPr>
            <w:r w:rsidRPr="00D1557C">
              <w:t>2007-08</w:t>
            </w:r>
          </w:p>
        </w:tc>
      </w:tr>
      <w:tr w:rsidR="00BC3F1A" w:rsidRPr="00D1557C" w14:paraId="4482A6B6" w14:textId="77777777" w:rsidTr="00816CB0">
        <w:trPr>
          <w:trHeight w:val="294"/>
        </w:trPr>
        <w:tc>
          <w:tcPr>
            <w:tcW w:w="1809" w:type="dxa"/>
            <w:tcBorders>
              <w:top w:val="single" w:sz="8" w:space="0" w:color="000000" w:themeColor="text1"/>
              <w:left w:val="nil"/>
              <w:right w:val="nil"/>
            </w:tcBorders>
            <w:shd w:val="clear" w:color="000000" w:fill="FFFFFF"/>
            <w:vAlign w:val="center"/>
            <w:hideMark/>
          </w:tcPr>
          <w:p w14:paraId="0414DEB5" w14:textId="77777777" w:rsidR="00BC3F1A" w:rsidRPr="00D1557C" w:rsidRDefault="00BC3F1A" w:rsidP="000F3A05">
            <w:pPr>
              <w:pStyle w:val="Tabletextleft0"/>
            </w:pPr>
            <w:r>
              <w:rPr>
                <w:rFonts w:eastAsiaTheme="minorEastAsia"/>
              </w:rPr>
              <w:t>New South Wales</w:t>
            </w:r>
          </w:p>
        </w:tc>
        <w:tc>
          <w:tcPr>
            <w:tcW w:w="1094" w:type="dxa"/>
            <w:tcBorders>
              <w:top w:val="single" w:sz="8" w:space="0" w:color="000000" w:themeColor="text1"/>
              <w:left w:val="nil"/>
              <w:right w:val="nil"/>
            </w:tcBorders>
            <w:shd w:val="clear" w:color="000000" w:fill="FFFFFF"/>
            <w:vAlign w:val="center"/>
            <w:hideMark/>
          </w:tcPr>
          <w:p w14:paraId="2FB08478"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21D6CAB5"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482B56CC"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41ADB02B"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3F4C3637"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69C8B897" w14:textId="77777777" w:rsidR="00BC3F1A" w:rsidRPr="00D1557C" w:rsidRDefault="00BC3F1A" w:rsidP="00816CB0">
            <w:pPr>
              <w:pStyle w:val="TableTextRight"/>
              <w:ind w:left="-57"/>
            </w:pPr>
            <w:r w:rsidRPr="00D1557C">
              <w:rPr>
                <w:rFonts w:eastAsiaTheme="minorEastAsia"/>
              </w:rPr>
              <w:t>600,000</w:t>
            </w:r>
          </w:p>
        </w:tc>
        <w:tc>
          <w:tcPr>
            <w:tcW w:w="1094" w:type="dxa"/>
            <w:tcBorders>
              <w:top w:val="single" w:sz="8" w:space="0" w:color="000000" w:themeColor="text1"/>
              <w:left w:val="nil"/>
              <w:right w:val="nil"/>
            </w:tcBorders>
            <w:shd w:val="clear" w:color="000000" w:fill="FFFFFF"/>
            <w:vAlign w:val="center"/>
            <w:hideMark/>
          </w:tcPr>
          <w:p w14:paraId="545E662D" w14:textId="77777777" w:rsidR="00BC3F1A" w:rsidRPr="00D1557C" w:rsidRDefault="00BC3F1A" w:rsidP="00816CB0">
            <w:pPr>
              <w:pStyle w:val="TableTextRight"/>
              <w:ind w:left="-57"/>
            </w:pPr>
            <w:r w:rsidRPr="00D1557C">
              <w:rPr>
                <w:rFonts w:eastAsiaTheme="minorEastAsia"/>
              </w:rPr>
              <w:t>600,000</w:t>
            </w:r>
          </w:p>
        </w:tc>
      </w:tr>
      <w:tr w:rsidR="00BC3F1A" w:rsidRPr="00D1557C" w14:paraId="27AB7150" w14:textId="77777777" w:rsidTr="00E80550">
        <w:trPr>
          <w:trHeight w:val="294"/>
        </w:trPr>
        <w:tc>
          <w:tcPr>
            <w:tcW w:w="1809" w:type="dxa"/>
            <w:tcBorders>
              <w:top w:val="nil"/>
              <w:left w:val="nil"/>
              <w:right w:val="nil"/>
            </w:tcBorders>
            <w:shd w:val="clear" w:color="auto" w:fill="F2F2F2" w:themeFill="background1" w:themeFillShade="F2"/>
            <w:vAlign w:val="center"/>
            <w:hideMark/>
          </w:tcPr>
          <w:p w14:paraId="63427034" w14:textId="77777777" w:rsidR="00BC3F1A" w:rsidRPr="00D1557C" w:rsidRDefault="00BC3F1A" w:rsidP="000F3A05">
            <w:pPr>
              <w:pStyle w:val="Tabletextleft0"/>
            </w:pPr>
            <w:r>
              <w:rPr>
                <w:rFonts w:eastAsiaTheme="minorEastAsia"/>
              </w:rPr>
              <w:t>Northern Territory</w:t>
            </w:r>
          </w:p>
        </w:tc>
        <w:tc>
          <w:tcPr>
            <w:tcW w:w="1094" w:type="dxa"/>
            <w:tcBorders>
              <w:top w:val="nil"/>
              <w:left w:val="nil"/>
              <w:right w:val="nil"/>
            </w:tcBorders>
            <w:shd w:val="clear" w:color="auto" w:fill="F2F2F2" w:themeFill="background1" w:themeFillShade="F2"/>
            <w:vAlign w:val="center"/>
            <w:hideMark/>
          </w:tcPr>
          <w:p w14:paraId="06D75DCD" w14:textId="77777777" w:rsidR="00BC3F1A" w:rsidRPr="00D1557C" w:rsidRDefault="00BC3F1A" w:rsidP="00816CB0">
            <w:pPr>
              <w:pStyle w:val="TableTextRight"/>
              <w:ind w:left="-57"/>
            </w:pPr>
            <w:r w:rsidRPr="00D1557C">
              <w:rPr>
                <w:rFonts w:eastAsiaTheme="minorEastAsia"/>
              </w:rPr>
              <w:t>600,000</w:t>
            </w:r>
          </w:p>
        </w:tc>
        <w:tc>
          <w:tcPr>
            <w:tcW w:w="1094" w:type="dxa"/>
            <w:tcBorders>
              <w:top w:val="nil"/>
              <w:left w:val="nil"/>
              <w:right w:val="nil"/>
            </w:tcBorders>
            <w:shd w:val="clear" w:color="auto" w:fill="F2F2F2" w:themeFill="background1" w:themeFillShade="F2"/>
            <w:vAlign w:val="center"/>
            <w:hideMark/>
          </w:tcPr>
          <w:p w14:paraId="0F362BF6" w14:textId="77777777" w:rsidR="00BC3F1A" w:rsidRPr="00D1557C" w:rsidRDefault="00BC3F1A" w:rsidP="00816CB0">
            <w:pPr>
              <w:pStyle w:val="TableTextRight"/>
              <w:ind w:left="-57"/>
            </w:pPr>
            <w:r w:rsidRPr="00D1557C">
              <w:rPr>
                <w:rFonts w:eastAsiaTheme="minorEastAsia"/>
              </w:rPr>
              <w:t>600,000</w:t>
            </w:r>
          </w:p>
        </w:tc>
        <w:tc>
          <w:tcPr>
            <w:tcW w:w="1094" w:type="dxa"/>
            <w:tcBorders>
              <w:top w:val="nil"/>
              <w:left w:val="nil"/>
              <w:right w:val="nil"/>
            </w:tcBorders>
            <w:shd w:val="clear" w:color="auto" w:fill="F2F2F2" w:themeFill="background1" w:themeFillShade="F2"/>
            <w:vAlign w:val="center"/>
            <w:hideMark/>
          </w:tcPr>
          <w:p w14:paraId="2C412F78" w14:textId="77777777" w:rsidR="00BC3F1A" w:rsidRPr="00D1557C" w:rsidRDefault="00BC3F1A" w:rsidP="00816CB0">
            <w:pPr>
              <w:pStyle w:val="TableTextRight"/>
              <w:ind w:left="-57"/>
            </w:pPr>
            <w:r w:rsidRPr="00D1557C">
              <w:rPr>
                <w:rFonts w:eastAsiaTheme="minorEastAsia"/>
              </w:rPr>
              <w:t>600,000</w:t>
            </w:r>
          </w:p>
        </w:tc>
        <w:tc>
          <w:tcPr>
            <w:tcW w:w="1094" w:type="dxa"/>
            <w:tcBorders>
              <w:top w:val="nil"/>
              <w:left w:val="nil"/>
              <w:right w:val="nil"/>
            </w:tcBorders>
            <w:shd w:val="clear" w:color="auto" w:fill="F2F2F2" w:themeFill="background1" w:themeFillShade="F2"/>
            <w:vAlign w:val="center"/>
            <w:hideMark/>
          </w:tcPr>
          <w:p w14:paraId="5BC6E3C9" w14:textId="77777777" w:rsidR="00BC3F1A" w:rsidRPr="00D1557C" w:rsidRDefault="00BC3F1A" w:rsidP="00816CB0">
            <w:pPr>
              <w:pStyle w:val="TableTextRight"/>
              <w:ind w:left="-57"/>
            </w:pPr>
            <w:r w:rsidRPr="00D1557C">
              <w:rPr>
                <w:rFonts w:eastAsiaTheme="minorEastAsia"/>
              </w:rPr>
              <w:t>800,000</w:t>
            </w:r>
          </w:p>
        </w:tc>
        <w:tc>
          <w:tcPr>
            <w:tcW w:w="1094" w:type="dxa"/>
            <w:tcBorders>
              <w:top w:val="nil"/>
              <w:left w:val="nil"/>
              <w:right w:val="nil"/>
            </w:tcBorders>
            <w:shd w:val="clear" w:color="auto" w:fill="F2F2F2" w:themeFill="background1" w:themeFillShade="F2"/>
            <w:vAlign w:val="center"/>
            <w:hideMark/>
          </w:tcPr>
          <w:p w14:paraId="781D8403" w14:textId="77777777" w:rsidR="00BC3F1A" w:rsidRPr="00D1557C" w:rsidRDefault="00BC3F1A" w:rsidP="00816CB0">
            <w:pPr>
              <w:pStyle w:val="TableTextRight"/>
              <w:ind w:left="-57"/>
            </w:pPr>
            <w:r w:rsidRPr="00D1557C">
              <w:rPr>
                <w:rFonts w:eastAsiaTheme="minorEastAsia"/>
              </w:rPr>
              <w:t>1,000,000</w:t>
            </w:r>
          </w:p>
        </w:tc>
        <w:tc>
          <w:tcPr>
            <w:tcW w:w="1094" w:type="dxa"/>
            <w:tcBorders>
              <w:top w:val="nil"/>
              <w:left w:val="nil"/>
              <w:right w:val="nil"/>
            </w:tcBorders>
            <w:shd w:val="clear" w:color="auto" w:fill="F2F2F2" w:themeFill="background1" w:themeFillShade="F2"/>
            <w:vAlign w:val="center"/>
            <w:hideMark/>
          </w:tcPr>
          <w:p w14:paraId="1F5E59CF" w14:textId="77777777" w:rsidR="00BC3F1A" w:rsidRPr="00D1557C" w:rsidRDefault="00BC3F1A" w:rsidP="00816CB0">
            <w:pPr>
              <w:pStyle w:val="TableTextRight"/>
              <w:ind w:left="-57"/>
            </w:pPr>
            <w:r w:rsidRPr="00D1557C">
              <w:rPr>
                <w:rFonts w:eastAsiaTheme="minorEastAsia"/>
              </w:rPr>
              <w:t>1,250,000</w:t>
            </w:r>
          </w:p>
        </w:tc>
        <w:tc>
          <w:tcPr>
            <w:tcW w:w="1094" w:type="dxa"/>
            <w:tcBorders>
              <w:top w:val="nil"/>
              <w:left w:val="nil"/>
              <w:right w:val="nil"/>
            </w:tcBorders>
            <w:shd w:val="clear" w:color="auto" w:fill="F2F2F2" w:themeFill="background1" w:themeFillShade="F2"/>
            <w:vAlign w:val="center"/>
            <w:hideMark/>
          </w:tcPr>
          <w:p w14:paraId="01A81147" w14:textId="77777777" w:rsidR="00BC3F1A" w:rsidRPr="00D1557C" w:rsidRDefault="00BC3F1A" w:rsidP="00816CB0">
            <w:pPr>
              <w:pStyle w:val="TableTextRight"/>
              <w:ind w:left="-57"/>
            </w:pPr>
            <w:r w:rsidRPr="00D1557C">
              <w:rPr>
                <w:rFonts w:eastAsiaTheme="minorEastAsia"/>
              </w:rPr>
              <w:t>1,250,000</w:t>
            </w:r>
          </w:p>
        </w:tc>
      </w:tr>
      <w:tr w:rsidR="00BC3F1A" w:rsidRPr="00D1557C" w14:paraId="32555DDD" w14:textId="77777777" w:rsidTr="00816CB0">
        <w:trPr>
          <w:trHeight w:val="294"/>
        </w:trPr>
        <w:tc>
          <w:tcPr>
            <w:tcW w:w="1809" w:type="dxa"/>
            <w:tcBorders>
              <w:left w:val="nil"/>
              <w:bottom w:val="nil"/>
              <w:right w:val="nil"/>
            </w:tcBorders>
            <w:shd w:val="clear" w:color="000000" w:fill="FFFFFF"/>
            <w:vAlign w:val="center"/>
            <w:hideMark/>
          </w:tcPr>
          <w:p w14:paraId="7726DD75" w14:textId="77777777" w:rsidR="00BC3F1A" w:rsidRPr="00D1557C" w:rsidRDefault="00BC3F1A" w:rsidP="000F3A05">
            <w:pPr>
              <w:pStyle w:val="Tabletextleft0"/>
            </w:pPr>
            <w:r>
              <w:rPr>
                <w:rFonts w:eastAsiaTheme="minorEastAsia"/>
              </w:rPr>
              <w:t>Queensland</w:t>
            </w:r>
          </w:p>
        </w:tc>
        <w:tc>
          <w:tcPr>
            <w:tcW w:w="1094" w:type="dxa"/>
            <w:tcBorders>
              <w:left w:val="nil"/>
              <w:bottom w:val="nil"/>
              <w:right w:val="nil"/>
            </w:tcBorders>
            <w:shd w:val="clear" w:color="000000" w:fill="FFFFFF"/>
            <w:vAlign w:val="center"/>
            <w:hideMark/>
          </w:tcPr>
          <w:p w14:paraId="290ABD37" w14:textId="77777777" w:rsidR="00BC3F1A" w:rsidRPr="00D1557C" w:rsidRDefault="00BC3F1A" w:rsidP="00816CB0">
            <w:pPr>
              <w:pStyle w:val="TableTextRight"/>
              <w:ind w:left="-57"/>
            </w:pPr>
            <w:r w:rsidRPr="00D1557C">
              <w:rPr>
                <w:rFonts w:eastAsiaTheme="minorEastAsia"/>
              </w:rPr>
              <w:t>850,000</w:t>
            </w:r>
          </w:p>
        </w:tc>
        <w:tc>
          <w:tcPr>
            <w:tcW w:w="1094" w:type="dxa"/>
            <w:tcBorders>
              <w:left w:val="nil"/>
              <w:bottom w:val="nil"/>
              <w:right w:val="nil"/>
            </w:tcBorders>
            <w:shd w:val="clear" w:color="000000" w:fill="FFFFFF"/>
            <w:vAlign w:val="center"/>
            <w:hideMark/>
          </w:tcPr>
          <w:p w14:paraId="1C09B1D6" w14:textId="77777777" w:rsidR="00BC3F1A" w:rsidRPr="00D1557C" w:rsidRDefault="00BC3F1A" w:rsidP="00816CB0">
            <w:pPr>
              <w:pStyle w:val="TableTextRight"/>
              <w:ind w:left="-57"/>
            </w:pPr>
            <w:r w:rsidRPr="00D1557C">
              <w:rPr>
                <w:rFonts w:eastAsiaTheme="minorEastAsia"/>
              </w:rPr>
              <w:t>850,000</w:t>
            </w:r>
          </w:p>
        </w:tc>
        <w:tc>
          <w:tcPr>
            <w:tcW w:w="1094" w:type="dxa"/>
            <w:tcBorders>
              <w:left w:val="nil"/>
              <w:bottom w:val="nil"/>
              <w:right w:val="nil"/>
            </w:tcBorders>
            <w:shd w:val="clear" w:color="000000" w:fill="FFFFFF"/>
            <w:vAlign w:val="center"/>
            <w:hideMark/>
          </w:tcPr>
          <w:p w14:paraId="3AF823D4" w14:textId="77777777" w:rsidR="00BC3F1A" w:rsidRPr="00D1557C" w:rsidRDefault="00BC3F1A" w:rsidP="00816CB0">
            <w:pPr>
              <w:pStyle w:val="TableTextRight"/>
              <w:ind w:left="-57"/>
            </w:pPr>
            <w:r w:rsidRPr="00D1557C">
              <w:rPr>
                <w:rFonts w:eastAsiaTheme="minorEastAsia"/>
              </w:rPr>
              <w:t>850,000</w:t>
            </w:r>
          </w:p>
        </w:tc>
        <w:tc>
          <w:tcPr>
            <w:tcW w:w="1094" w:type="dxa"/>
            <w:tcBorders>
              <w:left w:val="nil"/>
              <w:bottom w:val="nil"/>
              <w:right w:val="nil"/>
            </w:tcBorders>
            <w:shd w:val="clear" w:color="000000" w:fill="FFFFFF"/>
            <w:vAlign w:val="center"/>
            <w:hideMark/>
          </w:tcPr>
          <w:p w14:paraId="5C83419F" w14:textId="77777777" w:rsidR="00BC3F1A" w:rsidRPr="00D1557C" w:rsidRDefault="00BC3F1A" w:rsidP="00816CB0">
            <w:pPr>
              <w:pStyle w:val="TableTextRight"/>
              <w:ind w:left="-57"/>
            </w:pPr>
            <w:r w:rsidRPr="00D1557C">
              <w:rPr>
                <w:rFonts w:eastAsiaTheme="minorEastAsia"/>
              </w:rPr>
              <w:t>850,000</w:t>
            </w:r>
          </w:p>
        </w:tc>
        <w:tc>
          <w:tcPr>
            <w:tcW w:w="1094" w:type="dxa"/>
            <w:tcBorders>
              <w:left w:val="nil"/>
              <w:bottom w:val="nil"/>
              <w:right w:val="nil"/>
            </w:tcBorders>
            <w:shd w:val="clear" w:color="000000" w:fill="FFFFFF"/>
            <w:vAlign w:val="center"/>
            <w:hideMark/>
          </w:tcPr>
          <w:p w14:paraId="32796726" w14:textId="77777777" w:rsidR="00BC3F1A" w:rsidRPr="00D1557C" w:rsidRDefault="00BC3F1A" w:rsidP="00816CB0">
            <w:pPr>
              <w:pStyle w:val="TableTextRight"/>
              <w:ind w:left="-57"/>
            </w:pPr>
            <w:r w:rsidRPr="00D1557C">
              <w:rPr>
                <w:rFonts w:eastAsiaTheme="minorEastAsia"/>
              </w:rPr>
              <w:t>850,000</w:t>
            </w:r>
          </w:p>
        </w:tc>
        <w:tc>
          <w:tcPr>
            <w:tcW w:w="1094" w:type="dxa"/>
            <w:tcBorders>
              <w:left w:val="nil"/>
              <w:bottom w:val="nil"/>
              <w:right w:val="nil"/>
            </w:tcBorders>
            <w:shd w:val="clear" w:color="000000" w:fill="FFFFFF"/>
            <w:vAlign w:val="center"/>
            <w:hideMark/>
          </w:tcPr>
          <w:p w14:paraId="7676F657" w14:textId="77777777" w:rsidR="00BC3F1A" w:rsidRPr="00D1557C" w:rsidRDefault="00BC3F1A" w:rsidP="00816CB0">
            <w:pPr>
              <w:pStyle w:val="TableTextRight"/>
              <w:ind w:left="-57"/>
            </w:pPr>
            <w:r w:rsidRPr="00D1557C">
              <w:rPr>
                <w:rFonts w:eastAsiaTheme="minorEastAsia"/>
              </w:rPr>
              <w:t>1,000,000</w:t>
            </w:r>
          </w:p>
        </w:tc>
        <w:tc>
          <w:tcPr>
            <w:tcW w:w="1094" w:type="dxa"/>
            <w:tcBorders>
              <w:left w:val="nil"/>
              <w:bottom w:val="nil"/>
              <w:right w:val="nil"/>
            </w:tcBorders>
            <w:shd w:val="clear" w:color="000000" w:fill="FFFFFF"/>
            <w:vAlign w:val="center"/>
            <w:hideMark/>
          </w:tcPr>
          <w:p w14:paraId="4CD56A21" w14:textId="77777777" w:rsidR="00BC3F1A" w:rsidRPr="00D1557C" w:rsidRDefault="00BC3F1A" w:rsidP="00816CB0">
            <w:pPr>
              <w:pStyle w:val="TableTextRight"/>
              <w:ind w:left="-57"/>
            </w:pPr>
            <w:r w:rsidRPr="00D1557C">
              <w:rPr>
                <w:rFonts w:eastAsiaTheme="minorEastAsia"/>
              </w:rPr>
              <w:t>1,000,000</w:t>
            </w:r>
          </w:p>
        </w:tc>
      </w:tr>
      <w:tr w:rsidR="00BC3F1A" w:rsidRPr="00D1557C" w14:paraId="4CD42301" w14:textId="77777777" w:rsidTr="00E80550">
        <w:trPr>
          <w:trHeight w:val="294"/>
        </w:trPr>
        <w:tc>
          <w:tcPr>
            <w:tcW w:w="1809" w:type="dxa"/>
            <w:tcBorders>
              <w:top w:val="nil"/>
              <w:left w:val="nil"/>
              <w:bottom w:val="nil"/>
              <w:right w:val="nil"/>
            </w:tcBorders>
            <w:shd w:val="clear" w:color="auto" w:fill="F2F2F2" w:themeFill="background1" w:themeFillShade="F2"/>
            <w:vAlign w:val="center"/>
            <w:hideMark/>
          </w:tcPr>
          <w:p w14:paraId="0FFEB404" w14:textId="77777777" w:rsidR="00BC3F1A" w:rsidRPr="00D1557C" w:rsidRDefault="00BC3F1A" w:rsidP="000F3A05">
            <w:pPr>
              <w:pStyle w:val="Tabletextleft0"/>
            </w:pPr>
            <w:r>
              <w:rPr>
                <w:rFonts w:eastAsiaTheme="minorEastAsia"/>
              </w:rPr>
              <w:t>South Australia</w:t>
            </w:r>
          </w:p>
        </w:tc>
        <w:tc>
          <w:tcPr>
            <w:tcW w:w="1094" w:type="dxa"/>
            <w:tcBorders>
              <w:top w:val="nil"/>
              <w:left w:val="nil"/>
              <w:bottom w:val="nil"/>
              <w:right w:val="nil"/>
            </w:tcBorders>
            <w:shd w:val="clear" w:color="auto" w:fill="F2F2F2" w:themeFill="background1" w:themeFillShade="F2"/>
            <w:vAlign w:val="center"/>
            <w:hideMark/>
          </w:tcPr>
          <w:p w14:paraId="394CB0EE" w14:textId="77777777" w:rsidR="00BC3F1A" w:rsidRPr="00D1557C" w:rsidRDefault="00BC3F1A" w:rsidP="00816CB0">
            <w:pPr>
              <w:pStyle w:val="TableTextRight"/>
              <w:ind w:left="-57"/>
            </w:pPr>
            <w:r w:rsidRPr="00D1557C">
              <w:rPr>
                <w:rFonts w:eastAsiaTheme="minorEastAsia"/>
              </w:rPr>
              <w:t>456,000</w:t>
            </w:r>
          </w:p>
        </w:tc>
        <w:tc>
          <w:tcPr>
            <w:tcW w:w="1094" w:type="dxa"/>
            <w:tcBorders>
              <w:top w:val="nil"/>
              <w:left w:val="nil"/>
              <w:bottom w:val="nil"/>
              <w:right w:val="nil"/>
            </w:tcBorders>
            <w:shd w:val="clear" w:color="auto" w:fill="F2F2F2" w:themeFill="background1" w:themeFillShade="F2"/>
            <w:vAlign w:val="center"/>
            <w:hideMark/>
          </w:tcPr>
          <w:p w14:paraId="4E2C6C22" w14:textId="77777777" w:rsidR="00BC3F1A" w:rsidRPr="00D1557C" w:rsidRDefault="00BC3F1A" w:rsidP="00816CB0">
            <w:pPr>
              <w:pStyle w:val="TableTextRight"/>
              <w:ind w:left="-57"/>
            </w:pPr>
            <w:r w:rsidRPr="00D1557C">
              <w:rPr>
                <w:rFonts w:eastAsiaTheme="minorEastAsia"/>
              </w:rPr>
              <w:t>504,000</w:t>
            </w:r>
          </w:p>
        </w:tc>
        <w:tc>
          <w:tcPr>
            <w:tcW w:w="1094" w:type="dxa"/>
            <w:tcBorders>
              <w:top w:val="nil"/>
              <w:left w:val="nil"/>
              <w:bottom w:val="nil"/>
              <w:right w:val="nil"/>
            </w:tcBorders>
            <w:shd w:val="clear" w:color="auto" w:fill="F2F2F2" w:themeFill="background1" w:themeFillShade="F2"/>
            <w:vAlign w:val="center"/>
            <w:hideMark/>
          </w:tcPr>
          <w:p w14:paraId="193D2DBE" w14:textId="77777777" w:rsidR="00BC3F1A" w:rsidRPr="00D1557C" w:rsidRDefault="00BC3F1A" w:rsidP="00816CB0">
            <w:pPr>
              <w:pStyle w:val="TableTextRight"/>
              <w:ind w:left="-57"/>
            </w:pPr>
            <w:r w:rsidRPr="00D1557C">
              <w:rPr>
                <w:rFonts w:eastAsiaTheme="minorEastAsia"/>
              </w:rPr>
              <w:t>504,000</w:t>
            </w:r>
          </w:p>
        </w:tc>
        <w:tc>
          <w:tcPr>
            <w:tcW w:w="1094" w:type="dxa"/>
            <w:tcBorders>
              <w:top w:val="nil"/>
              <w:left w:val="nil"/>
              <w:bottom w:val="nil"/>
              <w:right w:val="nil"/>
            </w:tcBorders>
            <w:shd w:val="clear" w:color="auto" w:fill="F2F2F2" w:themeFill="background1" w:themeFillShade="F2"/>
            <w:vAlign w:val="center"/>
            <w:hideMark/>
          </w:tcPr>
          <w:p w14:paraId="5B10A03F" w14:textId="77777777" w:rsidR="00BC3F1A" w:rsidRPr="00D1557C" w:rsidRDefault="00BC3F1A" w:rsidP="00816CB0">
            <w:pPr>
              <w:pStyle w:val="TableTextRight"/>
              <w:ind w:left="-57"/>
            </w:pPr>
            <w:r w:rsidRPr="00D1557C">
              <w:rPr>
                <w:rFonts w:eastAsiaTheme="minorEastAsia"/>
              </w:rPr>
              <w:t>504,000</w:t>
            </w:r>
          </w:p>
        </w:tc>
        <w:tc>
          <w:tcPr>
            <w:tcW w:w="1094" w:type="dxa"/>
            <w:tcBorders>
              <w:top w:val="nil"/>
              <w:left w:val="nil"/>
              <w:bottom w:val="nil"/>
              <w:right w:val="nil"/>
            </w:tcBorders>
            <w:shd w:val="clear" w:color="auto" w:fill="F2F2F2" w:themeFill="background1" w:themeFillShade="F2"/>
            <w:vAlign w:val="center"/>
            <w:hideMark/>
          </w:tcPr>
          <w:p w14:paraId="27E08301" w14:textId="77777777" w:rsidR="00BC3F1A" w:rsidRPr="00D1557C" w:rsidRDefault="00BC3F1A" w:rsidP="00816CB0">
            <w:pPr>
              <w:pStyle w:val="TableTextRight"/>
              <w:ind w:left="-57"/>
            </w:pPr>
            <w:r w:rsidRPr="00D1557C">
              <w:rPr>
                <w:rFonts w:eastAsiaTheme="minorEastAsia"/>
              </w:rPr>
              <w:t>504,000</w:t>
            </w:r>
          </w:p>
        </w:tc>
        <w:tc>
          <w:tcPr>
            <w:tcW w:w="1094" w:type="dxa"/>
            <w:tcBorders>
              <w:top w:val="nil"/>
              <w:left w:val="nil"/>
              <w:bottom w:val="nil"/>
              <w:right w:val="nil"/>
            </w:tcBorders>
            <w:shd w:val="clear" w:color="auto" w:fill="F2F2F2" w:themeFill="background1" w:themeFillShade="F2"/>
            <w:vAlign w:val="center"/>
            <w:hideMark/>
          </w:tcPr>
          <w:p w14:paraId="6B0E8957" w14:textId="77777777" w:rsidR="00BC3F1A" w:rsidRPr="00D1557C" w:rsidRDefault="00BC3F1A" w:rsidP="00816CB0">
            <w:pPr>
              <w:pStyle w:val="TableTextRight"/>
              <w:ind w:left="-57"/>
            </w:pPr>
            <w:r w:rsidRPr="00D1557C">
              <w:rPr>
                <w:rFonts w:eastAsiaTheme="minorEastAsia"/>
              </w:rPr>
              <w:t>504,000</w:t>
            </w:r>
          </w:p>
        </w:tc>
        <w:tc>
          <w:tcPr>
            <w:tcW w:w="1094" w:type="dxa"/>
            <w:tcBorders>
              <w:top w:val="nil"/>
              <w:left w:val="nil"/>
              <w:bottom w:val="nil"/>
              <w:right w:val="nil"/>
            </w:tcBorders>
            <w:shd w:val="clear" w:color="auto" w:fill="F2F2F2" w:themeFill="background1" w:themeFillShade="F2"/>
            <w:vAlign w:val="center"/>
            <w:hideMark/>
          </w:tcPr>
          <w:p w14:paraId="27B7AF7D" w14:textId="77777777" w:rsidR="00BC3F1A" w:rsidRPr="00D1557C" w:rsidRDefault="00BC3F1A" w:rsidP="00816CB0">
            <w:pPr>
              <w:pStyle w:val="TableTextRight"/>
              <w:ind w:left="-57"/>
            </w:pPr>
            <w:r w:rsidRPr="00D1557C">
              <w:rPr>
                <w:rFonts w:eastAsiaTheme="minorEastAsia"/>
              </w:rPr>
              <w:t>504,000</w:t>
            </w:r>
          </w:p>
        </w:tc>
      </w:tr>
      <w:tr w:rsidR="00BC3F1A" w:rsidRPr="00D1557C" w14:paraId="4B600F55" w14:textId="77777777" w:rsidTr="00816CB0">
        <w:trPr>
          <w:trHeight w:val="294"/>
        </w:trPr>
        <w:tc>
          <w:tcPr>
            <w:tcW w:w="1809" w:type="dxa"/>
            <w:tcBorders>
              <w:top w:val="nil"/>
              <w:left w:val="nil"/>
              <w:right w:val="nil"/>
            </w:tcBorders>
            <w:shd w:val="clear" w:color="000000" w:fill="FFFFFF"/>
            <w:vAlign w:val="center"/>
            <w:hideMark/>
          </w:tcPr>
          <w:p w14:paraId="014FB9FB" w14:textId="77777777" w:rsidR="00BC3F1A" w:rsidRPr="00D1557C" w:rsidRDefault="00BC3F1A" w:rsidP="000F3A05">
            <w:pPr>
              <w:pStyle w:val="Tabletextleft0"/>
            </w:pPr>
            <w:r>
              <w:rPr>
                <w:rFonts w:eastAsiaTheme="minorEastAsia"/>
              </w:rPr>
              <w:t>Tasmania</w:t>
            </w:r>
          </w:p>
        </w:tc>
        <w:tc>
          <w:tcPr>
            <w:tcW w:w="1094" w:type="dxa"/>
            <w:tcBorders>
              <w:top w:val="nil"/>
              <w:left w:val="nil"/>
              <w:right w:val="nil"/>
            </w:tcBorders>
            <w:shd w:val="clear" w:color="000000" w:fill="FFFFFF"/>
            <w:vAlign w:val="center"/>
            <w:hideMark/>
          </w:tcPr>
          <w:p w14:paraId="6A9E72C6" w14:textId="77777777" w:rsidR="00BC3F1A" w:rsidRPr="00D1557C" w:rsidRDefault="00BC3F1A" w:rsidP="00816CB0">
            <w:pPr>
              <w:pStyle w:val="TableTextRight"/>
              <w:ind w:left="-57"/>
            </w:pPr>
            <w:r w:rsidRPr="00D1557C">
              <w:rPr>
                <w:rFonts w:eastAsiaTheme="minorEastAsia"/>
              </w:rPr>
              <w:t>1,000,000</w:t>
            </w:r>
          </w:p>
        </w:tc>
        <w:tc>
          <w:tcPr>
            <w:tcW w:w="1094" w:type="dxa"/>
            <w:tcBorders>
              <w:top w:val="nil"/>
              <w:left w:val="nil"/>
              <w:right w:val="nil"/>
            </w:tcBorders>
            <w:shd w:val="clear" w:color="000000" w:fill="FFFFFF"/>
            <w:vAlign w:val="center"/>
            <w:hideMark/>
          </w:tcPr>
          <w:p w14:paraId="5BA616A8" w14:textId="77777777" w:rsidR="00BC3F1A" w:rsidRPr="00D1557C" w:rsidRDefault="00BC3F1A" w:rsidP="00816CB0">
            <w:pPr>
              <w:pStyle w:val="TableTextRight"/>
              <w:ind w:left="-57"/>
            </w:pPr>
            <w:r w:rsidRPr="00D1557C">
              <w:rPr>
                <w:rFonts w:eastAsiaTheme="minorEastAsia"/>
              </w:rPr>
              <w:t>1,010,000</w:t>
            </w:r>
          </w:p>
        </w:tc>
        <w:tc>
          <w:tcPr>
            <w:tcW w:w="1094" w:type="dxa"/>
            <w:tcBorders>
              <w:top w:val="nil"/>
              <w:left w:val="nil"/>
              <w:right w:val="nil"/>
            </w:tcBorders>
            <w:shd w:val="clear" w:color="000000" w:fill="FFFFFF"/>
            <w:vAlign w:val="center"/>
            <w:hideMark/>
          </w:tcPr>
          <w:p w14:paraId="0DC01296" w14:textId="77777777" w:rsidR="00BC3F1A" w:rsidRPr="00D1557C" w:rsidRDefault="00BC3F1A" w:rsidP="00816CB0">
            <w:pPr>
              <w:pStyle w:val="TableTextRight"/>
              <w:ind w:left="-57"/>
            </w:pPr>
            <w:r w:rsidRPr="00D1557C">
              <w:rPr>
                <w:rFonts w:eastAsiaTheme="minorEastAsia"/>
              </w:rPr>
              <w:t>1,010,000</w:t>
            </w:r>
          </w:p>
        </w:tc>
        <w:tc>
          <w:tcPr>
            <w:tcW w:w="1094" w:type="dxa"/>
            <w:tcBorders>
              <w:top w:val="nil"/>
              <w:left w:val="nil"/>
              <w:right w:val="nil"/>
            </w:tcBorders>
            <w:shd w:val="clear" w:color="000000" w:fill="FFFFFF"/>
            <w:vAlign w:val="center"/>
            <w:hideMark/>
          </w:tcPr>
          <w:p w14:paraId="1C95B905" w14:textId="77777777" w:rsidR="00BC3F1A" w:rsidRPr="00D1557C" w:rsidRDefault="00BC3F1A" w:rsidP="00816CB0">
            <w:pPr>
              <w:pStyle w:val="TableTextRight"/>
              <w:ind w:left="-57"/>
            </w:pPr>
            <w:r w:rsidRPr="00D1557C">
              <w:rPr>
                <w:rFonts w:eastAsiaTheme="minorEastAsia"/>
              </w:rPr>
              <w:t>1,010,000</w:t>
            </w:r>
          </w:p>
        </w:tc>
        <w:tc>
          <w:tcPr>
            <w:tcW w:w="1094" w:type="dxa"/>
            <w:tcBorders>
              <w:top w:val="nil"/>
              <w:left w:val="nil"/>
              <w:right w:val="nil"/>
            </w:tcBorders>
            <w:shd w:val="clear" w:color="000000" w:fill="FFFFFF"/>
            <w:vAlign w:val="center"/>
            <w:hideMark/>
          </w:tcPr>
          <w:p w14:paraId="36E7B4F5" w14:textId="77777777" w:rsidR="00BC3F1A" w:rsidRPr="00D1557C" w:rsidRDefault="00BC3F1A" w:rsidP="00816CB0">
            <w:pPr>
              <w:pStyle w:val="TableTextRight"/>
              <w:ind w:left="-57"/>
            </w:pPr>
            <w:r w:rsidRPr="00D1557C">
              <w:rPr>
                <w:rFonts w:eastAsiaTheme="minorEastAsia"/>
              </w:rPr>
              <w:t>1,010,000</w:t>
            </w:r>
          </w:p>
        </w:tc>
        <w:tc>
          <w:tcPr>
            <w:tcW w:w="1094" w:type="dxa"/>
            <w:tcBorders>
              <w:top w:val="nil"/>
              <w:left w:val="nil"/>
              <w:right w:val="nil"/>
            </w:tcBorders>
            <w:shd w:val="clear" w:color="000000" w:fill="FFFFFF"/>
            <w:vAlign w:val="center"/>
            <w:hideMark/>
          </w:tcPr>
          <w:p w14:paraId="7215E10F" w14:textId="77777777" w:rsidR="00BC3F1A" w:rsidRPr="00D1557C" w:rsidRDefault="00BC3F1A" w:rsidP="00816CB0">
            <w:pPr>
              <w:pStyle w:val="TableTextRight"/>
              <w:ind w:left="-57"/>
            </w:pPr>
            <w:r w:rsidRPr="00D1557C">
              <w:rPr>
                <w:rFonts w:eastAsiaTheme="minorEastAsia"/>
              </w:rPr>
              <w:t>1,010,000</w:t>
            </w:r>
          </w:p>
        </w:tc>
        <w:tc>
          <w:tcPr>
            <w:tcW w:w="1094" w:type="dxa"/>
            <w:tcBorders>
              <w:top w:val="nil"/>
              <w:left w:val="nil"/>
              <w:right w:val="nil"/>
            </w:tcBorders>
            <w:shd w:val="clear" w:color="000000" w:fill="FFFFFF"/>
            <w:vAlign w:val="center"/>
            <w:hideMark/>
          </w:tcPr>
          <w:p w14:paraId="4C67F648" w14:textId="77777777" w:rsidR="00BC3F1A" w:rsidRPr="00D1557C" w:rsidRDefault="00BC3F1A" w:rsidP="00816CB0">
            <w:pPr>
              <w:pStyle w:val="TableTextRight"/>
              <w:ind w:left="-57"/>
            </w:pPr>
            <w:r w:rsidRPr="00D1557C">
              <w:rPr>
                <w:rFonts w:eastAsiaTheme="minorEastAsia"/>
              </w:rPr>
              <w:t>1,010,000</w:t>
            </w:r>
          </w:p>
        </w:tc>
      </w:tr>
      <w:tr w:rsidR="00BC3F1A" w:rsidRPr="00D1557C" w14:paraId="4837E2CF" w14:textId="77777777" w:rsidTr="00E80550">
        <w:trPr>
          <w:trHeight w:val="294"/>
        </w:trPr>
        <w:tc>
          <w:tcPr>
            <w:tcW w:w="1809" w:type="dxa"/>
            <w:tcBorders>
              <w:top w:val="nil"/>
              <w:left w:val="nil"/>
              <w:bottom w:val="nil"/>
              <w:right w:val="nil"/>
            </w:tcBorders>
            <w:shd w:val="clear" w:color="auto" w:fill="F2F2F2" w:themeFill="background1" w:themeFillShade="F2"/>
            <w:vAlign w:val="center"/>
            <w:hideMark/>
          </w:tcPr>
          <w:p w14:paraId="3F390E4A" w14:textId="77777777" w:rsidR="00BC3F1A" w:rsidRPr="00D1557C" w:rsidRDefault="00BC3F1A" w:rsidP="000F3A05">
            <w:pPr>
              <w:pStyle w:val="Tabletextleft0"/>
            </w:pPr>
            <w:r>
              <w:rPr>
                <w:rFonts w:eastAsiaTheme="minorEastAsia"/>
              </w:rPr>
              <w:t>Victoria</w:t>
            </w:r>
          </w:p>
        </w:tc>
        <w:tc>
          <w:tcPr>
            <w:tcW w:w="1094" w:type="dxa"/>
            <w:tcBorders>
              <w:top w:val="nil"/>
              <w:left w:val="nil"/>
              <w:bottom w:val="nil"/>
              <w:right w:val="nil"/>
            </w:tcBorders>
            <w:shd w:val="clear" w:color="auto" w:fill="F2F2F2" w:themeFill="background1" w:themeFillShade="F2"/>
            <w:vAlign w:val="center"/>
            <w:hideMark/>
          </w:tcPr>
          <w:p w14:paraId="0AE601A1" w14:textId="77777777" w:rsidR="00BC3F1A" w:rsidRPr="00D1557C" w:rsidRDefault="00BC3F1A" w:rsidP="00816CB0">
            <w:pPr>
              <w:pStyle w:val="TableTextRight"/>
              <w:ind w:left="-57"/>
            </w:pPr>
            <w:r w:rsidRPr="00D1557C">
              <w:rPr>
                <w:rFonts w:eastAsiaTheme="minorEastAsia"/>
              </w:rPr>
              <w:t>515,000</w:t>
            </w:r>
          </w:p>
        </w:tc>
        <w:tc>
          <w:tcPr>
            <w:tcW w:w="1094" w:type="dxa"/>
            <w:tcBorders>
              <w:top w:val="nil"/>
              <w:left w:val="nil"/>
              <w:bottom w:val="nil"/>
              <w:right w:val="nil"/>
            </w:tcBorders>
            <w:shd w:val="clear" w:color="auto" w:fill="F2F2F2" w:themeFill="background1" w:themeFillShade="F2"/>
            <w:vAlign w:val="center"/>
            <w:hideMark/>
          </w:tcPr>
          <w:p w14:paraId="34D941AD" w14:textId="77777777" w:rsidR="00BC3F1A" w:rsidRPr="00D1557C" w:rsidRDefault="00BC3F1A" w:rsidP="00816CB0">
            <w:pPr>
              <w:pStyle w:val="TableTextRight"/>
              <w:ind w:left="-57"/>
            </w:pPr>
            <w:r w:rsidRPr="00D1557C">
              <w:rPr>
                <w:rFonts w:eastAsiaTheme="minorEastAsia"/>
              </w:rPr>
              <w:t>550,000</w:t>
            </w:r>
          </w:p>
        </w:tc>
        <w:tc>
          <w:tcPr>
            <w:tcW w:w="1094" w:type="dxa"/>
            <w:tcBorders>
              <w:top w:val="nil"/>
              <w:left w:val="nil"/>
              <w:bottom w:val="nil"/>
              <w:right w:val="nil"/>
            </w:tcBorders>
            <w:shd w:val="clear" w:color="auto" w:fill="F2F2F2" w:themeFill="background1" w:themeFillShade="F2"/>
            <w:vAlign w:val="center"/>
            <w:hideMark/>
          </w:tcPr>
          <w:p w14:paraId="0DB94891" w14:textId="77777777" w:rsidR="00BC3F1A" w:rsidRPr="00D1557C" w:rsidRDefault="00BC3F1A" w:rsidP="00816CB0">
            <w:pPr>
              <w:pStyle w:val="TableTextRight"/>
              <w:ind w:left="-57"/>
            </w:pPr>
            <w:r w:rsidRPr="00D1557C">
              <w:rPr>
                <w:rFonts w:eastAsiaTheme="minorEastAsia"/>
              </w:rPr>
              <w:t>550,000</w:t>
            </w:r>
          </w:p>
        </w:tc>
        <w:tc>
          <w:tcPr>
            <w:tcW w:w="1094" w:type="dxa"/>
            <w:tcBorders>
              <w:top w:val="nil"/>
              <w:left w:val="nil"/>
              <w:bottom w:val="nil"/>
              <w:right w:val="nil"/>
            </w:tcBorders>
            <w:shd w:val="clear" w:color="auto" w:fill="F2F2F2" w:themeFill="background1" w:themeFillShade="F2"/>
            <w:vAlign w:val="center"/>
            <w:hideMark/>
          </w:tcPr>
          <w:p w14:paraId="1821976E" w14:textId="77777777" w:rsidR="00BC3F1A" w:rsidRPr="00D1557C" w:rsidRDefault="00BC3F1A" w:rsidP="00816CB0">
            <w:pPr>
              <w:pStyle w:val="TableTextRight"/>
              <w:ind w:left="-57"/>
            </w:pPr>
            <w:r w:rsidRPr="00D1557C">
              <w:rPr>
                <w:rFonts w:eastAsiaTheme="minorEastAsia"/>
              </w:rPr>
              <w:t>550,000</w:t>
            </w:r>
          </w:p>
        </w:tc>
        <w:tc>
          <w:tcPr>
            <w:tcW w:w="1094" w:type="dxa"/>
            <w:tcBorders>
              <w:top w:val="nil"/>
              <w:left w:val="nil"/>
              <w:bottom w:val="nil"/>
              <w:right w:val="nil"/>
            </w:tcBorders>
            <w:shd w:val="clear" w:color="auto" w:fill="F2F2F2" w:themeFill="background1" w:themeFillShade="F2"/>
            <w:vAlign w:val="center"/>
            <w:hideMark/>
          </w:tcPr>
          <w:p w14:paraId="5BBB05A4" w14:textId="77777777" w:rsidR="00BC3F1A" w:rsidRPr="00D1557C" w:rsidRDefault="00BC3F1A" w:rsidP="00816CB0">
            <w:pPr>
              <w:pStyle w:val="TableTextRight"/>
              <w:ind w:left="-57"/>
            </w:pPr>
            <w:r w:rsidRPr="00D1557C">
              <w:rPr>
                <w:rFonts w:eastAsiaTheme="minorEastAsia"/>
              </w:rPr>
              <w:t>550,000</w:t>
            </w:r>
          </w:p>
        </w:tc>
        <w:tc>
          <w:tcPr>
            <w:tcW w:w="1094" w:type="dxa"/>
            <w:tcBorders>
              <w:top w:val="nil"/>
              <w:left w:val="nil"/>
              <w:bottom w:val="nil"/>
              <w:right w:val="nil"/>
            </w:tcBorders>
            <w:shd w:val="clear" w:color="auto" w:fill="F2F2F2" w:themeFill="background1" w:themeFillShade="F2"/>
            <w:vAlign w:val="center"/>
            <w:hideMark/>
          </w:tcPr>
          <w:p w14:paraId="30D444A3" w14:textId="77777777" w:rsidR="00BC3F1A" w:rsidRPr="00D1557C" w:rsidRDefault="00BC3F1A" w:rsidP="00816CB0">
            <w:pPr>
              <w:pStyle w:val="TableTextRight"/>
              <w:ind w:left="-57"/>
            </w:pPr>
            <w:r w:rsidRPr="00D1557C">
              <w:rPr>
                <w:rFonts w:eastAsiaTheme="minorEastAsia"/>
              </w:rPr>
              <w:t>550,000</w:t>
            </w:r>
          </w:p>
        </w:tc>
        <w:tc>
          <w:tcPr>
            <w:tcW w:w="1094" w:type="dxa"/>
            <w:tcBorders>
              <w:top w:val="nil"/>
              <w:left w:val="nil"/>
              <w:bottom w:val="nil"/>
              <w:right w:val="nil"/>
            </w:tcBorders>
            <w:shd w:val="clear" w:color="auto" w:fill="F2F2F2" w:themeFill="background1" w:themeFillShade="F2"/>
            <w:vAlign w:val="center"/>
            <w:hideMark/>
          </w:tcPr>
          <w:p w14:paraId="5A59F5CF" w14:textId="77777777" w:rsidR="00BC3F1A" w:rsidRPr="00D1557C" w:rsidRDefault="00BC3F1A" w:rsidP="00816CB0">
            <w:pPr>
              <w:pStyle w:val="TableTextRight"/>
              <w:ind w:left="-57"/>
            </w:pPr>
            <w:r w:rsidRPr="00D1557C">
              <w:rPr>
                <w:rFonts w:eastAsiaTheme="minorEastAsia"/>
              </w:rPr>
              <w:t>550,000</w:t>
            </w:r>
          </w:p>
        </w:tc>
      </w:tr>
      <w:tr w:rsidR="00BC3F1A" w:rsidRPr="00D1557C" w14:paraId="27BB2640" w14:textId="77777777" w:rsidTr="00816CB0">
        <w:trPr>
          <w:trHeight w:val="294"/>
        </w:trPr>
        <w:tc>
          <w:tcPr>
            <w:tcW w:w="1809" w:type="dxa"/>
            <w:tcBorders>
              <w:top w:val="nil"/>
              <w:left w:val="nil"/>
              <w:bottom w:val="single" w:sz="4" w:space="0" w:color="000000" w:themeColor="text1"/>
              <w:right w:val="nil"/>
            </w:tcBorders>
            <w:shd w:val="clear" w:color="000000" w:fill="FFFFFF"/>
            <w:vAlign w:val="center"/>
            <w:hideMark/>
          </w:tcPr>
          <w:p w14:paraId="23050C86" w14:textId="77777777" w:rsidR="00BC3F1A" w:rsidRPr="00D1557C" w:rsidRDefault="00BC3F1A" w:rsidP="000F3A05">
            <w:pPr>
              <w:pStyle w:val="Tabletextleft0"/>
            </w:pPr>
            <w:r>
              <w:rPr>
                <w:rFonts w:eastAsiaTheme="minorEastAsia"/>
              </w:rPr>
              <w:t>Western Australia</w:t>
            </w:r>
          </w:p>
        </w:tc>
        <w:tc>
          <w:tcPr>
            <w:tcW w:w="1094" w:type="dxa"/>
            <w:tcBorders>
              <w:top w:val="nil"/>
              <w:left w:val="nil"/>
              <w:bottom w:val="single" w:sz="4" w:space="0" w:color="000000" w:themeColor="text1"/>
              <w:right w:val="nil"/>
            </w:tcBorders>
            <w:shd w:val="clear" w:color="000000" w:fill="FFFFFF"/>
            <w:vAlign w:val="center"/>
            <w:hideMark/>
          </w:tcPr>
          <w:p w14:paraId="13BE24AF" w14:textId="77777777" w:rsidR="00BC3F1A" w:rsidRPr="00D1557C" w:rsidRDefault="00BC3F1A" w:rsidP="00816CB0">
            <w:pPr>
              <w:pStyle w:val="TableTextRight"/>
              <w:ind w:left="-57"/>
            </w:pPr>
            <w:r w:rsidRPr="00D1557C">
              <w:rPr>
                <w:rFonts w:eastAsiaTheme="minorEastAsia"/>
              </w:rPr>
              <w:t>675,000</w:t>
            </w:r>
          </w:p>
        </w:tc>
        <w:tc>
          <w:tcPr>
            <w:tcW w:w="1094" w:type="dxa"/>
            <w:tcBorders>
              <w:top w:val="nil"/>
              <w:left w:val="nil"/>
              <w:bottom w:val="single" w:sz="4" w:space="0" w:color="000000" w:themeColor="text1"/>
              <w:right w:val="nil"/>
            </w:tcBorders>
            <w:shd w:val="clear" w:color="000000" w:fill="FFFFFF"/>
            <w:vAlign w:val="center"/>
            <w:hideMark/>
          </w:tcPr>
          <w:p w14:paraId="0092034D" w14:textId="77777777" w:rsidR="00BC3F1A" w:rsidRPr="00D1557C" w:rsidRDefault="00BC3F1A" w:rsidP="00816CB0">
            <w:pPr>
              <w:pStyle w:val="TableTextRight"/>
              <w:ind w:left="-57"/>
            </w:pPr>
            <w:r w:rsidRPr="00D1557C">
              <w:rPr>
                <w:rFonts w:eastAsiaTheme="minorEastAsia"/>
              </w:rPr>
              <w:t>675,000</w:t>
            </w:r>
          </w:p>
        </w:tc>
        <w:tc>
          <w:tcPr>
            <w:tcW w:w="1094" w:type="dxa"/>
            <w:tcBorders>
              <w:top w:val="nil"/>
              <w:left w:val="nil"/>
              <w:bottom w:val="single" w:sz="4" w:space="0" w:color="000000" w:themeColor="text1"/>
              <w:right w:val="nil"/>
            </w:tcBorders>
            <w:shd w:val="clear" w:color="000000" w:fill="FFFFFF"/>
            <w:vAlign w:val="center"/>
            <w:hideMark/>
          </w:tcPr>
          <w:p w14:paraId="7C955D83" w14:textId="77777777" w:rsidR="00BC3F1A" w:rsidRPr="00D1557C" w:rsidRDefault="00BC3F1A" w:rsidP="00816CB0">
            <w:pPr>
              <w:pStyle w:val="TableTextRight"/>
              <w:ind w:left="-57"/>
            </w:pPr>
            <w:r w:rsidRPr="00D1557C">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093161CE" w14:textId="77777777" w:rsidR="00BC3F1A" w:rsidRPr="00D1557C" w:rsidRDefault="00BC3F1A" w:rsidP="00816CB0">
            <w:pPr>
              <w:pStyle w:val="TableTextRight"/>
              <w:ind w:left="-57"/>
            </w:pPr>
            <w:r w:rsidRPr="00D1557C">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4681DA67" w14:textId="77777777" w:rsidR="00BC3F1A" w:rsidRPr="00D1557C" w:rsidRDefault="00BC3F1A" w:rsidP="00816CB0">
            <w:pPr>
              <w:pStyle w:val="TableTextRight"/>
              <w:ind w:left="-57"/>
            </w:pPr>
            <w:r w:rsidRPr="00D1557C">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7EA46E97" w14:textId="77777777" w:rsidR="00BC3F1A" w:rsidRPr="00D1557C" w:rsidRDefault="00BC3F1A" w:rsidP="00816CB0">
            <w:pPr>
              <w:pStyle w:val="TableTextRight"/>
              <w:ind w:left="-57"/>
            </w:pPr>
            <w:r w:rsidRPr="00D1557C">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05339A82" w14:textId="77777777" w:rsidR="00BC3F1A" w:rsidRPr="00D1557C" w:rsidRDefault="00BC3F1A" w:rsidP="00816CB0">
            <w:pPr>
              <w:pStyle w:val="TableTextRight"/>
              <w:ind w:left="-57"/>
            </w:pPr>
            <w:r w:rsidRPr="00D1557C">
              <w:rPr>
                <w:rFonts w:eastAsiaTheme="minorEastAsia"/>
              </w:rPr>
              <w:t>750,000</w:t>
            </w:r>
          </w:p>
        </w:tc>
      </w:tr>
    </w:tbl>
    <w:p w14:paraId="508E5ACB" w14:textId="2633280B" w:rsidR="00BC3F1A" w:rsidRPr="00E80550" w:rsidRDefault="00550818" w:rsidP="00E80550">
      <w:pPr>
        <w:pStyle w:val="ChartorTableNote"/>
        <w:spacing w:after="0"/>
        <w:ind w:left="0" w:firstLine="0"/>
      </w:pPr>
      <w:r w:rsidRPr="00E80550">
        <w:t xml:space="preserve">Source: Various State Governments. </w:t>
      </w:r>
      <w:r w:rsidR="00BC3F1A" w:rsidRPr="00E80550">
        <w:t>Note: Financial year commences from 1 July the previous year (</w:t>
      </w:r>
      <w:r w:rsidR="00645CFF" w:rsidRPr="00E80550">
        <w:t>that is,</w:t>
      </w:r>
      <w:r w:rsidR="00BC3F1A" w:rsidRPr="00E80550">
        <w:t xml:space="preserve"> financial year 2001-02 is from 1 July 2001 to 30 June 2002).</w:t>
      </w:r>
    </w:p>
    <w:p w14:paraId="089B8C6F" w14:textId="77777777" w:rsidR="00816CB0" w:rsidRDefault="00816CB0" w:rsidP="00816CB0">
      <w:pPr>
        <w:pStyle w:val="SingleParagraph"/>
      </w:pPr>
    </w:p>
    <w:p w14:paraId="0E206646" w14:textId="6920E494" w:rsidR="00BC3F1A" w:rsidRPr="00816CB0" w:rsidRDefault="00627470" w:rsidP="00816CB0">
      <w:pPr>
        <w:pStyle w:val="TableMainHeading"/>
      </w:pPr>
      <w:r w:rsidRPr="00816CB0">
        <w:t>Table A2: Thresholds ($) from financial year 2008-09 to 2014-15</w:t>
      </w:r>
    </w:p>
    <w:tbl>
      <w:tblPr>
        <w:tblW w:w="9467" w:type="dxa"/>
        <w:tblLayout w:type="fixed"/>
        <w:tblLook w:val="04A0" w:firstRow="1" w:lastRow="0" w:firstColumn="1" w:lastColumn="0" w:noHBand="0" w:noVBand="1"/>
      </w:tblPr>
      <w:tblGrid>
        <w:gridCol w:w="1809"/>
        <w:gridCol w:w="1094"/>
        <w:gridCol w:w="1094"/>
        <w:gridCol w:w="1094"/>
        <w:gridCol w:w="1094"/>
        <w:gridCol w:w="1094"/>
        <w:gridCol w:w="1094"/>
        <w:gridCol w:w="1094"/>
      </w:tblGrid>
      <w:tr w:rsidR="00877FE2" w:rsidRPr="008E4DD9" w14:paraId="3E965C41" w14:textId="77777777" w:rsidTr="00E80550">
        <w:trPr>
          <w:trHeight w:val="298"/>
        </w:trPr>
        <w:tc>
          <w:tcPr>
            <w:tcW w:w="1809"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55F6920F" w14:textId="77777777" w:rsidR="00877FE2" w:rsidRPr="008E4DD9" w:rsidRDefault="00877FE2" w:rsidP="00A1600C">
            <w:pPr>
              <w:pStyle w:val="TableColumnHeadingLeft"/>
            </w:pPr>
            <w:r w:rsidRPr="008E4DD9">
              <w:t>State</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6F4E3AF7" w14:textId="77777777" w:rsidR="00877FE2" w:rsidRPr="008E4DD9" w:rsidRDefault="00877FE2" w:rsidP="00816CB0">
            <w:pPr>
              <w:pStyle w:val="TableColumnHeadingRight"/>
            </w:pPr>
            <w:r w:rsidRPr="008E4DD9">
              <w:t>2008-09</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2738F6B1" w14:textId="77777777" w:rsidR="00877FE2" w:rsidRPr="008E4DD9" w:rsidRDefault="00877FE2" w:rsidP="00816CB0">
            <w:pPr>
              <w:pStyle w:val="TableColumnHeadingRight"/>
            </w:pPr>
            <w:r w:rsidRPr="008E4DD9">
              <w:t>2009-10</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4F5C996D" w14:textId="77777777" w:rsidR="00877FE2" w:rsidRPr="008E4DD9" w:rsidRDefault="00877FE2" w:rsidP="00816CB0">
            <w:pPr>
              <w:pStyle w:val="TableColumnHeadingRight"/>
            </w:pPr>
            <w:r w:rsidRPr="008E4DD9">
              <w:t>2010-11</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2E76BC1F" w14:textId="77777777" w:rsidR="00877FE2" w:rsidRPr="008E4DD9" w:rsidRDefault="00877FE2" w:rsidP="00816CB0">
            <w:pPr>
              <w:pStyle w:val="TableColumnHeadingRight"/>
            </w:pPr>
            <w:r w:rsidRPr="008E4DD9">
              <w:t>2011-12</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C1BBCB8" w14:textId="77777777" w:rsidR="00877FE2" w:rsidRPr="008E4DD9" w:rsidRDefault="00877FE2" w:rsidP="00816CB0">
            <w:pPr>
              <w:pStyle w:val="TableColumnHeadingRight"/>
            </w:pPr>
            <w:r w:rsidRPr="008E4DD9">
              <w:t>2012-13</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6F238EF2" w14:textId="77777777" w:rsidR="00877FE2" w:rsidRPr="008E4DD9" w:rsidRDefault="00877FE2" w:rsidP="00816CB0">
            <w:pPr>
              <w:pStyle w:val="TableColumnHeadingRight"/>
            </w:pPr>
            <w:r w:rsidRPr="008E4DD9">
              <w:t>2013-14</w:t>
            </w:r>
          </w:p>
        </w:tc>
        <w:tc>
          <w:tcPr>
            <w:tcW w:w="1094" w:type="dxa"/>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422FCB48" w14:textId="77777777" w:rsidR="00877FE2" w:rsidRPr="008E4DD9" w:rsidRDefault="00877FE2" w:rsidP="00816CB0">
            <w:pPr>
              <w:pStyle w:val="TableColumnHeadingRight"/>
            </w:pPr>
            <w:r w:rsidRPr="008E4DD9">
              <w:t>2014-15</w:t>
            </w:r>
          </w:p>
        </w:tc>
      </w:tr>
      <w:tr w:rsidR="00877FE2" w:rsidRPr="008E4DD9" w14:paraId="3AE407C5" w14:textId="77777777" w:rsidTr="00816CB0">
        <w:trPr>
          <w:trHeight w:val="298"/>
        </w:trPr>
        <w:tc>
          <w:tcPr>
            <w:tcW w:w="1809" w:type="dxa"/>
            <w:tcBorders>
              <w:top w:val="single" w:sz="8" w:space="0" w:color="000000" w:themeColor="text1"/>
              <w:left w:val="nil"/>
              <w:right w:val="nil"/>
            </w:tcBorders>
            <w:shd w:val="clear" w:color="000000" w:fill="FFFFFF"/>
            <w:vAlign w:val="center"/>
            <w:hideMark/>
          </w:tcPr>
          <w:p w14:paraId="295DEDF3" w14:textId="77777777" w:rsidR="00877FE2" w:rsidRPr="008E4DD9" w:rsidRDefault="00877FE2" w:rsidP="00A1600C">
            <w:pPr>
              <w:pStyle w:val="Tabletextleft0"/>
            </w:pPr>
            <w:r>
              <w:rPr>
                <w:rFonts w:eastAsiaTheme="minorEastAsia"/>
              </w:rPr>
              <w:t>New South Wales</w:t>
            </w:r>
          </w:p>
        </w:tc>
        <w:tc>
          <w:tcPr>
            <w:tcW w:w="1094" w:type="dxa"/>
            <w:tcBorders>
              <w:top w:val="single" w:sz="8" w:space="0" w:color="000000" w:themeColor="text1"/>
              <w:left w:val="nil"/>
              <w:right w:val="nil"/>
            </w:tcBorders>
            <w:shd w:val="clear" w:color="000000" w:fill="FFFFFF"/>
            <w:vAlign w:val="center"/>
            <w:hideMark/>
          </w:tcPr>
          <w:p w14:paraId="137E4FEF" w14:textId="77777777" w:rsidR="00877FE2" w:rsidRPr="008E4DD9" w:rsidRDefault="00877FE2" w:rsidP="00816CB0">
            <w:pPr>
              <w:pStyle w:val="TableTextRight"/>
              <w:ind w:left="-57"/>
            </w:pPr>
            <w:r w:rsidRPr="008E4DD9">
              <w:rPr>
                <w:rFonts w:eastAsiaTheme="minorEastAsia"/>
              </w:rPr>
              <w:t>623,000</w:t>
            </w:r>
          </w:p>
        </w:tc>
        <w:tc>
          <w:tcPr>
            <w:tcW w:w="1094" w:type="dxa"/>
            <w:tcBorders>
              <w:top w:val="single" w:sz="8" w:space="0" w:color="000000" w:themeColor="text1"/>
              <w:left w:val="nil"/>
              <w:right w:val="nil"/>
            </w:tcBorders>
            <w:shd w:val="clear" w:color="000000" w:fill="FFFFFF"/>
            <w:vAlign w:val="center"/>
            <w:hideMark/>
          </w:tcPr>
          <w:p w14:paraId="6FCD3054" w14:textId="77777777" w:rsidR="00877FE2" w:rsidRPr="008E4DD9" w:rsidRDefault="00877FE2" w:rsidP="00816CB0">
            <w:pPr>
              <w:pStyle w:val="TableTextRight"/>
              <w:ind w:left="-57"/>
            </w:pPr>
            <w:r w:rsidRPr="008E4DD9">
              <w:rPr>
                <w:rFonts w:eastAsiaTheme="minorEastAsia"/>
              </w:rPr>
              <w:t>638,000</w:t>
            </w:r>
          </w:p>
        </w:tc>
        <w:tc>
          <w:tcPr>
            <w:tcW w:w="1094" w:type="dxa"/>
            <w:tcBorders>
              <w:top w:val="single" w:sz="8" w:space="0" w:color="000000" w:themeColor="text1"/>
              <w:left w:val="nil"/>
              <w:right w:val="nil"/>
            </w:tcBorders>
            <w:shd w:val="clear" w:color="000000" w:fill="FFFFFF"/>
            <w:vAlign w:val="center"/>
            <w:hideMark/>
          </w:tcPr>
          <w:p w14:paraId="2DC402AC" w14:textId="77777777" w:rsidR="00877FE2" w:rsidRPr="008E4DD9" w:rsidRDefault="00877FE2" w:rsidP="00816CB0">
            <w:pPr>
              <w:pStyle w:val="TableTextRight"/>
              <w:ind w:left="-57"/>
            </w:pPr>
            <w:r w:rsidRPr="008E4DD9">
              <w:rPr>
                <w:rFonts w:eastAsiaTheme="minorEastAsia"/>
              </w:rPr>
              <w:t>658,000</w:t>
            </w:r>
          </w:p>
        </w:tc>
        <w:tc>
          <w:tcPr>
            <w:tcW w:w="1094" w:type="dxa"/>
            <w:tcBorders>
              <w:top w:val="single" w:sz="8" w:space="0" w:color="000000" w:themeColor="text1"/>
              <w:left w:val="nil"/>
              <w:right w:val="nil"/>
            </w:tcBorders>
            <w:shd w:val="clear" w:color="000000" w:fill="FFFFFF"/>
            <w:vAlign w:val="center"/>
            <w:hideMark/>
          </w:tcPr>
          <w:p w14:paraId="53A75993" w14:textId="77777777" w:rsidR="00877FE2" w:rsidRPr="008E4DD9" w:rsidRDefault="00877FE2" w:rsidP="00816CB0">
            <w:pPr>
              <w:pStyle w:val="TableTextRight"/>
              <w:ind w:left="-57"/>
            </w:pPr>
            <w:r w:rsidRPr="008E4DD9">
              <w:rPr>
                <w:rFonts w:eastAsiaTheme="minorEastAsia"/>
              </w:rPr>
              <w:t>678,000</w:t>
            </w:r>
          </w:p>
        </w:tc>
        <w:tc>
          <w:tcPr>
            <w:tcW w:w="1094" w:type="dxa"/>
            <w:tcBorders>
              <w:top w:val="single" w:sz="8" w:space="0" w:color="000000" w:themeColor="text1"/>
              <w:left w:val="nil"/>
              <w:right w:val="nil"/>
            </w:tcBorders>
            <w:shd w:val="clear" w:color="000000" w:fill="FFFFFF"/>
            <w:vAlign w:val="center"/>
            <w:hideMark/>
          </w:tcPr>
          <w:p w14:paraId="5624351E" w14:textId="77777777" w:rsidR="00877FE2" w:rsidRPr="008E4DD9" w:rsidRDefault="00877FE2" w:rsidP="00816CB0">
            <w:pPr>
              <w:pStyle w:val="TableTextRight"/>
              <w:ind w:left="-57"/>
            </w:pPr>
            <w:r w:rsidRPr="008E4DD9">
              <w:rPr>
                <w:rFonts w:eastAsiaTheme="minorEastAsia"/>
              </w:rPr>
              <w:t>689,000</w:t>
            </w:r>
          </w:p>
        </w:tc>
        <w:tc>
          <w:tcPr>
            <w:tcW w:w="1094" w:type="dxa"/>
            <w:tcBorders>
              <w:top w:val="single" w:sz="8" w:space="0" w:color="000000" w:themeColor="text1"/>
              <w:left w:val="nil"/>
              <w:right w:val="nil"/>
            </w:tcBorders>
            <w:shd w:val="clear" w:color="000000" w:fill="FFFFFF"/>
            <w:vAlign w:val="center"/>
            <w:hideMark/>
          </w:tcPr>
          <w:p w14:paraId="46169C23" w14:textId="77777777" w:rsidR="00877FE2" w:rsidRPr="008E4DD9" w:rsidRDefault="00877FE2" w:rsidP="00816CB0">
            <w:pPr>
              <w:pStyle w:val="TableTextRight"/>
              <w:ind w:left="-57"/>
            </w:pPr>
            <w:r w:rsidRPr="008E4DD9">
              <w:rPr>
                <w:rFonts w:eastAsiaTheme="minorEastAsia"/>
              </w:rPr>
              <w:t>750,000</w:t>
            </w:r>
          </w:p>
        </w:tc>
        <w:tc>
          <w:tcPr>
            <w:tcW w:w="1094" w:type="dxa"/>
            <w:tcBorders>
              <w:top w:val="single" w:sz="8" w:space="0" w:color="000000" w:themeColor="text1"/>
              <w:left w:val="nil"/>
              <w:right w:val="nil"/>
            </w:tcBorders>
            <w:shd w:val="clear" w:color="000000" w:fill="FFFFFF"/>
            <w:vAlign w:val="center"/>
            <w:hideMark/>
          </w:tcPr>
          <w:p w14:paraId="6C70B531" w14:textId="77777777" w:rsidR="00877FE2" w:rsidRPr="008E4DD9" w:rsidRDefault="00877FE2" w:rsidP="00816CB0">
            <w:pPr>
              <w:pStyle w:val="TableTextRight"/>
              <w:ind w:left="-57"/>
            </w:pPr>
            <w:r w:rsidRPr="008E4DD9">
              <w:rPr>
                <w:rFonts w:eastAsiaTheme="minorEastAsia"/>
              </w:rPr>
              <w:t>750,000</w:t>
            </w:r>
          </w:p>
        </w:tc>
      </w:tr>
      <w:tr w:rsidR="00877FE2" w:rsidRPr="008E4DD9" w14:paraId="4C05529E" w14:textId="77777777" w:rsidTr="00E80550">
        <w:trPr>
          <w:trHeight w:val="298"/>
        </w:trPr>
        <w:tc>
          <w:tcPr>
            <w:tcW w:w="1809" w:type="dxa"/>
            <w:tcBorders>
              <w:top w:val="nil"/>
              <w:left w:val="nil"/>
              <w:right w:val="nil"/>
            </w:tcBorders>
            <w:shd w:val="clear" w:color="auto" w:fill="F2F2F2" w:themeFill="background1" w:themeFillShade="F2"/>
            <w:vAlign w:val="center"/>
            <w:hideMark/>
          </w:tcPr>
          <w:p w14:paraId="590AEADB" w14:textId="77777777" w:rsidR="00877FE2" w:rsidRPr="008E4DD9" w:rsidRDefault="00877FE2" w:rsidP="00A1600C">
            <w:pPr>
              <w:pStyle w:val="Tabletextleft0"/>
            </w:pPr>
            <w:r>
              <w:rPr>
                <w:rFonts w:eastAsiaTheme="minorEastAsia"/>
              </w:rPr>
              <w:t>Northern Territory</w:t>
            </w:r>
          </w:p>
        </w:tc>
        <w:tc>
          <w:tcPr>
            <w:tcW w:w="1094" w:type="dxa"/>
            <w:tcBorders>
              <w:top w:val="nil"/>
              <w:left w:val="nil"/>
              <w:right w:val="nil"/>
            </w:tcBorders>
            <w:shd w:val="clear" w:color="auto" w:fill="F2F2F2" w:themeFill="background1" w:themeFillShade="F2"/>
            <w:vAlign w:val="center"/>
            <w:hideMark/>
          </w:tcPr>
          <w:p w14:paraId="12E0A8AE" w14:textId="77777777" w:rsidR="00877FE2" w:rsidRPr="008E4DD9" w:rsidRDefault="00877FE2" w:rsidP="00816CB0">
            <w:pPr>
              <w:pStyle w:val="TableTextRight"/>
              <w:ind w:left="-57"/>
            </w:pPr>
            <w:r w:rsidRPr="008E4DD9">
              <w:rPr>
                <w:rFonts w:eastAsiaTheme="minorEastAsia"/>
              </w:rPr>
              <w:t>1,250,000</w:t>
            </w:r>
          </w:p>
        </w:tc>
        <w:tc>
          <w:tcPr>
            <w:tcW w:w="1094" w:type="dxa"/>
            <w:tcBorders>
              <w:top w:val="nil"/>
              <w:left w:val="nil"/>
              <w:right w:val="nil"/>
            </w:tcBorders>
            <w:shd w:val="clear" w:color="auto" w:fill="F2F2F2" w:themeFill="background1" w:themeFillShade="F2"/>
            <w:vAlign w:val="center"/>
            <w:hideMark/>
          </w:tcPr>
          <w:p w14:paraId="4FB3DBE0" w14:textId="77777777" w:rsidR="00877FE2" w:rsidRPr="008E4DD9" w:rsidRDefault="00877FE2" w:rsidP="00816CB0">
            <w:pPr>
              <w:pStyle w:val="TableTextRight"/>
              <w:ind w:left="-57"/>
            </w:pPr>
            <w:r w:rsidRPr="008E4DD9">
              <w:rPr>
                <w:rFonts w:eastAsiaTheme="minorEastAsia"/>
              </w:rPr>
              <w:t>1,250,000</w:t>
            </w:r>
          </w:p>
        </w:tc>
        <w:tc>
          <w:tcPr>
            <w:tcW w:w="1094" w:type="dxa"/>
            <w:tcBorders>
              <w:top w:val="nil"/>
              <w:left w:val="nil"/>
              <w:right w:val="nil"/>
            </w:tcBorders>
            <w:shd w:val="clear" w:color="auto" w:fill="F2F2F2" w:themeFill="background1" w:themeFillShade="F2"/>
            <w:vAlign w:val="center"/>
            <w:hideMark/>
          </w:tcPr>
          <w:p w14:paraId="4206F0D9" w14:textId="77777777" w:rsidR="00877FE2" w:rsidRPr="008E4DD9" w:rsidRDefault="00877FE2" w:rsidP="00816CB0">
            <w:pPr>
              <w:pStyle w:val="TableTextRight"/>
              <w:ind w:left="-57"/>
            </w:pPr>
            <w:r w:rsidRPr="008E4DD9">
              <w:rPr>
                <w:rFonts w:eastAsiaTheme="minorEastAsia"/>
              </w:rPr>
              <w:t>1,250,000</w:t>
            </w:r>
          </w:p>
        </w:tc>
        <w:tc>
          <w:tcPr>
            <w:tcW w:w="1094" w:type="dxa"/>
            <w:tcBorders>
              <w:top w:val="nil"/>
              <w:left w:val="nil"/>
              <w:right w:val="nil"/>
            </w:tcBorders>
            <w:shd w:val="clear" w:color="auto" w:fill="F2F2F2" w:themeFill="background1" w:themeFillShade="F2"/>
            <w:vAlign w:val="center"/>
            <w:hideMark/>
          </w:tcPr>
          <w:p w14:paraId="1F5291D2" w14:textId="77777777" w:rsidR="00877FE2" w:rsidRPr="008E4DD9" w:rsidRDefault="00877FE2" w:rsidP="00816CB0">
            <w:pPr>
              <w:pStyle w:val="TableTextRight"/>
              <w:ind w:left="-57"/>
            </w:pPr>
            <w:r w:rsidRPr="008E4DD9">
              <w:rPr>
                <w:rFonts w:eastAsiaTheme="minorEastAsia"/>
              </w:rPr>
              <w:t>1,500,000</w:t>
            </w:r>
          </w:p>
        </w:tc>
        <w:tc>
          <w:tcPr>
            <w:tcW w:w="1094" w:type="dxa"/>
            <w:tcBorders>
              <w:top w:val="nil"/>
              <w:left w:val="nil"/>
              <w:right w:val="nil"/>
            </w:tcBorders>
            <w:shd w:val="clear" w:color="auto" w:fill="F2F2F2" w:themeFill="background1" w:themeFillShade="F2"/>
            <w:vAlign w:val="center"/>
            <w:hideMark/>
          </w:tcPr>
          <w:p w14:paraId="3DB0E8BA" w14:textId="77777777" w:rsidR="00877FE2" w:rsidRPr="008E4DD9" w:rsidRDefault="00877FE2" w:rsidP="00816CB0">
            <w:pPr>
              <w:pStyle w:val="TableTextRight"/>
              <w:ind w:left="-57"/>
            </w:pPr>
            <w:r w:rsidRPr="008E4DD9">
              <w:rPr>
                <w:rFonts w:eastAsiaTheme="minorEastAsia"/>
              </w:rPr>
              <w:t>1,500,000</w:t>
            </w:r>
          </w:p>
        </w:tc>
        <w:tc>
          <w:tcPr>
            <w:tcW w:w="1094" w:type="dxa"/>
            <w:tcBorders>
              <w:top w:val="nil"/>
              <w:left w:val="nil"/>
              <w:right w:val="nil"/>
            </w:tcBorders>
            <w:shd w:val="clear" w:color="auto" w:fill="F2F2F2" w:themeFill="background1" w:themeFillShade="F2"/>
            <w:vAlign w:val="center"/>
            <w:hideMark/>
          </w:tcPr>
          <w:p w14:paraId="46DCED54" w14:textId="77777777" w:rsidR="00877FE2" w:rsidRPr="008E4DD9" w:rsidRDefault="00877FE2" w:rsidP="00816CB0">
            <w:pPr>
              <w:pStyle w:val="TableTextRight"/>
              <w:ind w:left="-57"/>
            </w:pPr>
            <w:r w:rsidRPr="008E4DD9">
              <w:rPr>
                <w:rFonts w:eastAsiaTheme="minorEastAsia"/>
              </w:rPr>
              <w:t>1,500,000</w:t>
            </w:r>
          </w:p>
        </w:tc>
        <w:tc>
          <w:tcPr>
            <w:tcW w:w="1094" w:type="dxa"/>
            <w:tcBorders>
              <w:top w:val="nil"/>
              <w:left w:val="nil"/>
              <w:right w:val="nil"/>
            </w:tcBorders>
            <w:shd w:val="clear" w:color="auto" w:fill="F2F2F2" w:themeFill="background1" w:themeFillShade="F2"/>
            <w:vAlign w:val="center"/>
            <w:hideMark/>
          </w:tcPr>
          <w:p w14:paraId="24898D7A" w14:textId="77777777" w:rsidR="00877FE2" w:rsidRPr="008E4DD9" w:rsidRDefault="00877FE2" w:rsidP="00816CB0">
            <w:pPr>
              <w:pStyle w:val="TableTextRight"/>
              <w:ind w:left="-57"/>
            </w:pPr>
            <w:r w:rsidRPr="008E4DD9">
              <w:rPr>
                <w:rFonts w:eastAsiaTheme="minorEastAsia"/>
              </w:rPr>
              <w:t>1,500,000</w:t>
            </w:r>
          </w:p>
        </w:tc>
      </w:tr>
      <w:tr w:rsidR="00877FE2" w:rsidRPr="008E4DD9" w14:paraId="40205DC7" w14:textId="77777777" w:rsidTr="00816CB0">
        <w:trPr>
          <w:trHeight w:val="298"/>
        </w:trPr>
        <w:tc>
          <w:tcPr>
            <w:tcW w:w="1809" w:type="dxa"/>
            <w:tcBorders>
              <w:left w:val="nil"/>
              <w:bottom w:val="nil"/>
              <w:right w:val="nil"/>
            </w:tcBorders>
            <w:shd w:val="clear" w:color="000000" w:fill="FFFFFF"/>
            <w:vAlign w:val="center"/>
            <w:hideMark/>
          </w:tcPr>
          <w:p w14:paraId="033F5450" w14:textId="77777777" w:rsidR="00877FE2" w:rsidRPr="008E4DD9" w:rsidRDefault="00877FE2" w:rsidP="00A1600C">
            <w:pPr>
              <w:pStyle w:val="Tabletextleft0"/>
            </w:pPr>
            <w:r>
              <w:rPr>
                <w:rFonts w:eastAsiaTheme="minorEastAsia"/>
              </w:rPr>
              <w:t>Queensland</w:t>
            </w:r>
          </w:p>
        </w:tc>
        <w:tc>
          <w:tcPr>
            <w:tcW w:w="1094" w:type="dxa"/>
            <w:tcBorders>
              <w:left w:val="nil"/>
              <w:bottom w:val="nil"/>
              <w:right w:val="nil"/>
            </w:tcBorders>
            <w:shd w:val="clear" w:color="000000" w:fill="FFFFFF"/>
            <w:vAlign w:val="center"/>
            <w:hideMark/>
          </w:tcPr>
          <w:p w14:paraId="2F923D88" w14:textId="77777777" w:rsidR="00877FE2" w:rsidRPr="008E4DD9" w:rsidRDefault="00877FE2" w:rsidP="00816CB0">
            <w:pPr>
              <w:pStyle w:val="TableTextRight"/>
              <w:ind w:left="-57"/>
            </w:pPr>
            <w:r w:rsidRPr="008E4DD9">
              <w:rPr>
                <w:rFonts w:eastAsiaTheme="minorEastAsia"/>
              </w:rPr>
              <w:t>1,000,000</w:t>
            </w:r>
          </w:p>
        </w:tc>
        <w:tc>
          <w:tcPr>
            <w:tcW w:w="1094" w:type="dxa"/>
            <w:tcBorders>
              <w:left w:val="nil"/>
              <w:bottom w:val="nil"/>
              <w:right w:val="nil"/>
            </w:tcBorders>
            <w:shd w:val="clear" w:color="000000" w:fill="FFFFFF"/>
            <w:vAlign w:val="center"/>
            <w:hideMark/>
          </w:tcPr>
          <w:p w14:paraId="184F544A" w14:textId="77777777" w:rsidR="00877FE2" w:rsidRPr="008E4DD9" w:rsidRDefault="00877FE2" w:rsidP="00816CB0">
            <w:pPr>
              <w:pStyle w:val="TableTextRight"/>
              <w:ind w:left="-57"/>
            </w:pPr>
            <w:r w:rsidRPr="008E4DD9">
              <w:rPr>
                <w:rFonts w:eastAsiaTheme="minorEastAsia"/>
              </w:rPr>
              <w:t>1,000,000</w:t>
            </w:r>
          </w:p>
        </w:tc>
        <w:tc>
          <w:tcPr>
            <w:tcW w:w="1094" w:type="dxa"/>
            <w:tcBorders>
              <w:left w:val="nil"/>
              <w:bottom w:val="nil"/>
              <w:right w:val="nil"/>
            </w:tcBorders>
            <w:shd w:val="clear" w:color="000000" w:fill="FFFFFF"/>
            <w:vAlign w:val="center"/>
            <w:hideMark/>
          </w:tcPr>
          <w:p w14:paraId="3661691C" w14:textId="77777777" w:rsidR="00877FE2" w:rsidRPr="008E4DD9" w:rsidRDefault="00877FE2" w:rsidP="00816CB0">
            <w:pPr>
              <w:pStyle w:val="TableTextRight"/>
              <w:ind w:left="-57"/>
            </w:pPr>
            <w:r w:rsidRPr="008E4DD9">
              <w:rPr>
                <w:rFonts w:eastAsiaTheme="minorEastAsia"/>
              </w:rPr>
              <w:t>1,000,000</w:t>
            </w:r>
          </w:p>
        </w:tc>
        <w:tc>
          <w:tcPr>
            <w:tcW w:w="1094" w:type="dxa"/>
            <w:tcBorders>
              <w:left w:val="nil"/>
              <w:bottom w:val="nil"/>
              <w:right w:val="nil"/>
            </w:tcBorders>
            <w:shd w:val="clear" w:color="000000" w:fill="FFFFFF"/>
            <w:vAlign w:val="center"/>
            <w:hideMark/>
          </w:tcPr>
          <w:p w14:paraId="520A22EC" w14:textId="77777777" w:rsidR="00877FE2" w:rsidRPr="008E4DD9" w:rsidRDefault="00877FE2" w:rsidP="00816CB0">
            <w:pPr>
              <w:pStyle w:val="TableTextRight"/>
              <w:ind w:left="-57"/>
            </w:pPr>
            <w:r w:rsidRPr="008E4DD9">
              <w:rPr>
                <w:rFonts w:eastAsiaTheme="minorEastAsia"/>
              </w:rPr>
              <w:t>1,000,000</w:t>
            </w:r>
          </w:p>
        </w:tc>
        <w:tc>
          <w:tcPr>
            <w:tcW w:w="1094" w:type="dxa"/>
            <w:tcBorders>
              <w:left w:val="nil"/>
              <w:bottom w:val="nil"/>
              <w:right w:val="nil"/>
            </w:tcBorders>
            <w:shd w:val="clear" w:color="000000" w:fill="FFFFFF"/>
            <w:vAlign w:val="center"/>
            <w:hideMark/>
          </w:tcPr>
          <w:p w14:paraId="69EAAA13" w14:textId="77777777" w:rsidR="00877FE2" w:rsidRPr="008E4DD9" w:rsidRDefault="00877FE2" w:rsidP="00816CB0">
            <w:pPr>
              <w:pStyle w:val="TableTextRight"/>
              <w:ind w:left="-57"/>
            </w:pPr>
            <w:r w:rsidRPr="008E4DD9">
              <w:rPr>
                <w:rFonts w:eastAsiaTheme="minorEastAsia"/>
              </w:rPr>
              <w:t>1,100,000</w:t>
            </w:r>
          </w:p>
        </w:tc>
        <w:tc>
          <w:tcPr>
            <w:tcW w:w="1094" w:type="dxa"/>
            <w:tcBorders>
              <w:left w:val="nil"/>
              <w:bottom w:val="nil"/>
              <w:right w:val="nil"/>
            </w:tcBorders>
            <w:shd w:val="clear" w:color="000000" w:fill="FFFFFF"/>
            <w:vAlign w:val="center"/>
            <w:hideMark/>
          </w:tcPr>
          <w:p w14:paraId="6A8B7BC8" w14:textId="77777777" w:rsidR="00877FE2" w:rsidRPr="008E4DD9" w:rsidRDefault="00877FE2" w:rsidP="00816CB0">
            <w:pPr>
              <w:pStyle w:val="TableTextRight"/>
              <w:ind w:left="-57"/>
            </w:pPr>
            <w:r w:rsidRPr="008E4DD9">
              <w:rPr>
                <w:rFonts w:eastAsiaTheme="minorEastAsia"/>
              </w:rPr>
              <w:t>1,100,000</w:t>
            </w:r>
          </w:p>
        </w:tc>
        <w:tc>
          <w:tcPr>
            <w:tcW w:w="1094" w:type="dxa"/>
            <w:tcBorders>
              <w:left w:val="nil"/>
              <w:bottom w:val="nil"/>
              <w:right w:val="nil"/>
            </w:tcBorders>
            <w:shd w:val="clear" w:color="000000" w:fill="FFFFFF"/>
            <w:vAlign w:val="center"/>
            <w:hideMark/>
          </w:tcPr>
          <w:p w14:paraId="0418A28B" w14:textId="77777777" w:rsidR="00877FE2" w:rsidRPr="008E4DD9" w:rsidRDefault="00877FE2" w:rsidP="00816CB0">
            <w:pPr>
              <w:pStyle w:val="TableTextRight"/>
              <w:ind w:left="-57"/>
            </w:pPr>
            <w:r w:rsidRPr="008E4DD9">
              <w:rPr>
                <w:rFonts w:eastAsiaTheme="minorEastAsia"/>
              </w:rPr>
              <w:t>1,100,000</w:t>
            </w:r>
          </w:p>
        </w:tc>
      </w:tr>
      <w:tr w:rsidR="00877FE2" w:rsidRPr="008E4DD9" w14:paraId="6FBEB286" w14:textId="77777777" w:rsidTr="00E80550">
        <w:trPr>
          <w:trHeight w:val="298"/>
        </w:trPr>
        <w:tc>
          <w:tcPr>
            <w:tcW w:w="1809" w:type="dxa"/>
            <w:tcBorders>
              <w:top w:val="nil"/>
              <w:left w:val="nil"/>
              <w:bottom w:val="nil"/>
              <w:right w:val="nil"/>
            </w:tcBorders>
            <w:shd w:val="clear" w:color="auto" w:fill="F2F2F2" w:themeFill="background1" w:themeFillShade="F2"/>
            <w:vAlign w:val="center"/>
            <w:hideMark/>
          </w:tcPr>
          <w:p w14:paraId="34BA665F" w14:textId="77777777" w:rsidR="00877FE2" w:rsidRPr="008E4DD9" w:rsidRDefault="00877FE2" w:rsidP="00A1600C">
            <w:pPr>
              <w:pStyle w:val="Tabletextleft0"/>
            </w:pPr>
            <w:r>
              <w:rPr>
                <w:rFonts w:eastAsiaTheme="minorEastAsia"/>
              </w:rPr>
              <w:t>South Australia</w:t>
            </w:r>
          </w:p>
        </w:tc>
        <w:tc>
          <w:tcPr>
            <w:tcW w:w="1094" w:type="dxa"/>
            <w:tcBorders>
              <w:top w:val="nil"/>
              <w:left w:val="nil"/>
              <w:bottom w:val="nil"/>
              <w:right w:val="nil"/>
            </w:tcBorders>
            <w:shd w:val="clear" w:color="auto" w:fill="F2F2F2" w:themeFill="background1" w:themeFillShade="F2"/>
            <w:vAlign w:val="center"/>
            <w:hideMark/>
          </w:tcPr>
          <w:p w14:paraId="6DF62480" w14:textId="77777777" w:rsidR="00877FE2" w:rsidRPr="008E4DD9" w:rsidRDefault="00877FE2" w:rsidP="00816CB0">
            <w:pPr>
              <w:pStyle w:val="TableTextRight"/>
              <w:ind w:left="-57"/>
            </w:pPr>
            <w:r w:rsidRPr="008E4DD9">
              <w:rPr>
                <w:rFonts w:eastAsiaTheme="minorEastAsia"/>
              </w:rPr>
              <w:t>552,000</w:t>
            </w:r>
          </w:p>
        </w:tc>
        <w:tc>
          <w:tcPr>
            <w:tcW w:w="1094" w:type="dxa"/>
            <w:tcBorders>
              <w:top w:val="nil"/>
              <w:left w:val="nil"/>
              <w:bottom w:val="nil"/>
              <w:right w:val="nil"/>
            </w:tcBorders>
            <w:shd w:val="clear" w:color="auto" w:fill="F2F2F2" w:themeFill="background1" w:themeFillShade="F2"/>
            <w:vAlign w:val="center"/>
            <w:hideMark/>
          </w:tcPr>
          <w:p w14:paraId="16E3221D" w14:textId="77777777" w:rsidR="00877FE2" w:rsidRPr="008E4DD9" w:rsidRDefault="00877FE2" w:rsidP="00816CB0">
            <w:pPr>
              <w:pStyle w:val="TableTextRight"/>
              <w:ind w:left="-57"/>
            </w:pPr>
            <w:r w:rsidRPr="008E4DD9">
              <w:rPr>
                <w:rFonts w:eastAsiaTheme="minorEastAsia"/>
              </w:rPr>
              <w:t>600,000</w:t>
            </w:r>
          </w:p>
        </w:tc>
        <w:tc>
          <w:tcPr>
            <w:tcW w:w="1094" w:type="dxa"/>
            <w:tcBorders>
              <w:top w:val="nil"/>
              <w:left w:val="nil"/>
              <w:bottom w:val="nil"/>
              <w:right w:val="nil"/>
            </w:tcBorders>
            <w:shd w:val="clear" w:color="auto" w:fill="F2F2F2" w:themeFill="background1" w:themeFillShade="F2"/>
            <w:vAlign w:val="center"/>
            <w:hideMark/>
          </w:tcPr>
          <w:p w14:paraId="22A05D52" w14:textId="77777777" w:rsidR="00877FE2" w:rsidRPr="008E4DD9" w:rsidRDefault="00877FE2" w:rsidP="00816CB0">
            <w:pPr>
              <w:pStyle w:val="TableTextRight"/>
              <w:ind w:left="-57"/>
            </w:pPr>
            <w:r w:rsidRPr="008E4DD9">
              <w:rPr>
                <w:rFonts w:eastAsiaTheme="minorEastAsia"/>
              </w:rPr>
              <w:t>600,000</w:t>
            </w:r>
          </w:p>
        </w:tc>
        <w:tc>
          <w:tcPr>
            <w:tcW w:w="1094" w:type="dxa"/>
            <w:tcBorders>
              <w:top w:val="nil"/>
              <w:left w:val="nil"/>
              <w:bottom w:val="nil"/>
              <w:right w:val="nil"/>
            </w:tcBorders>
            <w:shd w:val="clear" w:color="auto" w:fill="F2F2F2" w:themeFill="background1" w:themeFillShade="F2"/>
            <w:vAlign w:val="center"/>
            <w:hideMark/>
          </w:tcPr>
          <w:p w14:paraId="7D28E1C3" w14:textId="77777777" w:rsidR="00877FE2" w:rsidRPr="008E4DD9" w:rsidRDefault="00877FE2" w:rsidP="00816CB0">
            <w:pPr>
              <w:pStyle w:val="TableTextRight"/>
              <w:ind w:left="-57"/>
            </w:pPr>
            <w:r w:rsidRPr="008E4DD9">
              <w:rPr>
                <w:rFonts w:eastAsiaTheme="minorEastAsia"/>
              </w:rPr>
              <w:t>600,000</w:t>
            </w:r>
          </w:p>
        </w:tc>
        <w:tc>
          <w:tcPr>
            <w:tcW w:w="1094" w:type="dxa"/>
            <w:tcBorders>
              <w:top w:val="nil"/>
              <w:left w:val="nil"/>
              <w:bottom w:val="nil"/>
              <w:right w:val="nil"/>
            </w:tcBorders>
            <w:shd w:val="clear" w:color="auto" w:fill="F2F2F2" w:themeFill="background1" w:themeFillShade="F2"/>
            <w:vAlign w:val="center"/>
            <w:hideMark/>
          </w:tcPr>
          <w:p w14:paraId="2469E0EA" w14:textId="77777777" w:rsidR="00877FE2" w:rsidRPr="008E4DD9" w:rsidRDefault="00877FE2" w:rsidP="00816CB0">
            <w:pPr>
              <w:pStyle w:val="TableTextRight"/>
              <w:ind w:left="-57"/>
            </w:pPr>
            <w:r w:rsidRPr="008E4DD9">
              <w:rPr>
                <w:rFonts w:eastAsiaTheme="minorEastAsia"/>
              </w:rPr>
              <w:t>600,000</w:t>
            </w:r>
          </w:p>
        </w:tc>
        <w:tc>
          <w:tcPr>
            <w:tcW w:w="1094" w:type="dxa"/>
            <w:tcBorders>
              <w:top w:val="nil"/>
              <w:left w:val="nil"/>
              <w:bottom w:val="nil"/>
              <w:right w:val="nil"/>
            </w:tcBorders>
            <w:shd w:val="clear" w:color="auto" w:fill="F2F2F2" w:themeFill="background1" w:themeFillShade="F2"/>
            <w:vAlign w:val="center"/>
            <w:hideMark/>
          </w:tcPr>
          <w:p w14:paraId="0CE63A37" w14:textId="77777777" w:rsidR="00877FE2" w:rsidRPr="008E4DD9" w:rsidRDefault="00877FE2" w:rsidP="00816CB0">
            <w:pPr>
              <w:pStyle w:val="TableTextRight"/>
              <w:ind w:left="-57"/>
            </w:pPr>
            <w:r w:rsidRPr="008E4DD9">
              <w:rPr>
                <w:rFonts w:eastAsiaTheme="minorEastAsia"/>
              </w:rPr>
              <w:t>600,000</w:t>
            </w:r>
          </w:p>
        </w:tc>
        <w:tc>
          <w:tcPr>
            <w:tcW w:w="1094" w:type="dxa"/>
            <w:tcBorders>
              <w:top w:val="nil"/>
              <w:left w:val="nil"/>
              <w:bottom w:val="nil"/>
              <w:right w:val="nil"/>
            </w:tcBorders>
            <w:shd w:val="clear" w:color="auto" w:fill="F2F2F2" w:themeFill="background1" w:themeFillShade="F2"/>
            <w:vAlign w:val="center"/>
            <w:hideMark/>
          </w:tcPr>
          <w:p w14:paraId="77541536" w14:textId="77777777" w:rsidR="00877FE2" w:rsidRPr="008E4DD9" w:rsidRDefault="00877FE2" w:rsidP="00816CB0">
            <w:pPr>
              <w:pStyle w:val="TableTextRight"/>
              <w:ind w:left="-57"/>
            </w:pPr>
            <w:r w:rsidRPr="008E4DD9">
              <w:rPr>
                <w:rFonts w:eastAsiaTheme="minorEastAsia"/>
              </w:rPr>
              <w:t>600,000</w:t>
            </w:r>
          </w:p>
        </w:tc>
      </w:tr>
      <w:tr w:rsidR="00877FE2" w:rsidRPr="008E4DD9" w14:paraId="3E70FA48" w14:textId="77777777" w:rsidTr="00816CB0">
        <w:trPr>
          <w:trHeight w:val="298"/>
        </w:trPr>
        <w:tc>
          <w:tcPr>
            <w:tcW w:w="1809" w:type="dxa"/>
            <w:tcBorders>
              <w:top w:val="nil"/>
              <w:left w:val="nil"/>
              <w:right w:val="nil"/>
            </w:tcBorders>
            <w:shd w:val="clear" w:color="000000" w:fill="FFFFFF"/>
            <w:vAlign w:val="center"/>
            <w:hideMark/>
          </w:tcPr>
          <w:p w14:paraId="01D3ACE7" w14:textId="77777777" w:rsidR="00877FE2" w:rsidRPr="008E4DD9" w:rsidRDefault="00877FE2" w:rsidP="00A1600C">
            <w:pPr>
              <w:pStyle w:val="Tabletextleft0"/>
            </w:pPr>
            <w:r>
              <w:rPr>
                <w:rFonts w:eastAsiaTheme="minorEastAsia"/>
              </w:rPr>
              <w:t>Tasmania</w:t>
            </w:r>
          </w:p>
        </w:tc>
        <w:tc>
          <w:tcPr>
            <w:tcW w:w="1094" w:type="dxa"/>
            <w:tcBorders>
              <w:top w:val="nil"/>
              <w:left w:val="nil"/>
              <w:right w:val="nil"/>
            </w:tcBorders>
            <w:shd w:val="clear" w:color="000000" w:fill="FFFFFF"/>
            <w:vAlign w:val="center"/>
            <w:hideMark/>
          </w:tcPr>
          <w:p w14:paraId="309CD4E3" w14:textId="77777777" w:rsidR="00877FE2" w:rsidRPr="008E4DD9" w:rsidRDefault="00877FE2" w:rsidP="00816CB0">
            <w:pPr>
              <w:pStyle w:val="TableTextRight"/>
              <w:ind w:left="-57"/>
            </w:pPr>
            <w:r w:rsidRPr="008E4DD9">
              <w:rPr>
                <w:rFonts w:eastAsiaTheme="minorEastAsia"/>
              </w:rPr>
              <w:t>1,010,000</w:t>
            </w:r>
          </w:p>
        </w:tc>
        <w:tc>
          <w:tcPr>
            <w:tcW w:w="1094" w:type="dxa"/>
            <w:tcBorders>
              <w:top w:val="nil"/>
              <w:left w:val="nil"/>
              <w:right w:val="nil"/>
            </w:tcBorders>
            <w:shd w:val="clear" w:color="000000" w:fill="FFFFFF"/>
            <w:vAlign w:val="center"/>
            <w:hideMark/>
          </w:tcPr>
          <w:p w14:paraId="0B9FE070" w14:textId="77777777" w:rsidR="00877FE2" w:rsidRPr="008E4DD9" w:rsidRDefault="00877FE2" w:rsidP="00816CB0">
            <w:pPr>
              <w:pStyle w:val="TableTextRight"/>
              <w:ind w:left="-57"/>
            </w:pPr>
            <w:r w:rsidRPr="008E4DD9">
              <w:rPr>
                <w:rFonts w:eastAsiaTheme="minorEastAsia"/>
              </w:rPr>
              <w:t>1,010,000</w:t>
            </w:r>
          </w:p>
        </w:tc>
        <w:tc>
          <w:tcPr>
            <w:tcW w:w="1094" w:type="dxa"/>
            <w:tcBorders>
              <w:top w:val="nil"/>
              <w:left w:val="nil"/>
              <w:right w:val="nil"/>
            </w:tcBorders>
            <w:shd w:val="clear" w:color="000000" w:fill="FFFFFF"/>
            <w:vAlign w:val="center"/>
            <w:hideMark/>
          </w:tcPr>
          <w:p w14:paraId="0F71D63F" w14:textId="77777777" w:rsidR="00877FE2" w:rsidRPr="008E4DD9" w:rsidRDefault="00877FE2" w:rsidP="00816CB0">
            <w:pPr>
              <w:pStyle w:val="TableTextRight"/>
              <w:ind w:left="-57"/>
            </w:pPr>
            <w:r w:rsidRPr="008E4DD9">
              <w:rPr>
                <w:rFonts w:eastAsiaTheme="minorEastAsia"/>
              </w:rPr>
              <w:t>1,010,000</w:t>
            </w:r>
          </w:p>
        </w:tc>
        <w:tc>
          <w:tcPr>
            <w:tcW w:w="1094" w:type="dxa"/>
            <w:tcBorders>
              <w:top w:val="nil"/>
              <w:left w:val="nil"/>
              <w:right w:val="nil"/>
            </w:tcBorders>
            <w:shd w:val="clear" w:color="000000" w:fill="FFFFFF"/>
            <w:vAlign w:val="center"/>
            <w:hideMark/>
          </w:tcPr>
          <w:p w14:paraId="1D34F326" w14:textId="77777777" w:rsidR="00877FE2" w:rsidRPr="008E4DD9" w:rsidRDefault="00877FE2" w:rsidP="00816CB0">
            <w:pPr>
              <w:pStyle w:val="TableTextRight"/>
              <w:ind w:left="-57"/>
            </w:pPr>
            <w:r w:rsidRPr="008E4DD9">
              <w:rPr>
                <w:rFonts w:eastAsiaTheme="minorEastAsia"/>
              </w:rPr>
              <w:t>1,010,000</w:t>
            </w:r>
          </w:p>
        </w:tc>
        <w:tc>
          <w:tcPr>
            <w:tcW w:w="1094" w:type="dxa"/>
            <w:tcBorders>
              <w:top w:val="nil"/>
              <w:left w:val="nil"/>
              <w:right w:val="nil"/>
            </w:tcBorders>
            <w:shd w:val="clear" w:color="000000" w:fill="FFFFFF"/>
            <w:vAlign w:val="center"/>
            <w:hideMark/>
          </w:tcPr>
          <w:p w14:paraId="1360BE7E" w14:textId="77777777" w:rsidR="00877FE2" w:rsidRPr="008E4DD9" w:rsidRDefault="00877FE2" w:rsidP="00816CB0">
            <w:pPr>
              <w:pStyle w:val="TableTextRight"/>
              <w:ind w:left="-57"/>
            </w:pPr>
            <w:r w:rsidRPr="008E4DD9">
              <w:rPr>
                <w:rFonts w:eastAsiaTheme="minorEastAsia"/>
              </w:rPr>
              <w:t>1,010,000</w:t>
            </w:r>
          </w:p>
        </w:tc>
        <w:tc>
          <w:tcPr>
            <w:tcW w:w="1094" w:type="dxa"/>
            <w:tcBorders>
              <w:top w:val="nil"/>
              <w:left w:val="nil"/>
              <w:right w:val="nil"/>
            </w:tcBorders>
            <w:shd w:val="clear" w:color="000000" w:fill="FFFFFF"/>
            <w:vAlign w:val="center"/>
            <w:hideMark/>
          </w:tcPr>
          <w:p w14:paraId="01789868" w14:textId="77777777" w:rsidR="00877FE2" w:rsidRPr="008E4DD9" w:rsidRDefault="00877FE2" w:rsidP="00816CB0">
            <w:pPr>
              <w:pStyle w:val="TableTextRight"/>
              <w:ind w:left="-57"/>
            </w:pPr>
            <w:r w:rsidRPr="008E4DD9">
              <w:rPr>
                <w:rFonts w:eastAsiaTheme="minorEastAsia"/>
              </w:rPr>
              <w:t>1,250,000</w:t>
            </w:r>
          </w:p>
        </w:tc>
        <w:tc>
          <w:tcPr>
            <w:tcW w:w="1094" w:type="dxa"/>
            <w:tcBorders>
              <w:top w:val="nil"/>
              <w:left w:val="nil"/>
              <w:right w:val="nil"/>
            </w:tcBorders>
            <w:shd w:val="clear" w:color="000000" w:fill="FFFFFF"/>
            <w:vAlign w:val="center"/>
            <w:hideMark/>
          </w:tcPr>
          <w:p w14:paraId="0A7B7CD7" w14:textId="77777777" w:rsidR="00877FE2" w:rsidRPr="008E4DD9" w:rsidRDefault="00877FE2" w:rsidP="00816CB0">
            <w:pPr>
              <w:pStyle w:val="TableTextRight"/>
              <w:ind w:left="-57"/>
            </w:pPr>
            <w:r w:rsidRPr="008E4DD9">
              <w:rPr>
                <w:rFonts w:eastAsiaTheme="minorEastAsia"/>
              </w:rPr>
              <w:t>1,250,000</w:t>
            </w:r>
          </w:p>
        </w:tc>
      </w:tr>
      <w:tr w:rsidR="00877FE2" w:rsidRPr="008E4DD9" w14:paraId="5133E957" w14:textId="77777777" w:rsidTr="00E80550">
        <w:trPr>
          <w:trHeight w:val="298"/>
        </w:trPr>
        <w:tc>
          <w:tcPr>
            <w:tcW w:w="1809" w:type="dxa"/>
            <w:tcBorders>
              <w:top w:val="nil"/>
              <w:left w:val="nil"/>
              <w:right w:val="nil"/>
            </w:tcBorders>
            <w:shd w:val="clear" w:color="auto" w:fill="F2F2F2" w:themeFill="background1" w:themeFillShade="F2"/>
            <w:vAlign w:val="center"/>
            <w:hideMark/>
          </w:tcPr>
          <w:p w14:paraId="0F3E67A6" w14:textId="77777777" w:rsidR="00877FE2" w:rsidRPr="008E4DD9" w:rsidRDefault="00877FE2" w:rsidP="00A1600C">
            <w:pPr>
              <w:pStyle w:val="Tabletextleft0"/>
            </w:pPr>
            <w:r>
              <w:rPr>
                <w:rFonts w:eastAsiaTheme="minorEastAsia"/>
              </w:rPr>
              <w:t>Victoria</w:t>
            </w:r>
          </w:p>
        </w:tc>
        <w:tc>
          <w:tcPr>
            <w:tcW w:w="1094" w:type="dxa"/>
            <w:tcBorders>
              <w:top w:val="nil"/>
              <w:left w:val="nil"/>
              <w:right w:val="nil"/>
            </w:tcBorders>
            <w:shd w:val="clear" w:color="auto" w:fill="F2F2F2" w:themeFill="background1" w:themeFillShade="F2"/>
            <w:vAlign w:val="center"/>
            <w:hideMark/>
          </w:tcPr>
          <w:p w14:paraId="681B121C"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7192AEF6"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234EF7B3"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278149E6"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25FCB50D"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6ABA8BE9" w14:textId="77777777" w:rsidR="00877FE2" w:rsidRPr="008E4DD9" w:rsidRDefault="00877FE2" w:rsidP="00816CB0">
            <w:pPr>
              <w:pStyle w:val="TableTextRight"/>
              <w:ind w:left="-57"/>
            </w:pPr>
            <w:r w:rsidRPr="008E4DD9">
              <w:rPr>
                <w:rFonts w:eastAsiaTheme="minorEastAsia"/>
              </w:rPr>
              <w:t>550,000</w:t>
            </w:r>
          </w:p>
        </w:tc>
        <w:tc>
          <w:tcPr>
            <w:tcW w:w="1094" w:type="dxa"/>
            <w:tcBorders>
              <w:top w:val="nil"/>
              <w:left w:val="nil"/>
              <w:right w:val="nil"/>
            </w:tcBorders>
            <w:shd w:val="clear" w:color="auto" w:fill="F2F2F2" w:themeFill="background1" w:themeFillShade="F2"/>
            <w:vAlign w:val="center"/>
            <w:hideMark/>
          </w:tcPr>
          <w:p w14:paraId="119661D5" w14:textId="77777777" w:rsidR="00877FE2" w:rsidRPr="008E4DD9" w:rsidRDefault="00877FE2" w:rsidP="00816CB0">
            <w:pPr>
              <w:pStyle w:val="TableTextRight"/>
              <w:ind w:left="-57"/>
            </w:pPr>
            <w:r w:rsidRPr="008E4DD9">
              <w:rPr>
                <w:rFonts w:eastAsiaTheme="minorEastAsia"/>
              </w:rPr>
              <w:t>550,000</w:t>
            </w:r>
          </w:p>
        </w:tc>
      </w:tr>
      <w:tr w:rsidR="00877FE2" w:rsidRPr="008E4DD9" w14:paraId="6F2F7C2E" w14:textId="77777777" w:rsidTr="00816CB0">
        <w:trPr>
          <w:trHeight w:val="298"/>
        </w:trPr>
        <w:tc>
          <w:tcPr>
            <w:tcW w:w="1809" w:type="dxa"/>
            <w:tcBorders>
              <w:top w:val="nil"/>
              <w:left w:val="nil"/>
              <w:bottom w:val="single" w:sz="4" w:space="0" w:color="000000" w:themeColor="text1"/>
              <w:right w:val="nil"/>
            </w:tcBorders>
            <w:shd w:val="clear" w:color="000000" w:fill="FFFFFF"/>
            <w:vAlign w:val="center"/>
            <w:hideMark/>
          </w:tcPr>
          <w:p w14:paraId="4F8B9AF3" w14:textId="77777777" w:rsidR="00877FE2" w:rsidRPr="008E4DD9" w:rsidRDefault="00877FE2" w:rsidP="00A1600C">
            <w:pPr>
              <w:pStyle w:val="Tabletextleft0"/>
            </w:pPr>
            <w:r>
              <w:rPr>
                <w:rFonts w:eastAsiaTheme="minorEastAsia"/>
              </w:rPr>
              <w:t>Western Australia</w:t>
            </w:r>
          </w:p>
        </w:tc>
        <w:tc>
          <w:tcPr>
            <w:tcW w:w="1094" w:type="dxa"/>
            <w:tcBorders>
              <w:top w:val="nil"/>
              <w:left w:val="nil"/>
              <w:bottom w:val="single" w:sz="4" w:space="0" w:color="000000" w:themeColor="text1"/>
              <w:right w:val="nil"/>
            </w:tcBorders>
            <w:shd w:val="clear" w:color="000000" w:fill="FFFFFF"/>
            <w:vAlign w:val="center"/>
            <w:hideMark/>
          </w:tcPr>
          <w:p w14:paraId="39C44F25"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3B1D0360"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631757E8"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11945DEA"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03E38C70"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4B8F6187" w14:textId="77777777" w:rsidR="00877FE2" w:rsidRPr="008E4DD9" w:rsidRDefault="00877FE2" w:rsidP="00816CB0">
            <w:pPr>
              <w:pStyle w:val="TableTextRight"/>
              <w:ind w:left="-57"/>
            </w:pPr>
            <w:r w:rsidRPr="008E4DD9">
              <w:rPr>
                <w:rFonts w:eastAsiaTheme="minorEastAsia"/>
              </w:rPr>
              <w:t>750,000</w:t>
            </w:r>
          </w:p>
        </w:tc>
        <w:tc>
          <w:tcPr>
            <w:tcW w:w="1094" w:type="dxa"/>
            <w:tcBorders>
              <w:top w:val="nil"/>
              <w:left w:val="nil"/>
              <w:bottom w:val="single" w:sz="4" w:space="0" w:color="000000" w:themeColor="text1"/>
              <w:right w:val="nil"/>
            </w:tcBorders>
            <w:shd w:val="clear" w:color="000000" w:fill="FFFFFF"/>
            <w:vAlign w:val="center"/>
            <w:hideMark/>
          </w:tcPr>
          <w:p w14:paraId="569D64C3" w14:textId="77777777" w:rsidR="00877FE2" w:rsidRPr="008E4DD9" w:rsidRDefault="00877FE2" w:rsidP="00816CB0">
            <w:pPr>
              <w:pStyle w:val="TableTextRight"/>
              <w:ind w:left="-57"/>
            </w:pPr>
            <w:r w:rsidRPr="008E4DD9">
              <w:rPr>
                <w:rFonts w:eastAsiaTheme="minorEastAsia"/>
              </w:rPr>
              <w:t>800,000</w:t>
            </w:r>
          </w:p>
        </w:tc>
      </w:tr>
    </w:tbl>
    <w:p w14:paraId="0BBBEDC5" w14:textId="77777777" w:rsidR="00877FE2" w:rsidRDefault="00877FE2" w:rsidP="00E80550">
      <w:pPr>
        <w:pStyle w:val="ChartorTableNote"/>
        <w:spacing w:after="0"/>
        <w:ind w:left="0" w:firstLine="0"/>
      </w:pPr>
      <w:r w:rsidRPr="00E80550">
        <w:t>Source: Various State Governments.</w:t>
      </w:r>
    </w:p>
    <w:p w14:paraId="52673E2A" w14:textId="77777777" w:rsidR="00816CB0" w:rsidRPr="00E80550" w:rsidRDefault="00816CB0" w:rsidP="00E80550">
      <w:pPr>
        <w:pStyle w:val="SingleParagraph"/>
      </w:pPr>
    </w:p>
    <w:p w14:paraId="052D40A7" w14:textId="4A554D2C" w:rsidR="00627470" w:rsidRPr="00816CB0" w:rsidRDefault="00627470" w:rsidP="00816CB0">
      <w:pPr>
        <w:pStyle w:val="TableMainHeading"/>
      </w:pPr>
      <w:r w:rsidRPr="00816CB0">
        <w:t>Table A3: Headline payroll tax rates (%) from financial year to 2008-09 to 2014-15</w:t>
      </w:r>
    </w:p>
    <w:tbl>
      <w:tblPr>
        <w:tblW w:w="4983" w:type="pct"/>
        <w:tblLayout w:type="fixed"/>
        <w:tblLook w:val="04A0" w:firstRow="1" w:lastRow="0" w:firstColumn="1" w:lastColumn="0" w:noHBand="0" w:noVBand="1"/>
      </w:tblPr>
      <w:tblGrid>
        <w:gridCol w:w="1985"/>
        <w:gridCol w:w="1072"/>
        <w:gridCol w:w="1073"/>
        <w:gridCol w:w="1073"/>
        <w:gridCol w:w="1073"/>
        <w:gridCol w:w="1073"/>
        <w:gridCol w:w="1073"/>
        <w:gridCol w:w="1060"/>
      </w:tblGrid>
      <w:tr w:rsidR="00627470" w:rsidRPr="008E4DD9" w14:paraId="7711B0D4" w14:textId="77777777" w:rsidTr="00E80550">
        <w:trPr>
          <w:trHeight w:val="286"/>
        </w:trPr>
        <w:tc>
          <w:tcPr>
            <w:tcW w:w="104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4033D1FC" w14:textId="77777777" w:rsidR="00627470" w:rsidRPr="008E4DD9" w:rsidRDefault="00627470" w:rsidP="0015720F">
            <w:pPr>
              <w:pStyle w:val="TableColumnHeadingLeft"/>
            </w:pPr>
            <w:r w:rsidRPr="008E4DD9">
              <w:t>State</w:t>
            </w:r>
          </w:p>
        </w:tc>
        <w:tc>
          <w:tcPr>
            <w:tcW w:w="565"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F0B843E" w14:textId="77777777" w:rsidR="00627470" w:rsidRPr="008E4DD9" w:rsidRDefault="00627470" w:rsidP="00816CB0">
            <w:pPr>
              <w:pStyle w:val="TableColumnHeadingRight"/>
            </w:pPr>
            <w:r w:rsidRPr="008E4DD9">
              <w:t>2008-09</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7DD143F" w14:textId="77777777" w:rsidR="00627470" w:rsidRPr="008E4DD9" w:rsidRDefault="00627470" w:rsidP="00816CB0">
            <w:pPr>
              <w:pStyle w:val="TableColumnHeadingRight"/>
            </w:pPr>
            <w:r w:rsidRPr="008E4DD9">
              <w:t>2009-10</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75E6093" w14:textId="77777777" w:rsidR="00627470" w:rsidRPr="008E4DD9" w:rsidRDefault="00627470" w:rsidP="00816CB0">
            <w:pPr>
              <w:pStyle w:val="TableColumnHeadingRight"/>
            </w:pPr>
            <w:r w:rsidRPr="008E4DD9">
              <w:t>2010-11</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AAB96E9" w14:textId="77777777" w:rsidR="00627470" w:rsidRPr="008E4DD9" w:rsidRDefault="00627470" w:rsidP="00816CB0">
            <w:pPr>
              <w:pStyle w:val="TableColumnHeadingRight"/>
            </w:pPr>
            <w:r w:rsidRPr="008E4DD9">
              <w:t>2011-12</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43C92244" w14:textId="77777777" w:rsidR="00627470" w:rsidRPr="008E4DD9" w:rsidRDefault="00627470" w:rsidP="00816CB0">
            <w:pPr>
              <w:pStyle w:val="TableColumnHeadingRight"/>
            </w:pPr>
            <w:r w:rsidRPr="008E4DD9">
              <w:t>2012-13</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6345855" w14:textId="77777777" w:rsidR="00627470" w:rsidRPr="008E4DD9" w:rsidRDefault="00627470" w:rsidP="00816CB0">
            <w:pPr>
              <w:pStyle w:val="TableColumnHeadingRight"/>
            </w:pPr>
            <w:r w:rsidRPr="008E4DD9">
              <w:t>2013-14</w:t>
            </w:r>
          </w:p>
        </w:tc>
        <w:tc>
          <w:tcPr>
            <w:tcW w:w="559"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712D6F3F" w14:textId="77777777" w:rsidR="00627470" w:rsidRPr="008E4DD9" w:rsidRDefault="00627470" w:rsidP="00816CB0">
            <w:pPr>
              <w:pStyle w:val="TableColumnHeadingRight"/>
            </w:pPr>
            <w:r w:rsidRPr="008E4DD9">
              <w:t>2014-15</w:t>
            </w:r>
          </w:p>
        </w:tc>
      </w:tr>
      <w:tr w:rsidR="00627470" w:rsidRPr="008E4DD9" w14:paraId="14454D49" w14:textId="77777777" w:rsidTr="00816CB0">
        <w:trPr>
          <w:trHeight w:val="286"/>
        </w:trPr>
        <w:tc>
          <w:tcPr>
            <w:tcW w:w="1046" w:type="pct"/>
            <w:tcBorders>
              <w:top w:val="single" w:sz="8" w:space="0" w:color="000000" w:themeColor="text1"/>
              <w:left w:val="nil"/>
              <w:right w:val="nil"/>
            </w:tcBorders>
            <w:shd w:val="clear" w:color="000000" w:fill="FFFFFF"/>
            <w:vAlign w:val="center"/>
            <w:hideMark/>
          </w:tcPr>
          <w:p w14:paraId="7CB9B943" w14:textId="77777777" w:rsidR="00627470" w:rsidRPr="008E4DD9" w:rsidRDefault="00627470" w:rsidP="0015720F">
            <w:pPr>
              <w:pStyle w:val="Tabletextleft0"/>
            </w:pPr>
            <w:r>
              <w:rPr>
                <w:rFonts w:eastAsiaTheme="minorEastAsia"/>
              </w:rPr>
              <w:t>New South Wales</w:t>
            </w:r>
          </w:p>
        </w:tc>
        <w:tc>
          <w:tcPr>
            <w:tcW w:w="565" w:type="pct"/>
            <w:tcBorders>
              <w:top w:val="single" w:sz="8" w:space="0" w:color="000000" w:themeColor="text1"/>
              <w:left w:val="nil"/>
              <w:right w:val="nil"/>
            </w:tcBorders>
            <w:shd w:val="clear" w:color="000000" w:fill="FFFFFF"/>
            <w:vAlign w:val="center"/>
            <w:hideMark/>
          </w:tcPr>
          <w:p w14:paraId="7C05301B" w14:textId="77777777" w:rsidR="00627470" w:rsidRPr="008E4DD9" w:rsidRDefault="00627470" w:rsidP="0015720F">
            <w:pPr>
              <w:pStyle w:val="TableTextRight"/>
            </w:pPr>
            <w:r w:rsidRPr="008E4DD9">
              <w:rPr>
                <w:rFonts w:eastAsiaTheme="minorEastAsia"/>
              </w:rPr>
              <w:t>5.875</w:t>
            </w:r>
          </w:p>
        </w:tc>
        <w:tc>
          <w:tcPr>
            <w:tcW w:w="566" w:type="pct"/>
            <w:tcBorders>
              <w:top w:val="single" w:sz="8" w:space="0" w:color="000000" w:themeColor="text1"/>
              <w:left w:val="nil"/>
              <w:right w:val="nil"/>
            </w:tcBorders>
            <w:shd w:val="clear" w:color="000000" w:fill="FFFFFF"/>
            <w:vAlign w:val="center"/>
            <w:hideMark/>
          </w:tcPr>
          <w:p w14:paraId="6E1363E2" w14:textId="77777777" w:rsidR="00627470" w:rsidRPr="008E4DD9" w:rsidRDefault="00627470" w:rsidP="0015720F">
            <w:pPr>
              <w:pStyle w:val="TableTextRight"/>
            </w:pPr>
            <w:r w:rsidRPr="008E4DD9">
              <w:rPr>
                <w:rFonts w:eastAsiaTheme="minorEastAsia"/>
              </w:rPr>
              <w:t>5.700</w:t>
            </w:r>
          </w:p>
        </w:tc>
        <w:tc>
          <w:tcPr>
            <w:tcW w:w="566" w:type="pct"/>
            <w:tcBorders>
              <w:top w:val="single" w:sz="8" w:space="0" w:color="000000" w:themeColor="text1"/>
              <w:left w:val="nil"/>
              <w:right w:val="nil"/>
            </w:tcBorders>
            <w:shd w:val="clear" w:color="000000" w:fill="FFFFFF"/>
            <w:vAlign w:val="center"/>
            <w:hideMark/>
          </w:tcPr>
          <w:p w14:paraId="78EBBA7A" w14:textId="77777777" w:rsidR="00627470" w:rsidRPr="008E4DD9" w:rsidRDefault="00627470" w:rsidP="0015720F">
            <w:pPr>
              <w:pStyle w:val="TableTextRight"/>
            </w:pPr>
            <w:r w:rsidRPr="008E4DD9">
              <w:rPr>
                <w:rFonts w:eastAsiaTheme="minorEastAsia"/>
              </w:rPr>
              <w:t>5.475</w:t>
            </w:r>
          </w:p>
        </w:tc>
        <w:tc>
          <w:tcPr>
            <w:tcW w:w="566" w:type="pct"/>
            <w:tcBorders>
              <w:top w:val="single" w:sz="8" w:space="0" w:color="000000" w:themeColor="text1"/>
              <w:left w:val="nil"/>
              <w:right w:val="nil"/>
            </w:tcBorders>
            <w:shd w:val="clear" w:color="000000" w:fill="FFFFFF"/>
            <w:vAlign w:val="center"/>
            <w:hideMark/>
          </w:tcPr>
          <w:p w14:paraId="065DD163" w14:textId="77777777" w:rsidR="00627470" w:rsidRPr="008E4DD9" w:rsidRDefault="00627470" w:rsidP="0015720F">
            <w:pPr>
              <w:pStyle w:val="TableTextRight"/>
            </w:pPr>
            <w:r w:rsidRPr="008E4DD9">
              <w:rPr>
                <w:rFonts w:eastAsiaTheme="minorEastAsia"/>
              </w:rPr>
              <w:t>5.450</w:t>
            </w:r>
          </w:p>
        </w:tc>
        <w:tc>
          <w:tcPr>
            <w:tcW w:w="566" w:type="pct"/>
            <w:tcBorders>
              <w:top w:val="single" w:sz="8" w:space="0" w:color="000000" w:themeColor="text1"/>
              <w:left w:val="nil"/>
              <w:right w:val="nil"/>
            </w:tcBorders>
            <w:shd w:val="clear" w:color="000000" w:fill="FFFFFF"/>
            <w:vAlign w:val="center"/>
            <w:hideMark/>
          </w:tcPr>
          <w:p w14:paraId="58366834" w14:textId="77777777" w:rsidR="00627470" w:rsidRPr="008E4DD9" w:rsidRDefault="00627470" w:rsidP="0015720F">
            <w:pPr>
              <w:pStyle w:val="TableTextRight"/>
            </w:pPr>
            <w:r w:rsidRPr="008E4DD9">
              <w:rPr>
                <w:rFonts w:eastAsiaTheme="minorEastAsia"/>
              </w:rPr>
              <w:t>5.450</w:t>
            </w:r>
          </w:p>
        </w:tc>
        <w:tc>
          <w:tcPr>
            <w:tcW w:w="566" w:type="pct"/>
            <w:tcBorders>
              <w:top w:val="single" w:sz="8" w:space="0" w:color="000000" w:themeColor="text1"/>
              <w:left w:val="nil"/>
              <w:right w:val="nil"/>
            </w:tcBorders>
            <w:shd w:val="clear" w:color="000000" w:fill="FFFFFF"/>
            <w:vAlign w:val="center"/>
            <w:hideMark/>
          </w:tcPr>
          <w:p w14:paraId="3A48774C" w14:textId="77777777" w:rsidR="00627470" w:rsidRPr="008E4DD9" w:rsidRDefault="00627470" w:rsidP="0015720F">
            <w:pPr>
              <w:pStyle w:val="TableTextRight"/>
            </w:pPr>
            <w:r w:rsidRPr="008E4DD9">
              <w:rPr>
                <w:rFonts w:eastAsiaTheme="minorEastAsia"/>
              </w:rPr>
              <w:t>5.450</w:t>
            </w:r>
          </w:p>
        </w:tc>
        <w:tc>
          <w:tcPr>
            <w:tcW w:w="559" w:type="pct"/>
            <w:tcBorders>
              <w:top w:val="single" w:sz="8" w:space="0" w:color="000000" w:themeColor="text1"/>
              <w:left w:val="nil"/>
              <w:right w:val="nil"/>
            </w:tcBorders>
            <w:shd w:val="clear" w:color="000000" w:fill="FFFFFF"/>
            <w:vAlign w:val="center"/>
            <w:hideMark/>
          </w:tcPr>
          <w:p w14:paraId="09156160" w14:textId="77777777" w:rsidR="00627470" w:rsidRPr="008E4DD9" w:rsidRDefault="00627470" w:rsidP="0015720F">
            <w:pPr>
              <w:pStyle w:val="TableTextRight"/>
            </w:pPr>
            <w:r w:rsidRPr="008E4DD9">
              <w:rPr>
                <w:rFonts w:eastAsiaTheme="minorEastAsia"/>
              </w:rPr>
              <w:t>5.450</w:t>
            </w:r>
          </w:p>
        </w:tc>
      </w:tr>
      <w:tr w:rsidR="00627470" w:rsidRPr="008E4DD9" w14:paraId="6EE7F62B" w14:textId="77777777" w:rsidTr="00E80550">
        <w:trPr>
          <w:trHeight w:val="286"/>
        </w:trPr>
        <w:tc>
          <w:tcPr>
            <w:tcW w:w="1046" w:type="pct"/>
            <w:tcBorders>
              <w:top w:val="nil"/>
              <w:left w:val="nil"/>
              <w:right w:val="nil"/>
            </w:tcBorders>
            <w:shd w:val="clear" w:color="auto" w:fill="F2F2F2" w:themeFill="background1" w:themeFillShade="F2"/>
            <w:vAlign w:val="center"/>
            <w:hideMark/>
          </w:tcPr>
          <w:p w14:paraId="41B29FD8" w14:textId="77777777" w:rsidR="00627470" w:rsidRPr="008E4DD9" w:rsidRDefault="00627470" w:rsidP="0015720F">
            <w:pPr>
              <w:pStyle w:val="Tabletextleft0"/>
            </w:pPr>
            <w:r>
              <w:rPr>
                <w:rFonts w:eastAsiaTheme="minorEastAsia"/>
              </w:rPr>
              <w:t>Northern Territory</w:t>
            </w:r>
          </w:p>
        </w:tc>
        <w:tc>
          <w:tcPr>
            <w:tcW w:w="565" w:type="pct"/>
            <w:tcBorders>
              <w:top w:val="nil"/>
              <w:left w:val="nil"/>
              <w:right w:val="nil"/>
            </w:tcBorders>
            <w:shd w:val="clear" w:color="auto" w:fill="F2F2F2" w:themeFill="background1" w:themeFillShade="F2"/>
            <w:vAlign w:val="center"/>
            <w:hideMark/>
          </w:tcPr>
          <w:p w14:paraId="7CAAEF64" w14:textId="77777777" w:rsidR="00627470" w:rsidRPr="008E4DD9" w:rsidRDefault="00627470" w:rsidP="0015720F">
            <w:pPr>
              <w:pStyle w:val="TableTextRight"/>
            </w:pPr>
            <w:r w:rsidRPr="008E4DD9">
              <w:rPr>
                <w:rFonts w:eastAsiaTheme="minorEastAsia"/>
              </w:rPr>
              <w:t>5.900</w:t>
            </w:r>
          </w:p>
        </w:tc>
        <w:tc>
          <w:tcPr>
            <w:tcW w:w="566" w:type="pct"/>
            <w:tcBorders>
              <w:top w:val="nil"/>
              <w:left w:val="nil"/>
              <w:right w:val="nil"/>
            </w:tcBorders>
            <w:shd w:val="clear" w:color="auto" w:fill="F2F2F2" w:themeFill="background1" w:themeFillShade="F2"/>
            <w:vAlign w:val="center"/>
            <w:hideMark/>
          </w:tcPr>
          <w:p w14:paraId="44AECBEF" w14:textId="77777777" w:rsidR="00627470" w:rsidRPr="008E4DD9" w:rsidRDefault="00627470" w:rsidP="0015720F">
            <w:pPr>
              <w:pStyle w:val="TableTextRight"/>
            </w:pPr>
            <w:r w:rsidRPr="008E4DD9">
              <w:rPr>
                <w:rFonts w:eastAsiaTheme="minorEastAsia"/>
              </w:rPr>
              <w:t>5.900</w:t>
            </w:r>
          </w:p>
        </w:tc>
        <w:tc>
          <w:tcPr>
            <w:tcW w:w="566" w:type="pct"/>
            <w:tcBorders>
              <w:top w:val="nil"/>
              <w:left w:val="nil"/>
              <w:right w:val="nil"/>
            </w:tcBorders>
            <w:shd w:val="clear" w:color="auto" w:fill="F2F2F2" w:themeFill="background1" w:themeFillShade="F2"/>
            <w:vAlign w:val="center"/>
            <w:hideMark/>
          </w:tcPr>
          <w:p w14:paraId="00D26C5D" w14:textId="77777777" w:rsidR="00627470" w:rsidRPr="008E4DD9" w:rsidRDefault="00627470" w:rsidP="0015720F">
            <w:pPr>
              <w:pStyle w:val="TableTextRight"/>
            </w:pPr>
            <w:r w:rsidRPr="008E4DD9">
              <w:rPr>
                <w:rFonts w:eastAsiaTheme="minorEastAsia"/>
              </w:rPr>
              <w:t>5.900</w:t>
            </w:r>
          </w:p>
        </w:tc>
        <w:tc>
          <w:tcPr>
            <w:tcW w:w="566" w:type="pct"/>
            <w:tcBorders>
              <w:top w:val="nil"/>
              <w:left w:val="nil"/>
              <w:right w:val="nil"/>
            </w:tcBorders>
            <w:shd w:val="clear" w:color="auto" w:fill="F2F2F2" w:themeFill="background1" w:themeFillShade="F2"/>
            <w:vAlign w:val="center"/>
            <w:hideMark/>
          </w:tcPr>
          <w:p w14:paraId="2393EBC7" w14:textId="77777777" w:rsidR="00627470" w:rsidRPr="008E4DD9" w:rsidRDefault="00627470" w:rsidP="0015720F">
            <w:pPr>
              <w:pStyle w:val="TableTextRight"/>
            </w:pPr>
            <w:r w:rsidRPr="008E4DD9">
              <w:rPr>
                <w:rFonts w:eastAsiaTheme="minorEastAsia"/>
              </w:rPr>
              <w:t>5.500</w:t>
            </w:r>
          </w:p>
        </w:tc>
        <w:tc>
          <w:tcPr>
            <w:tcW w:w="566" w:type="pct"/>
            <w:tcBorders>
              <w:top w:val="nil"/>
              <w:left w:val="nil"/>
              <w:right w:val="nil"/>
            </w:tcBorders>
            <w:shd w:val="clear" w:color="auto" w:fill="F2F2F2" w:themeFill="background1" w:themeFillShade="F2"/>
            <w:vAlign w:val="center"/>
            <w:hideMark/>
          </w:tcPr>
          <w:p w14:paraId="7CC8E969" w14:textId="77777777" w:rsidR="00627470" w:rsidRPr="008E4DD9" w:rsidRDefault="00627470" w:rsidP="0015720F">
            <w:pPr>
              <w:pStyle w:val="TableTextRight"/>
            </w:pPr>
            <w:r w:rsidRPr="008E4DD9">
              <w:rPr>
                <w:rFonts w:eastAsiaTheme="minorEastAsia"/>
              </w:rPr>
              <w:t>5.500</w:t>
            </w:r>
          </w:p>
        </w:tc>
        <w:tc>
          <w:tcPr>
            <w:tcW w:w="566" w:type="pct"/>
            <w:tcBorders>
              <w:top w:val="nil"/>
              <w:left w:val="nil"/>
              <w:right w:val="nil"/>
            </w:tcBorders>
            <w:shd w:val="clear" w:color="auto" w:fill="F2F2F2" w:themeFill="background1" w:themeFillShade="F2"/>
            <w:vAlign w:val="center"/>
            <w:hideMark/>
          </w:tcPr>
          <w:p w14:paraId="42AF6EB9" w14:textId="77777777" w:rsidR="00627470" w:rsidRPr="008E4DD9" w:rsidRDefault="00627470" w:rsidP="0015720F">
            <w:pPr>
              <w:pStyle w:val="TableTextRight"/>
            </w:pPr>
            <w:r w:rsidRPr="008E4DD9">
              <w:rPr>
                <w:rFonts w:eastAsiaTheme="minorEastAsia"/>
              </w:rPr>
              <w:t>5.500</w:t>
            </w:r>
          </w:p>
        </w:tc>
        <w:tc>
          <w:tcPr>
            <w:tcW w:w="559" w:type="pct"/>
            <w:tcBorders>
              <w:top w:val="nil"/>
              <w:left w:val="nil"/>
              <w:right w:val="nil"/>
            </w:tcBorders>
            <w:shd w:val="clear" w:color="auto" w:fill="F2F2F2" w:themeFill="background1" w:themeFillShade="F2"/>
            <w:vAlign w:val="center"/>
            <w:hideMark/>
          </w:tcPr>
          <w:p w14:paraId="5F377DF5" w14:textId="77777777" w:rsidR="00627470" w:rsidRPr="008E4DD9" w:rsidRDefault="00627470" w:rsidP="0015720F">
            <w:pPr>
              <w:pStyle w:val="TableTextRight"/>
            </w:pPr>
            <w:r w:rsidRPr="008E4DD9">
              <w:rPr>
                <w:rFonts w:eastAsiaTheme="minorEastAsia"/>
              </w:rPr>
              <w:t>5.500</w:t>
            </w:r>
          </w:p>
        </w:tc>
      </w:tr>
      <w:tr w:rsidR="00627470" w:rsidRPr="008E4DD9" w14:paraId="36011CD9" w14:textId="77777777" w:rsidTr="00816CB0">
        <w:trPr>
          <w:trHeight w:val="286"/>
        </w:trPr>
        <w:tc>
          <w:tcPr>
            <w:tcW w:w="1046" w:type="pct"/>
            <w:tcBorders>
              <w:left w:val="nil"/>
              <w:bottom w:val="nil"/>
              <w:right w:val="nil"/>
            </w:tcBorders>
            <w:shd w:val="clear" w:color="000000" w:fill="FFFFFF"/>
            <w:vAlign w:val="center"/>
            <w:hideMark/>
          </w:tcPr>
          <w:p w14:paraId="53DBCB7A" w14:textId="77777777" w:rsidR="00627470" w:rsidRPr="008E4DD9" w:rsidRDefault="00627470" w:rsidP="0015720F">
            <w:pPr>
              <w:pStyle w:val="Tabletextleft0"/>
            </w:pPr>
            <w:r>
              <w:rPr>
                <w:rFonts w:eastAsiaTheme="minorEastAsia"/>
              </w:rPr>
              <w:t>Queensland</w:t>
            </w:r>
          </w:p>
        </w:tc>
        <w:tc>
          <w:tcPr>
            <w:tcW w:w="565" w:type="pct"/>
            <w:tcBorders>
              <w:left w:val="nil"/>
              <w:bottom w:val="nil"/>
              <w:right w:val="nil"/>
            </w:tcBorders>
            <w:shd w:val="clear" w:color="000000" w:fill="FFFFFF"/>
            <w:vAlign w:val="center"/>
            <w:hideMark/>
          </w:tcPr>
          <w:p w14:paraId="3219EAE7" w14:textId="77777777" w:rsidR="00627470" w:rsidRPr="008E4DD9" w:rsidRDefault="00627470" w:rsidP="0015720F">
            <w:pPr>
              <w:pStyle w:val="TableTextRight"/>
            </w:pPr>
            <w:r w:rsidRPr="008E4DD9">
              <w:rPr>
                <w:rFonts w:eastAsiaTheme="minorEastAsia"/>
              </w:rPr>
              <w:t>4.750</w:t>
            </w:r>
          </w:p>
        </w:tc>
        <w:tc>
          <w:tcPr>
            <w:tcW w:w="566" w:type="pct"/>
            <w:tcBorders>
              <w:left w:val="nil"/>
              <w:bottom w:val="nil"/>
              <w:right w:val="nil"/>
            </w:tcBorders>
            <w:shd w:val="clear" w:color="000000" w:fill="FFFFFF"/>
            <w:vAlign w:val="center"/>
            <w:hideMark/>
          </w:tcPr>
          <w:p w14:paraId="275562C1" w14:textId="77777777" w:rsidR="00627470" w:rsidRPr="008E4DD9" w:rsidRDefault="00627470" w:rsidP="0015720F">
            <w:pPr>
              <w:pStyle w:val="TableTextRight"/>
            </w:pPr>
            <w:r w:rsidRPr="008E4DD9">
              <w:rPr>
                <w:rFonts w:eastAsiaTheme="minorEastAsia"/>
              </w:rPr>
              <w:t>4.750</w:t>
            </w:r>
          </w:p>
        </w:tc>
        <w:tc>
          <w:tcPr>
            <w:tcW w:w="566" w:type="pct"/>
            <w:tcBorders>
              <w:left w:val="nil"/>
              <w:bottom w:val="nil"/>
              <w:right w:val="nil"/>
            </w:tcBorders>
            <w:shd w:val="clear" w:color="000000" w:fill="FFFFFF"/>
            <w:vAlign w:val="center"/>
            <w:hideMark/>
          </w:tcPr>
          <w:p w14:paraId="11BA60DB" w14:textId="77777777" w:rsidR="00627470" w:rsidRPr="008E4DD9" w:rsidRDefault="00627470" w:rsidP="0015720F">
            <w:pPr>
              <w:pStyle w:val="TableTextRight"/>
            </w:pPr>
            <w:r w:rsidRPr="008E4DD9">
              <w:rPr>
                <w:rFonts w:eastAsiaTheme="minorEastAsia"/>
              </w:rPr>
              <w:t>4.750</w:t>
            </w:r>
          </w:p>
        </w:tc>
        <w:tc>
          <w:tcPr>
            <w:tcW w:w="566" w:type="pct"/>
            <w:tcBorders>
              <w:left w:val="nil"/>
              <w:bottom w:val="nil"/>
              <w:right w:val="nil"/>
            </w:tcBorders>
            <w:shd w:val="clear" w:color="000000" w:fill="FFFFFF"/>
            <w:vAlign w:val="center"/>
            <w:hideMark/>
          </w:tcPr>
          <w:p w14:paraId="362263C3" w14:textId="77777777" w:rsidR="00627470" w:rsidRPr="008E4DD9" w:rsidRDefault="00627470" w:rsidP="0015720F">
            <w:pPr>
              <w:pStyle w:val="TableTextRight"/>
            </w:pPr>
            <w:r w:rsidRPr="008E4DD9">
              <w:rPr>
                <w:rFonts w:eastAsiaTheme="minorEastAsia"/>
              </w:rPr>
              <w:t>4.750</w:t>
            </w:r>
          </w:p>
        </w:tc>
        <w:tc>
          <w:tcPr>
            <w:tcW w:w="566" w:type="pct"/>
            <w:tcBorders>
              <w:left w:val="nil"/>
              <w:bottom w:val="nil"/>
              <w:right w:val="nil"/>
            </w:tcBorders>
            <w:shd w:val="clear" w:color="000000" w:fill="FFFFFF"/>
            <w:vAlign w:val="center"/>
            <w:hideMark/>
          </w:tcPr>
          <w:p w14:paraId="6059FE23" w14:textId="77777777" w:rsidR="00627470" w:rsidRPr="008E4DD9" w:rsidRDefault="00627470" w:rsidP="0015720F">
            <w:pPr>
              <w:pStyle w:val="TableTextRight"/>
            </w:pPr>
            <w:r w:rsidRPr="008E4DD9">
              <w:rPr>
                <w:rFonts w:eastAsiaTheme="minorEastAsia"/>
              </w:rPr>
              <w:t>4.750</w:t>
            </w:r>
          </w:p>
        </w:tc>
        <w:tc>
          <w:tcPr>
            <w:tcW w:w="566" w:type="pct"/>
            <w:tcBorders>
              <w:left w:val="nil"/>
              <w:bottom w:val="nil"/>
              <w:right w:val="nil"/>
            </w:tcBorders>
            <w:shd w:val="clear" w:color="000000" w:fill="FFFFFF"/>
            <w:vAlign w:val="center"/>
            <w:hideMark/>
          </w:tcPr>
          <w:p w14:paraId="77777DCC" w14:textId="77777777" w:rsidR="00627470" w:rsidRPr="008E4DD9" w:rsidRDefault="00627470" w:rsidP="0015720F">
            <w:pPr>
              <w:pStyle w:val="TableTextRight"/>
            </w:pPr>
            <w:r w:rsidRPr="008E4DD9">
              <w:rPr>
                <w:rFonts w:eastAsiaTheme="minorEastAsia"/>
              </w:rPr>
              <w:t>4.750</w:t>
            </w:r>
          </w:p>
        </w:tc>
        <w:tc>
          <w:tcPr>
            <w:tcW w:w="559" w:type="pct"/>
            <w:tcBorders>
              <w:left w:val="nil"/>
              <w:bottom w:val="nil"/>
              <w:right w:val="nil"/>
            </w:tcBorders>
            <w:shd w:val="clear" w:color="000000" w:fill="FFFFFF"/>
            <w:vAlign w:val="center"/>
            <w:hideMark/>
          </w:tcPr>
          <w:p w14:paraId="3E21E954" w14:textId="77777777" w:rsidR="00627470" w:rsidRPr="008E4DD9" w:rsidRDefault="00627470" w:rsidP="0015720F">
            <w:pPr>
              <w:pStyle w:val="TableTextRight"/>
            </w:pPr>
            <w:r w:rsidRPr="008E4DD9">
              <w:rPr>
                <w:rFonts w:eastAsiaTheme="minorEastAsia"/>
              </w:rPr>
              <w:t>4.750</w:t>
            </w:r>
          </w:p>
        </w:tc>
      </w:tr>
      <w:tr w:rsidR="00627470" w:rsidRPr="008E4DD9" w14:paraId="6558A9A6" w14:textId="77777777" w:rsidTr="00E80550">
        <w:trPr>
          <w:trHeight w:val="286"/>
        </w:trPr>
        <w:tc>
          <w:tcPr>
            <w:tcW w:w="1046" w:type="pct"/>
            <w:tcBorders>
              <w:top w:val="nil"/>
              <w:left w:val="nil"/>
              <w:bottom w:val="nil"/>
              <w:right w:val="nil"/>
            </w:tcBorders>
            <w:shd w:val="clear" w:color="auto" w:fill="F2F2F2" w:themeFill="background1" w:themeFillShade="F2"/>
            <w:vAlign w:val="center"/>
            <w:hideMark/>
          </w:tcPr>
          <w:p w14:paraId="63BC88CC" w14:textId="77777777" w:rsidR="00627470" w:rsidRPr="008E4DD9" w:rsidRDefault="00627470" w:rsidP="0015720F">
            <w:pPr>
              <w:pStyle w:val="Tabletextleft0"/>
            </w:pPr>
            <w:r>
              <w:rPr>
                <w:rFonts w:eastAsiaTheme="minorEastAsia"/>
              </w:rPr>
              <w:t>South Australia</w:t>
            </w:r>
          </w:p>
        </w:tc>
        <w:tc>
          <w:tcPr>
            <w:tcW w:w="565" w:type="pct"/>
            <w:tcBorders>
              <w:top w:val="nil"/>
              <w:left w:val="nil"/>
              <w:bottom w:val="nil"/>
              <w:right w:val="nil"/>
            </w:tcBorders>
            <w:shd w:val="clear" w:color="auto" w:fill="F2F2F2" w:themeFill="background1" w:themeFillShade="F2"/>
            <w:vAlign w:val="center"/>
            <w:hideMark/>
          </w:tcPr>
          <w:p w14:paraId="52D8DD63" w14:textId="77777777" w:rsidR="00627470" w:rsidRPr="008E4DD9" w:rsidRDefault="00627470" w:rsidP="0015720F">
            <w:pPr>
              <w:pStyle w:val="TableTextRight"/>
            </w:pPr>
            <w:r w:rsidRPr="008E4DD9">
              <w:rPr>
                <w:rFonts w:eastAsiaTheme="minorEastAsia"/>
              </w:rPr>
              <w:t>5.000</w:t>
            </w:r>
          </w:p>
        </w:tc>
        <w:tc>
          <w:tcPr>
            <w:tcW w:w="566" w:type="pct"/>
            <w:tcBorders>
              <w:top w:val="nil"/>
              <w:left w:val="nil"/>
              <w:bottom w:val="nil"/>
              <w:right w:val="nil"/>
            </w:tcBorders>
            <w:shd w:val="clear" w:color="auto" w:fill="F2F2F2" w:themeFill="background1" w:themeFillShade="F2"/>
            <w:vAlign w:val="center"/>
            <w:hideMark/>
          </w:tcPr>
          <w:p w14:paraId="64B212A7" w14:textId="77777777" w:rsidR="00627470" w:rsidRPr="008E4DD9" w:rsidRDefault="00627470" w:rsidP="0015720F">
            <w:pPr>
              <w:pStyle w:val="TableTextRight"/>
            </w:pPr>
            <w:r w:rsidRPr="008E4DD9">
              <w:rPr>
                <w:rFonts w:eastAsiaTheme="minorEastAsia"/>
              </w:rPr>
              <w:t>4.950</w:t>
            </w:r>
          </w:p>
        </w:tc>
        <w:tc>
          <w:tcPr>
            <w:tcW w:w="566" w:type="pct"/>
            <w:tcBorders>
              <w:top w:val="nil"/>
              <w:left w:val="nil"/>
              <w:bottom w:val="nil"/>
              <w:right w:val="nil"/>
            </w:tcBorders>
            <w:shd w:val="clear" w:color="auto" w:fill="F2F2F2" w:themeFill="background1" w:themeFillShade="F2"/>
            <w:vAlign w:val="center"/>
            <w:hideMark/>
          </w:tcPr>
          <w:p w14:paraId="1E827BE5" w14:textId="77777777" w:rsidR="00627470" w:rsidRPr="008E4DD9" w:rsidRDefault="00627470" w:rsidP="0015720F">
            <w:pPr>
              <w:pStyle w:val="TableTextRight"/>
            </w:pPr>
            <w:r w:rsidRPr="008E4DD9">
              <w:rPr>
                <w:rFonts w:eastAsiaTheme="minorEastAsia"/>
              </w:rPr>
              <w:t>4.950</w:t>
            </w:r>
          </w:p>
        </w:tc>
        <w:tc>
          <w:tcPr>
            <w:tcW w:w="566" w:type="pct"/>
            <w:tcBorders>
              <w:top w:val="nil"/>
              <w:left w:val="nil"/>
              <w:bottom w:val="nil"/>
              <w:right w:val="nil"/>
            </w:tcBorders>
            <w:shd w:val="clear" w:color="auto" w:fill="F2F2F2" w:themeFill="background1" w:themeFillShade="F2"/>
            <w:vAlign w:val="center"/>
            <w:hideMark/>
          </w:tcPr>
          <w:p w14:paraId="0ED7B0E6" w14:textId="77777777" w:rsidR="00627470" w:rsidRPr="008E4DD9" w:rsidRDefault="00627470" w:rsidP="0015720F">
            <w:pPr>
              <w:pStyle w:val="TableTextRight"/>
            </w:pPr>
            <w:r w:rsidRPr="008E4DD9">
              <w:rPr>
                <w:rFonts w:eastAsiaTheme="minorEastAsia"/>
              </w:rPr>
              <w:t>4.950</w:t>
            </w:r>
          </w:p>
        </w:tc>
        <w:tc>
          <w:tcPr>
            <w:tcW w:w="566" w:type="pct"/>
            <w:tcBorders>
              <w:top w:val="nil"/>
              <w:left w:val="nil"/>
              <w:bottom w:val="nil"/>
              <w:right w:val="nil"/>
            </w:tcBorders>
            <w:shd w:val="clear" w:color="auto" w:fill="F2F2F2" w:themeFill="background1" w:themeFillShade="F2"/>
            <w:vAlign w:val="center"/>
            <w:hideMark/>
          </w:tcPr>
          <w:p w14:paraId="03AA1D95" w14:textId="77777777" w:rsidR="00627470" w:rsidRPr="008E4DD9" w:rsidRDefault="00627470" w:rsidP="0015720F">
            <w:pPr>
              <w:pStyle w:val="TableTextRight"/>
            </w:pPr>
            <w:r w:rsidRPr="008E4DD9">
              <w:rPr>
                <w:rFonts w:eastAsiaTheme="minorEastAsia"/>
              </w:rPr>
              <w:t>4.950</w:t>
            </w:r>
          </w:p>
        </w:tc>
        <w:tc>
          <w:tcPr>
            <w:tcW w:w="566" w:type="pct"/>
            <w:tcBorders>
              <w:top w:val="nil"/>
              <w:left w:val="nil"/>
              <w:bottom w:val="nil"/>
              <w:right w:val="nil"/>
            </w:tcBorders>
            <w:shd w:val="clear" w:color="auto" w:fill="F2F2F2" w:themeFill="background1" w:themeFillShade="F2"/>
            <w:vAlign w:val="center"/>
            <w:hideMark/>
          </w:tcPr>
          <w:p w14:paraId="303D8F2F" w14:textId="77777777" w:rsidR="00627470" w:rsidRPr="008E4DD9" w:rsidRDefault="00627470" w:rsidP="0015720F">
            <w:pPr>
              <w:pStyle w:val="TableTextRight"/>
            </w:pPr>
            <w:r w:rsidRPr="008E4DD9">
              <w:rPr>
                <w:rFonts w:eastAsiaTheme="minorEastAsia"/>
              </w:rPr>
              <w:t>4.950</w:t>
            </w:r>
          </w:p>
        </w:tc>
        <w:tc>
          <w:tcPr>
            <w:tcW w:w="559" w:type="pct"/>
            <w:tcBorders>
              <w:top w:val="nil"/>
              <w:left w:val="nil"/>
              <w:bottom w:val="nil"/>
              <w:right w:val="nil"/>
            </w:tcBorders>
            <w:shd w:val="clear" w:color="auto" w:fill="F2F2F2" w:themeFill="background1" w:themeFillShade="F2"/>
            <w:vAlign w:val="center"/>
            <w:hideMark/>
          </w:tcPr>
          <w:p w14:paraId="44AABE70" w14:textId="77777777" w:rsidR="00627470" w:rsidRPr="008E4DD9" w:rsidRDefault="00627470" w:rsidP="0015720F">
            <w:pPr>
              <w:pStyle w:val="TableTextRight"/>
            </w:pPr>
            <w:r w:rsidRPr="008E4DD9">
              <w:rPr>
                <w:rFonts w:eastAsiaTheme="minorEastAsia"/>
              </w:rPr>
              <w:t>4.950</w:t>
            </w:r>
          </w:p>
        </w:tc>
      </w:tr>
      <w:tr w:rsidR="00627470" w:rsidRPr="008E4DD9" w14:paraId="1302B0C0" w14:textId="77777777" w:rsidTr="00816CB0">
        <w:trPr>
          <w:trHeight w:val="286"/>
        </w:trPr>
        <w:tc>
          <w:tcPr>
            <w:tcW w:w="1046" w:type="pct"/>
            <w:tcBorders>
              <w:top w:val="nil"/>
              <w:left w:val="nil"/>
              <w:right w:val="nil"/>
            </w:tcBorders>
            <w:shd w:val="clear" w:color="000000" w:fill="FFFFFF"/>
            <w:vAlign w:val="center"/>
            <w:hideMark/>
          </w:tcPr>
          <w:p w14:paraId="157132C7" w14:textId="77777777" w:rsidR="00627470" w:rsidRPr="008E4DD9" w:rsidRDefault="00627470" w:rsidP="0015720F">
            <w:pPr>
              <w:pStyle w:val="Tabletextleft0"/>
            </w:pPr>
            <w:r>
              <w:rPr>
                <w:rFonts w:eastAsiaTheme="minorEastAsia"/>
              </w:rPr>
              <w:t>Tasmania</w:t>
            </w:r>
          </w:p>
        </w:tc>
        <w:tc>
          <w:tcPr>
            <w:tcW w:w="565" w:type="pct"/>
            <w:tcBorders>
              <w:top w:val="nil"/>
              <w:left w:val="nil"/>
              <w:right w:val="nil"/>
            </w:tcBorders>
            <w:shd w:val="clear" w:color="000000" w:fill="FFFFFF"/>
            <w:vAlign w:val="center"/>
            <w:hideMark/>
          </w:tcPr>
          <w:p w14:paraId="32B5BE3B" w14:textId="77777777" w:rsidR="00627470" w:rsidRPr="008E4DD9" w:rsidRDefault="00627470" w:rsidP="0015720F">
            <w:pPr>
              <w:pStyle w:val="TableTextRight"/>
            </w:pPr>
            <w:r w:rsidRPr="008E4DD9">
              <w:rPr>
                <w:rFonts w:eastAsiaTheme="minorEastAsia"/>
              </w:rPr>
              <w:t>6.100</w:t>
            </w:r>
          </w:p>
        </w:tc>
        <w:tc>
          <w:tcPr>
            <w:tcW w:w="566" w:type="pct"/>
            <w:tcBorders>
              <w:top w:val="nil"/>
              <w:left w:val="nil"/>
              <w:right w:val="nil"/>
            </w:tcBorders>
            <w:shd w:val="clear" w:color="000000" w:fill="FFFFFF"/>
            <w:vAlign w:val="center"/>
            <w:hideMark/>
          </w:tcPr>
          <w:p w14:paraId="014FB148" w14:textId="77777777" w:rsidR="00627470" w:rsidRPr="008E4DD9" w:rsidRDefault="00627470" w:rsidP="0015720F">
            <w:pPr>
              <w:pStyle w:val="TableTextRight"/>
            </w:pPr>
            <w:r w:rsidRPr="008E4DD9">
              <w:rPr>
                <w:rFonts w:eastAsiaTheme="minorEastAsia"/>
              </w:rPr>
              <w:t>6.100</w:t>
            </w:r>
          </w:p>
        </w:tc>
        <w:tc>
          <w:tcPr>
            <w:tcW w:w="566" w:type="pct"/>
            <w:tcBorders>
              <w:top w:val="nil"/>
              <w:left w:val="nil"/>
              <w:right w:val="nil"/>
            </w:tcBorders>
            <w:shd w:val="clear" w:color="000000" w:fill="FFFFFF"/>
            <w:vAlign w:val="center"/>
            <w:hideMark/>
          </w:tcPr>
          <w:p w14:paraId="6950D472" w14:textId="77777777" w:rsidR="00627470" w:rsidRPr="008E4DD9" w:rsidRDefault="00627470" w:rsidP="0015720F">
            <w:pPr>
              <w:pStyle w:val="TableTextRight"/>
            </w:pPr>
            <w:r w:rsidRPr="008E4DD9">
              <w:rPr>
                <w:rFonts w:eastAsiaTheme="minorEastAsia"/>
              </w:rPr>
              <w:t>6.100</w:t>
            </w:r>
          </w:p>
        </w:tc>
        <w:tc>
          <w:tcPr>
            <w:tcW w:w="566" w:type="pct"/>
            <w:tcBorders>
              <w:top w:val="nil"/>
              <w:left w:val="nil"/>
              <w:right w:val="nil"/>
            </w:tcBorders>
            <w:shd w:val="clear" w:color="000000" w:fill="FFFFFF"/>
            <w:vAlign w:val="center"/>
            <w:hideMark/>
          </w:tcPr>
          <w:p w14:paraId="5CF30995" w14:textId="77777777" w:rsidR="00627470" w:rsidRPr="008E4DD9" w:rsidRDefault="00627470" w:rsidP="0015720F">
            <w:pPr>
              <w:pStyle w:val="TableTextRight"/>
            </w:pPr>
            <w:r w:rsidRPr="008E4DD9">
              <w:rPr>
                <w:rFonts w:eastAsiaTheme="minorEastAsia"/>
              </w:rPr>
              <w:t>6.100</w:t>
            </w:r>
          </w:p>
        </w:tc>
        <w:tc>
          <w:tcPr>
            <w:tcW w:w="566" w:type="pct"/>
            <w:tcBorders>
              <w:top w:val="nil"/>
              <w:left w:val="nil"/>
              <w:right w:val="nil"/>
            </w:tcBorders>
            <w:shd w:val="clear" w:color="000000" w:fill="FFFFFF"/>
            <w:vAlign w:val="center"/>
            <w:hideMark/>
          </w:tcPr>
          <w:p w14:paraId="72C37B35" w14:textId="77777777" w:rsidR="00627470" w:rsidRPr="008E4DD9" w:rsidRDefault="00627470" w:rsidP="0015720F">
            <w:pPr>
              <w:pStyle w:val="TableTextRight"/>
            </w:pPr>
            <w:r w:rsidRPr="008E4DD9">
              <w:rPr>
                <w:rFonts w:eastAsiaTheme="minorEastAsia"/>
              </w:rPr>
              <w:t>6.100</w:t>
            </w:r>
          </w:p>
        </w:tc>
        <w:tc>
          <w:tcPr>
            <w:tcW w:w="566" w:type="pct"/>
            <w:tcBorders>
              <w:top w:val="nil"/>
              <w:left w:val="nil"/>
              <w:right w:val="nil"/>
            </w:tcBorders>
            <w:shd w:val="clear" w:color="000000" w:fill="FFFFFF"/>
            <w:vAlign w:val="center"/>
            <w:hideMark/>
          </w:tcPr>
          <w:p w14:paraId="505A978A" w14:textId="77777777" w:rsidR="00627470" w:rsidRPr="008E4DD9" w:rsidRDefault="00627470" w:rsidP="0015720F">
            <w:pPr>
              <w:pStyle w:val="TableTextRight"/>
            </w:pPr>
            <w:r w:rsidRPr="008E4DD9">
              <w:rPr>
                <w:rFonts w:eastAsiaTheme="minorEastAsia"/>
              </w:rPr>
              <w:t>6.100</w:t>
            </w:r>
          </w:p>
        </w:tc>
        <w:tc>
          <w:tcPr>
            <w:tcW w:w="559" w:type="pct"/>
            <w:tcBorders>
              <w:top w:val="nil"/>
              <w:left w:val="nil"/>
              <w:right w:val="nil"/>
            </w:tcBorders>
            <w:shd w:val="clear" w:color="000000" w:fill="FFFFFF"/>
            <w:vAlign w:val="center"/>
            <w:hideMark/>
          </w:tcPr>
          <w:p w14:paraId="3E746991" w14:textId="77777777" w:rsidR="00627470" w:rsidRPr="008E4DD9" w:rsidRDefault="00627470" w:rsidP="0015720F">
            <w:pPr>
              <w:pStyle w:val="TableTextRight"/>
            </w:pPr>
            <w:r w:rsidRPr="008E4DD9">
              <w:rPr>
                <w:rFonts w:eastAsiaTheme="minorEastAsia"/>
              </w:rPr>
              <w:t>6.100</w:t>
            </w:r>
          </w:p>
        </w:tc>
      </w:tr>
      <w:tr w:rsidR="00627470" w:rsidRPr="008E4DD9" w14:paraId="30D0D682" w14:textId="77777777" w:rsidTr="00E80550">
        <w:trPr>
          <w:trHeight w:val="286"/>
        </w:trPr>
        <w:tc>
          <w:tcPr>
            <w:tcW w:w="1046" w:type="pct"/>
            <w:tcBorders>
              <w:top w:val="nil"/>
              <w:left w:val="nil"/>
              <w:right w:val="nil"/>
            </w:tcBorders>
            <w:shd w:val="clear" w:color="auto" w:fill="F2F2F2" w:themeFill="background1" w:themeFillShade="F2"/>
            <w:vAlign w:val="center"/>
            <w:hideMark/>
          </w:tcPr>
          <w:p w14:paraId="69437DC1" w14:textId="77777777" w:rsidR="00627470" w:rsidRPr="008E4DD9" w:rsidRDefault="00627470" w:rsidP="0015720F">
            <w:pPr>
              <w:pStyle w:val="Tabletextleft0"/>
            </w:pPr>
            <w:r>
              <w:rPr>
                <w:rFonts w:eastAsiaTheme="minorEastAsia"/>
              </w:rPr>
              <w:t>Victoria</w:t>
            </w:r>
          </w:p>
        </w:tc>
        <w:tc>
          <w:tcPr>
            <w:tcW w:w="565" w:type="pct"/>
            <w:tcBorders>
              <w:top w:val="nil"/>
              <w:left w:val="nil"/>
              <w:right w:val="nil"/>
            </w:tcBorders>
            <w:shd w:val="clear" w:color="auto" w:fill="F2F2F2" w:themeFill="background1" w:themeFillShade="F2"/>
            <w:vAlign w:val="center"/>
            <w:hideMark/>
          </w:tcPr>
          <w:p w14:paraId="5D3C444E" w14:textId="77777777" w:rsidR="00627470" w:rsidRPr="008E4DD9" w:rsidRDefault="00627470" w:rsidP="0015720F">
            <w:pPr>
              <w:pStyle w:val="TableTextRight"/>
            </w:pPr>
            <w:r w:rsidRPr="008E4DD9">
              <w:rPr>
                <w:rFonts w:eastAsiaTheme="minorEastAsia"/>
              </w:rPr>
              <w:t>4.950</w:t>
            </w:r>
          </w:p>
        </w:tc>
        <w:tc>
          <w:tcPr>
            <w:tcW w:w="566" w:type="pct"/>
            <w:tcBorders>
              <w:top w:val="nil"/>
              <w:left w:val="nil"/>
              <w:right w:val="nil"/>
            </w:tcBorders>
            <w:shd w:val="clear" w:color="auto" w:fill="F2F2F2" w:themeFill="background1" w:themeFillShade="F2"/>
            <w:vAlign w:val="center"/>
            <w:hideMark/>
          </w:tcPr>
          <w:p w14:paraId="6C155374" w14:textId="77777777" w:rsidR="00627470" w:rsidRPr="008E4DD9" w:rsidRDefault="00627470" w:rsidP="0015720F">
            <w:pPr>
              <w:pStyle w:val="TableTextRight"/>
            </w:pPr>
            <w:r w:rsidRPr="008E4DD9">
              <w:rPr>
                <w:rFonts w:eastAsiaTheme="minorEastAsia"/>
              </w:rPr>
              <w:t>4.950</w:t>
            </w:r>
          </w:p>
        </w:tc>
        <w:tc>
          <w:tcPr>
            <w:tcW w:w="566" w:type="pct"/>
            <w:tcBorders>
              <w:top w:val="nil"/>
              <w:left w:val="nil"/>
              <w:right w:val="nil"/>
            </w:tcBorders>
            <w:shd w:val="clear" w:color="auto" w:fill="F2F2F2" w:themeFill="background1" w:themeFillShade="F2"/>
            <w:vAlign w:val="center"/>
            <w:hideMark/>
          </w:tcPr>
          <w:p w14:paraId="092F714B" w14:textId="77777777" w:rsidR="00627470" w:rsidRPr="008E4DD9" w:rsidRDefault="00627470" w:rsidP="0015720F">
            <w:pPr>
              <w:pStyle w:val="TableTextRight"/>
            </w:pPr>
            <w:r w:rsidRPr="008E4DD9">
              <w:rPr>
                <w:rFonts w:eastAsiaTheme="minorEastAsia"/>
              </w:rPr>
              <w:t>4.900</w:t>
            </w:r>
          </w:p>
        </w:tc>
        <w:tc>
          <w:tcPr>
            <w:tcW w:w="566" w:type="pct"/>
            <w:tcBorders>
              <w:top w:val="nil"/>
              <w:left w:val="nil"/>
              <w:right w:val="nil"/>
            </w:tcBorders>
            <w:shd w:val="clear" w:color="auto" w:fill="F2F2F2" w:themeFill="background1" w:themeFillShade="F2"/>
            <w:vAlign w:val="center"/>
            <w:hideMark/>
          </w:tcPr>
          <w:p w14:paraId="7C1A1027" w14:textId="77777777" w:rsidR="00627470" w:rsidRPr="008E4DD9" w:rsidRDefault="00627470" w:rsidP="0015720F">
            <w:pPr>
              <w:pStyle w:val="TableTextRight"/>
            </w:pPr>
            <w:r w:rsidRPr="008E4DD9">
              <w:rPr>
                <w:rFonts w:eastAsiaTheme="minorEastAsia"/>
              </w:rPr>
              <w:t>4.900</w:t>
            </w:r>
          </w:p>
        </w:tc>
        <w:tc>
          <w:tcPr>
            <w:tcW w:w="566" w:type="pct"/>
            <w:tcBorders>
              <w:top w:val="nil"/>
              <w:left w:val="nil"/>
              <w:right w:val="nil"/>
            </w:tcBorders>
            <w:shd w:val="clear" w:color="auto" w:fill="F2F2F2" w:themeFill="background1" w:themeFillShade="F2"/>
            <w:vAlign w:val="center"/>
            <w:hideMark/>
          </w:tcPr>
          <w:p w14:paraId="0EEA9411" w14:textId="77777777" w:rsidR="00627470" w:rsidRPr="008E4DD9" w:rsidRDefault="00627470" w:rsidP="0015720F">
            <w:pPr>
              <w:pStyle w:val="TableTextRight"/>
            </w:pPr>
            <w:r w:rsidRPr="008E4DD9">
              <w:rPr>
                <w:rFonts w:eastAsiaTheme="minorEastAsia"/>
              </w:rPr>
              <w:t>4.900</w:t>
            </w:r>
          </w:p>
        </w:tc>
        <w:tc>
          <w:tcPr>
            <w:tcW w:w="566" w:type="pct"/>
            <w:tcBorders>
              <w:top w:val="nil"/>
              <w:left w:val="nil"/>
              <w:right w:val="nil"/>
            </w:tcBorders>
            <w:shd w:val="clear" w:color="auto" w:fill="F2F2F2" w:themeFill="background1" w:themeFillShade="F2"/>
            <w:vAlign w:val="center"/>
            <w:hideMark/>
          </w:tcPr>
          <w:p w14:paraId="583F193B" w14:textId="77777777" w:rsidR="00627470" w:rsidRPr="008E4DD9" w:rsidRDefault="00627470" w:rsidP="0015720F">
            <w:pPr>
              <w:pStyle w:val="TableTextRight"/>
            </w:pPr>
            <w:r w:rsidRPr="008E4DD9">
              <w:rPr>
                <w:rFonts w:eastAsiaTheme="minorEastAsia"/>
              </w:rPr>
              <w:t>4.900</w:t>
            </w:r>
          </w:p>
        </w:tc>
        <w:tc>
          <w:tcPr>
            <w:tcW w:w="559" w:type="pct"/>
            <w:tcBorders>
              <w:top w:val="nil"/>
              <w:left w:val="nil"/>
              <w:right w:val="nil"/>
            </w:tcBorders>
            <w:shd w:val="clear" w:color="auto" w:fill="F2F2F2" w:themeFill="background1" w:themeFillShade="F2"/>
            <w:vAlign w:val="center"/>
            <w:hideMark/>
          </w:tcPr>
          <w:p w14:paraId="07B7CA19" w14:textId="77777777" w:rsidR="00627470" w:rsidRPr="008E4DD9" w:rsidRDefault="00627470" w:rsidP="0015720F">
            <w:pPr>
              <w:pStyle w:val="TableTextRight"/>
            </w:pPr>
            <w:r w:rsidRPr="008E4DD9">
              <w:rPr>
                <w:rFonts w:eastAsiaTheme="minorEastAsia"/>
              </w:rPr>
              <w:t>4.850</w:t>
            </w:r>
          </w:p>
        </w:tc>
      </w:tr>
      <w:tr w:rsidR="00627470" w:rsidRPr="008E4DD9" w14:paraId="0B02CADD" w14:textId="77777777" w:rsidTr="00816CB0">
        <w:trPr>
          <w:trHeight w:val="286"/>
        </w:trPr>
        <w:tc>
          <w:tcPr>
            <w:tcW w:w="1046" w:type="pct"/>
            <w:tcBorders>
              <w:top w:val="nil"/>
              <w:left w:val="nil"/>
              <w:bottom w:val="single" w:sz="4" w:space="0" w:color="000000" w:themeColor="text1"/>
              <w:right w:val="nil"/>
            </w:tcBorders>
            <w:shd w:val="clear" w:color="000000" w:fill="FFFFFF"/>
            <w:vAlign w:val="center"/>
            <w:hideMark/>
          </w:tcPr>
          <w:p w14:paraId="56C20042" w14:textId="77777777" w:rsidR="00627470" w:rsidRPr="008E4DD9" w:rsidRDefault="00627470" w:rsidP="0015720F">
            <w:pPr>
              <w:pStyle w:val="Tabletextleft0"/>
            </w:pPr>
            <w:r>
              <w:rPr>
                <w:rFonts w:eastAsiaTheme="minorEastAsia"/>
              </w:rPr>
              <w:t>Western Australia</w:t>
            </w:r>
          </w:p>
        </w:tc>
        <w:tc>
          <w:tcPr>
            <w:tcW w:w="565" w:type="pct"/>
            <w:tcBorders>
              <w:top w:val="nil"/>
              <w:left w:val="nil"/>
              <w:bottom w:val="single" w:sz="4" w:space="0" w:color="000000" w:themeColor="text1"/>
              <w:right w:val="nil"/>
            </w:tcBorders>
            <w:shd w:val="clear" w:color="000000" w:fill="FFFFFF"/>
            <w:vAlign w:val="center"/>
            <w:hideMark/>
          </w:tcPr>
          <w:p w14:paraId="6B90C54E" w14:textId="77777777" w:rsidR="00627470" w:rsidRPr="008E4DD9" w:rsidRDefault="00627470" w:rsidP="0015720F">
            <w:pPr>
              <w:pStyle w:val="TableTextRight"/>
            </w:pPr>
            <w:r w:rsidRPr="008E4DD9">
              <w:rPr>
                <w:rFonts w:eastAsiaTheme="minorEastAsia"/>
              </w:rPr>
              <w:t>5.500</w:t>
            </w:r>
          </w:p>
        </w:tc>
        <w:tc>
          <w:tcPr>
            <w:tcW w:w="566" w:type="pct"/>
            <w:tcBorders>
              <w:top w:val="nil"/>
              <w:left w:val="nil"/>
              <w:bottom w:val="single" w:sz="4" w:space="0" w:color="000000" w:themeColor="text1"/>
              <w:right w:val="nil"/>
            </w:tcBorders>
            <w:shd w:val="clear" w:color="000000" w:fill="FFFFFF"/>
            <w:vAlign w:val="center"/>
            <w:hideMark/>
          </w:tcPr>
          <w:p w14:paraId="2BEE3FAB" w14:textId="77777777" w:rsidR="00627470" w:rsidRPr="008E4DD9" w:rsidRDefault="00627470" w:rsidP="0015720F">
            <w:pPr>
              <w:pStyle w:val="TableTextRight"/>
            </w:pPr>
            <w:r w:rsidRPr="008E4DD9">
              <w:rPr>
                <w:rFonts w:eastAsiaTheme="minorEastAsia"/>
              </w:rPr>
              <w:t>5.500</w:t>
            </w:r>
          </w:p>
        </w:tc>
        <w:tc>
          <w:tcPr>
            <w:tcW w:w="566" w:type="pct"/>
            <w:tcBorders>
              <w:top w:val="nil"/>
              <w:left w:val="nil"/>
              <w:bottom w:val="single" w:sz="4" w:space="0" w:color="000000" w:themeColor="text1"/>
              <w:right w:val="nil"/>
            </w:tcBorders>
            <w:shd w:val="clear" w:color="000000" w:fill="FFFFFF"/>
            <w:vAlign w:val="center"/>
            <w:hideMark/>
          </w:tcPr>
          <w:p w14:paraId="6E0D4009" w14:textId="77777777" w:rsidR="00627470" w:rsidRPr="008E4DD9" w:rsidRDefault="00627470" w:rsidP="0015720F">
            <w:pPr>
              <w:pStyle w:val="TableTextRight"/>
            </w:pPr>
            <w:r w:rsidRPr="008E4DD9">
              <w:rPr>
                <w:rFonts w:eastAsiaTheme="minorEastAsia"/>
              </w:rPr>
              <w:t>5.500</w:t>
            </w:r>
          </w:p>
        </w:tc>
        <w:tc>
          <w:tcPr>
            <w:tcW w:w="566" w:type="pct"/>
            <w:tcBorders>
              <w:top w:val="nil"/>
              <w:left w:val="nil"/>
              <w:bottom w:val="single" w:sz="4" w:space="0" w:color="000000" w:themeColor="text1"/>
              <w:right w:val="nil"/>
            </w:tcBorders>
            <w:shd w:val="clear" w:color="000000" w:fill="FFFFFF"/>
            <w:vAlign w:val="center"/>
            <w:hideMark/>
          </w:tcPr>
          <w:p w14:paraId="0D5E8CF6" w14:textId="77777777" w:rsidR="00627470" w:rsidRPr="008E4DD9" w:rsidRDefault="00627470" w:rsidP="0015720F">
            <w:pPr>
              <w:pStyle w:val="TableTextRight"/>
            </w:pPr>
            <w:r w:rsidRPr="008E4DD9">
              <w:rPr>
                <w:rFonts w:eastAsiaTheme="minorEastAsia"/>
              </w:rPr>
              <w:t>5.500</w:t>
            </w:r>
          </w:p>
        </w:tc>
        <w:tc>
          <w:tcPr>
            <w:tcW w:w="566" w:type="pct"/>
            <w:tcBorders>
              <w:top w:val="nil"/>
              <w:left w:val="nil"/>
              <w:bottom w:val="single" w:sz="4" w:space="0" w:color="000000" w:themeColor="text1"/>
              <w:right w:val="nil"/>
            </w:tcBorders>
            <w:shd w:val="clear" w:color="000000" w:fill="FFFFFF"/>
            <w:vAlign w:val="center"/>
            <w:hideMark/>
          </w:tcPr>
          <w:p w14:paraId="7F527E39" w14:textId="77777777" w:rsidR="00627470" w:rsidRPr="008E4DD9" w:rsidRDefault="00627470" w:rsidP="0015720F">
            <w:pPr>
              <w:pStyle w:val="TableTextRight"/>
            </w:pPr>
            <w:r w:rsidRPr="008E4DD9">
              <w:rPr>
                <w:rFonts w:eastAsiaTheme="minorEastAsia"/>
              </w:rPr>
              <w:t>5.500</w:t>
            </w:r>
          </w:p>
        </w:tc>
        <w:tc>
          <w:tcPr>
            <w:tcW w:w="566" w:type="pct"/>
            <w:tcBorders>
              <w:top w:val="nil"/>
              <w:left w:val="nil"/>
              <w:bottom w:val="single" w:sz="4" w:space="0" w:color="000000" w:themeColor="text1"/>
              <w:right w:val="nil"/>
            </w:tcBorders>
            <w:shd w:val="clear" w:color="000000" w:fill="FFFFFF"/>
            <w:vAlign w:val="center"/>
            <w:hideMark/>
          </w:tcPr>
          <w:p w14:paraId="1AC14E24" w14:textId="77777777" w:rsidR="00627470" w:rsidRPr="008E4DD9" w:rsidRDefault="00627470" w:rsidP="0015720F">
            <w:pPr>
              <w:pStyle w:val="TableTextRight"/>
            </w:pPr>
            <w:r w:rsidRPr="008E4DD9">
              <w:rPr>
                <w:rFonts w:eastAsiaTheme="minorEastAsia"/>
              </w:rPr>
              <w:t>5.500</w:t>
            </w:r>
          </w:p>
        </w:tc>
        <w:tc>
          <w:tcPr>
            <w:tcW w:w="559" w:type="pct"/>
            <w:tcBorders>
              <w:top w:val="nil"/>
              <w:left w:val="nil"/>
              <w:bottom w:val="single" w:sz="4" w:space="0" w:color="000000" w:themeColor="text1"/>
              <w:right w:val="nil"/>
            </w:tcBorders>
            <w:shd w:val="clear" w:color="000000" w:fill="FFFFFF"/>
            <w:vAlign w:val="center"/>
            <w:hideMark/>
          </w:tcPr>
          <w:p w14:paraId="04DF711B" w14:textId="77777777" w:rsidR="00627470" w:rsidRPr="008E4DD9" w:rsidRDefault="00627470" w:rsidP="0015720F">
            <w:pPr>
              <w:pStyle w:val="TableTextRight"/>
            </w:pPr>
            <w:r w:rsidRPr="008E4DD9">
              <w:rPr>
                <w:rFonts w:eastAsiaTheme="minorEastAsia"/>
              </w:rPr>
              <w:t>5.500</w:t>
            </w:r>
          </w:p>
        </w:tc>
      </w:tr>
    </w:tbl>
    <w:p w14:paraId="2E35B2C7" w14:textId="563EE29F" w:rsidR="00627470" w:rsidRDefault="00550818" w:rsidP="00E80550">
      <w:pPr>
        <w:pStyle w:val="ChartorTableNote"/>
        <w:spacing w:after="0"/>
        <w:ind w:left="0" w:firstLine="0"/>
      </w:pPr>
      <w:r>
        <w:t xml:space="preserve">Source: Various State Governments. </w:t>
      </w:r>
      <w:r w:rsidR="00627470" w:rsidRPr="0046412A">
        <w:t xml:space="preserve">Note: </w:t>
      </w:r>
      <w:r w:rsidR="00627470">
        <w:t>New South Wales in 2008-09, 2009-10 and 2010-11 is an average as the rate changed part way through the financial year.</w:t>
      </w:r>
    </w:p>
    <w:p w14:paraId="0C4C2A04" w14:textId="77777777" w:rsidR="00E80550" w:rsidRPr="00E80550" w:rsidRDefault="00E80550" w:rsidP="00E80550">
      <w:pPr>
        <w:rPr>
          <w:lang w:eastAsia="en-AU"/>
        </w:rPr>
      </w:pPr>
    </w:p>
    <w:p w14:paraId="26473F0A" w14:textId="3508585C" w:rsidR="00627470" w:rsidRPr="00816CB0" w:rsidRDefault="00627470" w:rsidP="00816CB0">
      <w:pPr>
        <w:pStyle w:val="TableMainHeading"/>
        <w:rPr>
          <w:szCs w:val="21"/>
        </w:rPr>
      </w:pPr>
      <w:r w:rsidRPr="00816CB0">
        <w:rPr>
          <w:szCs w:val="21"/>
        </w:rPr>
        <w:lastRenderedPageBreak/>
        <w:t xml:space="preserve">Table A4: Effective* marginal payroll tax rates </w:t>
      </w:r>
      <w:r w:rsidR="00F12EE0" w:rsidRPr="00816CB0">
        <w:rPr>
          <w:szCs w:val="21"/>
        </w:rPr>
        <w:t>(%) from financial year to 2008–09 to 2014–</w:t>
      </w:r>
      <w:r w:rsidRPr="00816CB0">
        <w:rPr>
          <w:szCs w:val="21"/>
        </w:rPr>
        <w:t>15</w:t>
      </w:r>
    </w:p>
    <w:tbl>
      <w:tblPr>
        <w:tblW w:w="4983" w:type="pct"/>
        <w:jc w:val="center"/>
        <w:tblLayout w:type="fixed"/>
        <w:tblLook w:val="04A0" w:firstRow="1" w:lastRow="0" w:firstColumn="1" w:lastColumn="0" w:noHBand="0" w:noVBand="1"/>
      </w:tblPr>
      <w:tblGrid>
        <w:gridCol w:w="1985"/>
        <w:gridCol w:w="1070"/>
        <w:gridCol w:w="1073"/>
        <w:gridCol w:w="1073"/>
        <w:gridCol w:w="1073"/>
        <w:gridCol w:w="1073"/>
        <w:gridCol w:w="1073"/>
        <w:gridCol w:w="1062"/>
      </w:tblGrid>
      <w:tr w:rsidR="00627470" w:rsidRPr="008E4DD9" w14:paraId="076E9A0C" w14:textId="77777777" w:rsidTr="00E80550">
        <w:trPr>
          <w:trHeight w:val="286"/>
          <w:jc w:val="center"/>
        </w:trPr>
        <w:tc>
          <w:tcPr>
            <w:tcW w:w="104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763C92F0" w14:textId="77777777" w:rsidR="00627470" w:rsidRPr="008E4DD9" w:rsidRDefault="00627470" w:rsidP="00150451">
            <w:pPr>
              <w:pStyle w:val="TableColumnHeadingLeft"/>
              <w:keepNext/>
              <w:keepLines/>
            </w:pPr>
            <w:r w:rsidRPr="008E4DD9">
              <w:t>State</w:t>
            </w:r>
          </w:p>
        </w:tc>
        <w:tc>
          <w:tcPr>
            <w:tcW w:w="564"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0CDDECA4" w14:textId="6EBB9032" w:rsidR="00627470" w:rsidRPr="008E4DD9" w:rsidRDefault="00F12EE0" w:rsidP="00816CB0">
            <w:pPr>
              <w:pStyle w:val="TableColumnHeadingRight"/>
            </w:pPr>
            <w:r>
              <w:t>2008–</w:t>
            </w:r>
            <w:r w:rsidR="00627470" w:rsidRPr="008E4DD9">
              <w:t>09</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38CC05C1" w14:textId="64FB9773" w:rsidR="00627470" w:rsidRPr="008E4DD9" w:rsidRDefault="00F12EE0" w:rsidP="00816CB0">
            <w:pPr>
              <w:pStyle w:val="TableColumnHeadingRight"/>
            </w:pPr>
            <w:r>
              <w:t>2009–</w:t>
            </w:r>
            <w:r w:rsidR="00627470" w:rsidRPr="008E4DD9">
              <w:t>10</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06057D1B" w14:textId="7F35EBB2" w:rsidR="00627470" w:rsidRPr="008E4DD9" w:rsidRDefault="00627470" w:rsidP="00816CB0">
            <w:pPr>
              <w:pStyle w:val="TableColumnHeadingRight"/>
            </w:pPr>
            <w:r w:rsidRPr="008E4DD9">
              <w:t>2010</w:t>
            </w:r>
            <w:r w:rsidR="00F12EE0">
              <w:t>–</w:t>
            </w:r>
            <w:r w:rsidRPr="008E4DD9">
              <w:t>11</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B9D2CEF" w14:textId="157DFF1D" w:rsidR="00627470" w:rsidRPr="008E4DD9" w:rsidRDefault="00F12EE0" w:rsidP="00816CB0">
            <w:pPr>
              <w:pStyle w:val="TableColumnHeadingRight"/>
            </w:pPr>
            <w:r>
              <w:t>2011–</w:t>
            </w:r>
            <w:r w:rsidR="00627470" w:rsidRPr="008E4DD9">
              <w:t>12</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77D1822C" w14:textId="3254ABAD" w:rsidR="00627470" w:rsidRPr="008E4DD9" w:rsidRDefault="00F12EE0" w:rsidP="00816CB0">
            <w:pPr>
              <w:pStyle w:val="TableColumnHeadingRight"/>
            </w:pPr>
            <w:r>
              <w:t>2012–</w:t>
            </w:r>
            <w:r w:rsidR="00627470" w:rsidRPr="008E4DD9">
              <w:t>13</w:t>
            </w:r>
          </w:p>
        </w:tc>
        <w:tc>
          <w:tcPr>
            <w:tcW w:w="566"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3B7BB869" w14:textId="49A282EF" w:rsidR="00627470" w:rsidRPr="008E4DD9" w:rsidRDefault="00F12EE0" w:rsidP="00816CB0">
            <w:pPr>
              <w:pStyle w:val="TableColumnHeadingRight"/>
            </w:pPr>
            <w:r>
              <w:t>2013–</w:t>
            </w:r>
            <w:r w:rsidR="00627470" w:rsidRPr="008E4DD9">
              <w:t>14</w:t>
            </w:r>
          </w:p>
        </w:tc>
        <w:tc>
          <w:tcPr>
            <w:tcW w:w="561" w:type="pct"/>
            <w:tcBorders>
              <w:top w:val="single" w:sz="8" w:space="0" w:color="000000" w:themeColor="text1"/>
              <w:left w:val="nil"/>
              <w:bottom w:val="single" w:sz="8" w:space="0" w:color="000000" w:themeColor="text1"/>
              <w:right w:val="nil"/>
            </w:tcBorders>
            <w:shd w:val="clear" w:color="auto" w:fill="C6D9F1" w:themeFill="text2" w:themeFillTint="33"/>
            <w:vAlign w:val="center"/>
            <w:hideMark/>
          </w:tcPr>
          <w:p w14:paraId="145E79AD" w14:textId="33778673" w:rsidR="00627470" w:rsidRPr="008E4DD9" w:rsidRDefault="00F12EE0" w:rsidP="00816CB0">
            <w:pPr>
              <w:pStyle w:val="TableColumnHeadingRight"/>
            </w:pPr>
            <w:r>
              <w:t>2014–</w:t>
            </w:r>
            <w:r w:rsidR="00627470" w:rsidRPr="008E4DD9">
              <w:t>15</w:t>
            </w:r>
          </w:p>
        </w:tc>
      </w:tr>
      <w:tr w:rsidR="00627470" w:rsidRPr="008E4DD9" w14:paraId="77151B0F" w14:textId="77777777" w:rsidTr="00816CB0">
        <w:trPr>
          <w:trHeight w:val="286"/>
          <w:jc w:val="center"/>
        </w:trPr>
        <w:tc>
          <w:tcPr>
            <w:tcW w:w="1046" w:type="pct"/>
            <w:tcBorders>
              <w:top w:val="single" w:sz="8" w:space="0" w:color="000000" w:themeColor="text1"/>
              <w:left w:val="nil"/>
              <w:right w:val="nil"/>
            </w:tcBorders>
            <w:shd w:val="clear" w:color="000000" w:fill="FFFFFF"/>
            <w:vAlign w:val="center"/>
            <w:hideMark/>
          </w:tcPr>
          <w:p w14:paraId="39187AAD" w14:textId="77777777" w:rsidR="00627470" w:rsidRPr="008E4DD9" w:rsidRDefault="00627470" w:rsidP="00150451">
            <w:pPr>
              <w:pStyle w:val="Tabletextleft0"/>
              <w:keepNext/>
              <w:keepLines/>
            </w:pPr>
            <w:r>
              <w:rPr>
                <w:rFonts w:eastAsiaTheme="minorEastAsia"/>
              </w:rPr>
              <w:t>New South Wales</w:t>
            </w:r>
          </w:p>
        </w:tc>
        <w:tc>
          <w:tcPr>
            <w:tcW w:w="564" w:type="pct"/>
            <w:tcBorders>
              <w:top w:val="single" w:sz="8" w:space="0" w:color="000000" w:themeColor="text1"/>
              <w:left w:val="nil"/>
              <w:right w:val="nil"/>
            </w:tcBorders>
            <w:shd w:val="clear" w:color="000000" w:fill="FFFFFF"/>
            <w:vAlign w:val="center"/>
            <w:hideMark/>
          </w:tcPr>
          <w:p w14:paraId="7B272126" w14:textId="77777777" w:rsidR="00627470" w:rsidRPr="008E4DD9" w:rsidRDefault="00627470" w:rsidP="00150451">
            <w:pPr>
              <w:pStyle w:val="Tabletextcentred"/>
              <w:keepNext/>
              <w:keepLines/>
            </w:pPr>
            <w:r w:rsidRPr="008E4DD9">
              <w:rPr>
                <w:rFonts w:eastAsiaTheme="minorEastAsia"/>
              </w:rPr>
              <w:t>5.875</w:t>
            </w:r>
            <w:r>
              <w:rPr>
                <w:rFonts w:eastAsiaTheme="minorEastAsia"/>
              </w:rPr>
              <w:t>0</w:t>
            </w:r>
          </w:p>
        </w:tc>
        <w:tc>
          <w:tcPr>
            <w:tcW w:w="566" w:type="pct"/>
            <w:tcBorders>
              <w:top w:val="single" w:sz="8" w:space="0" w:color="000000" w:themeColor="text1"/>
              <w:left w:val="nil"/>
              <w:right w:val="nil"/>
            </w:tcBorders>
            <w:shd w:val="clear" w:color="000000" w:fill="FFFFFF"/>
            <w:vAlign w:val="center"/>
            <w:hideMark/>
          </w:tcPr>
          <w:p w14:paraId="272FBAFF" w14:textId="77777777" w:rsidR="00627470" w:rsidRPr="008E4DD9" w:rsidRDefault="00627470" w:rsidP="00150451">
            <w:pPr>
              <w:pStyle w:val="Tabletextcentred"/>
              <w:keepNext/>
              <w:keepLines/>
            </w:pPr>
            <w:r w:rsidRPr="008E4DD9">
              <w:rPr>
                <w:rFonts w:eastAsiaTheme="minorEastAsia"/>
              </w:rPr>
              <w:t>5.70</w:t>
            </w:r>
            <w:r>
              <w:rPr>
                <w:rFonts w:eastAsiaTheme="minorEastAsia"/>
              </w:rPr>
              <w:t>0</w:t>
            </w:r>
            <w:r w:rsidRPr="008E4DD9">
              <w:rPr>
                <w:rFonts w:eastAsiaTheme="minorEastAsia"/>
              </w:rPr>
              <w:t>0</w:t>
            </w:r>
          </w:p>
        </w:tc>
        <w:tc>
          <w:tcPr>
            <w:tcW w:w="566" w:type="pct"/>
            <w:tcBorders>
              <w:top w:val="single" w:sz="8" w:space="0" w:color="000000" w:themeColor="text1"/>
              <w:left w:val="nil"/>
              <w:right w:val="nil"/>
            </w:tcBorders>
            <w:shd w:val="clear" w:color="000000" w:fill="FFFFFF"/>
            <w:vAlign w:val="center"/>
            <w:hideMark/>
          </w:tcPr>
          <w:p w14:paraId="6D259CC7" w14:textId="77777777" w:rsidR="00627470" w:rsidRPr="008E4DD9" w:rsidRDefault="00627470" w:rsidP="00150451">
            <w:pPr>
              <w:pStyle w:val="Tabletextcentred"/>
              <w:keepNext/>
              <w:keepLines/>
            </w:pPr>
            <w:r w:rsidRPr="008E4DD9">
              <w:rPr>
                <w:rFonts w:eastAsiaTheme="minorEastAsia"/>
              </w:rPr>
              <w:t>5.475</w:t>
            </w:r>
            <w:r>
              <w:rPr>
                <w:rFonts w:eastAsiaTheme="minorEastAsia"/>
              </w:rPr>
              <w:t>0</w:t>
            </w:r>
          </w:p>
        </w:tc>
        <w:tc>
          <w:tcPr>
            <w:tcW w:w="566" w:type="pct"/>
            <w:tcBorders>
              <w:top w:val="single" w:sz="8" w:space="0" w:color="000000" w:themeColor="text1"/>
              <w:left w:val="nil"/>
              <w:right w:val="nil"/>
            </w:tcBorders>
            <w:shd w:val="clear" w:color="000000" w:fill="FFFFFF"/>
            <w:vAlign w:val="center"/>
            <w:hideMark/>
          </w:tcPr>
          <w:p w14:paraId="56FC7DD2" w14:textId="77777777" w:rsidR="00627470" w:rsidRPr="008E4DD9" w:rsidRDefault="00627470" w:rsidP="00150451">
            <w:pPr>
              <w:pStyle w:val="Tabletextcentred"/>
              <w:keepNext/>
              <w:keepLines/>
            </w:pPr>
            <w:r w:rsidRPr="008E4DD9">
              <w:rPr>
                <w:rFonts w:eastAsiaTheme="minorEastAsia"/>
              </w:rPr>
              <w:t>5.450</w:t>
            </w:r>
            <w:r>
              <w:rPr>
                <w:rFonts w:eastAsiaTheme="minorEastAsia"/>
              </w:rPr>
              <w:t>0</w:t>
            </w:r>
          </w:p>
        </w:tc>
        <w:tc>
          <w:tcPr>
            <w:tcW w:w="566" w:type="pct"/>
            <w:tcBorders>
              <w:top w:val="single" w:sz="8" w:space="0" w:color="000000" w:themeColor="text1"/>
              <w:left w:val="nil"/>
              <w:right w:val="nil"/>
            </w:tcBorders>
            <w:shd w:val="clear" w:color="000000" w:fill="FFFFFF"/>
            <w:vAlign w:val="center"/>
            <w:hideMark/>
          </w:tcPr>
          <w:p w14:paraId="2F73C0F9" w14:textId="77777777" w:rsidR="00627470" w:rsidRPr="008E4DD9" w:rsidRDefault="00627470" w:rsidP="00150451">
            <w:pPr>
              <w:pStyle w:val="Tabletextcentred"/>
              <w:keepNext/>
              <w:keepLines/>
            </w:pPr>
            <w:r w:rsidRPr="008E4DD9">
              <w:rPr>
                <w:rFonts w:eastAsiaTheme="minorEastAsia"/>
              </w:rPr>
              <w:t>5.450</w:t>
            </w:r>
            <w:r>
              <w:rPr>
                <w:rFonts w:eastAsiaTheme="minorEastAsia"/>
              </w:rPr>
              <w:t>0</w:t>
            </w:r>
          </w:p>
        </w:tc>
        <w:tc>
          <w:tcPr>
            <w:tcW w:w="566" w:type="pct"/>
            <w:tcBorders>
              <w:top w:val="single" w:sz="8" w:space="0" w:color="000000" w:themeColor="text1"/>
              <w:left w:val="nil"/>
              <w:right w:val="nil"/>
            </w:tcBorders>
            <w:shd w:val="clear" w:color="000000" w:fill="FFFFFF"/>
            <w:vAlign w:val="center"/>
            <w:hideMark/>
          </w:tcPr>
          <w:p w14:paraId="06BEE894" w14:textId="77777777" w:rsidR="00627470" w:rsidRPr="008E4DD9" w:rsidRDefault="00627470" w:rsidP="00150451">
            <w:pPr>
              <w:pStyle w:val="Tabletextcentred"/>
              <w:keepNext/>
              <w:keepLines/>
            </w:pPr>
            <w:r w:rsidRPr="008E4DD9">
              <w:rPr>
                <w:rFonts w:eastAsiaTheme="minorEastAsia"/>
              </w:rPr>
              <w:t>5.450</w:t>
            </w:r>
            <w:r>
              <w:rPr>
                <w:rFonts w:eastAsiaTheme="minorEastAsia"/>
              </w:rPr>
              <w:t>0</w:t>
            </w:r>
          </w:p>
        </w:tc>
        <w:tc>
          <w:tcPr>
            <w:tcW w:w="561" w:type="pct"/>
            <w:tcBorders>
              <w:top w:val="single" w:sz="8" w:space="0" w:color="000000" w:themeColor="text1"/>
              <w:left w:val="nil"/>
              <w:right w:val="nil"/>
            </w:tcBorders>
            <w:shd w:val="clear" w:color="000000" w:fill="FFFFFF"/>
            <w:vAlign w:val="center"/>
            <w:hideMark/>
          </w:tcPr>
          <w:p w14:paraId="64ED1A41" w14:textId="77777777" w:rsidR="00627470" w:rsidRPr="008E4DD9" w:rsidRDefault="00627470" w:rsidP="00150451">
            <w:pPr>
              <w:pStyle w:val="Tabletextcentred"/>
              <w:keepNext/>
              <w:keepLines/>
            </w:pPr>
            <w:r w:rsidRPr="008E4DD9">
              <w:rPr>
                <w:rFonts w:eastAsiaTheme="minorEastAsia"/>
              </w:rPr>
              <w:t>5.450</w:t>
            </w:r>
            <w:r>
              <w:rPr>
                <w:rFonts w:eastAsiaTheme="minorEastAsia"/>
              </w:rPr>
              <w:t>0</w:t>
            </w:r>
          </w:p>
        </w:tc>
      </w:tr>
      <w:tr w:rsidR="00627470" w:rsidRPr="008E4DD9" w14:paraId="54E5F31D" w14:textId="77777777" w:rsidTr="00E80550">
        <w:trPr>
          <w:trHeight w:val="286"/>
          <w:jc w:val="center"/>
        </w:trPr>
        <w:tc>
          <w:tcPr>
            <w:tcW w:w="1046" w:type="pct"/>
            <w:tcBorders>
              <w:top w:val="nil"/>
              <w:left w:val="nil"/>
              <w:right w:val="nil"/>
            </w:tcBorders>
            <w:shd w:val="clear" w:color="auto" w:fill="F2F2F2" w:themeFill="background1" w:themeFillShade="F2"/>
            <w:vAlign w:val="center"/>
            <w:hideMark/>
          </w:tcPr>
          <w:p w14:paraId="7FBBFA6B" w14:textId="77777777" w:rsidR="00627470" w:rsidRPr="008E4DD9" w:rsidRDefault="00627470" w:rsidP="00150451">
            <w:pPr>
              <w:pStyle w:val="Tabletextleft0"/>
              <w:keepNext/>
              <w:keepLines/>
            </w:pPr>
            <w:r>
              <w:rPr>
                <w:rFonts w:eastAsiaTheme="minorEastAsia"/>
              </w:rPr>
              <w:t>Northern Territory</w:t>
            </w:r>
          </w:p>
        </w:tc>
        <w:tc>
          <w:tcPr>
            <w:tcW w:w="564" w:type="pct"/>
            <w:tcBorders>
              <w:top w:val="nil"/>
              <w:left w:val="nil"/>
              <w:right w:val="nil"/>
            </w:tcBorders>
            <w:shd w:val="clear" w:color="auto" w:fill="F2F2F2" w:themeFill="background1" w:themeFillShade="F2"/>
            <w:vAlign w:val="center"/>
            <w:hideMark/>
          </w:tcPr>
          <w:p w14:paraId="6982D155" w14:textId="77777777" w:rsidR="00627470" w:rsidRPr="008E4DD9" w:rsidRDefault="00627470" w:rsidP="00150451">
            <w:pPr>
              <w:pStyle w:val="Tabletextcentred"/>
              <w:keepNext/>
              <w:keepLines/>
            </w:pPr>
            <w:r w:rsidRPr="008E4DD9">
              <w:rPr>
                <w:rFonts w:eastAsiaTheme="minorEastAsia"/>
              </w:rPr>
              <w:t>5.900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5AA58A76" w14:textId="77777777" w:rsidR="00627470" w:rsidRPr="008E4DD9" w:rsidRDefault="00627470" w:rsidP="00150451">
            <w:pPr>
              <w:pStyle w:val="Tabletextcentred"/>
              <w:keepNext/>
              <w:keepLines/>
            </w:pPr>
            <w:r w:rsidRPr="008E4DD9">
              <w:rPr>
                <w:rFonts w:eastAsiaTheme="minorEastAsia"/>
              </w:rPr>
              <w:t>5.90</w:t>
            </w:r>
            <w:r>
              <w:rPr>
                <w:rFonts w:eastAsiaTheme="minorEastAsia"/>
              </w:rPr>
              <w:t>0</w:t>
            </w:r>
            <w:r w:rsidRPr="008E4DD9">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1BBDAFE1" w14:textId="77777777" w:rsidR="00627470" w:rsidRPr="008E4DD9" w:rsidRDefault="00627470" w:rsidP="00150451">
            <w:pPr>
              <w:pStyle w:val="Tabletextcentred"/>
              <w:keepNext/>
              <w:keepLines/>
            </w:pPr>
            <w:r w:rsidRPr="008E4DD9">
              <w:rPr>
                <w:rFonts w:eastAsiaTheme="minorEastAsia"/>
              </w:rPr>
              <w:t>5.900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57110A80" w14:textId="77777777" w:rsidR="00627470" w:rsidRPr="008E4DD9" w:rsidRDefault="00627470" w:rsidP="00150451">
            <w:pPr>
              <w:pStyle w:val="Tabletextcentred"/>
              <w:keepNext/>
              <w:keepLines/>
            </w:pPr>
            <w:r>
              <w:rPr>
                <w:rFonts w:eastAsiaTheme="minorEastAsia"/>
              </w:rPr>
              <w:t>6.8750</w:t>
            </w:r>
          </w:p>
        </w:tc>
        <w:tc>
          <w:tcPr>
            <w:tcW w:w="566" w:type="pct"/>
            <w:tcBorders>
              <w:top w:val="nil"/>
              <w:left w:val="nil"/>
              <w:right w:val="nil"/>
            </w:tcBorders>
            <w:shd w:val="clear" w:color="auto" w:fill="F2F2F2" w:themeFill="background1" w:themeFillShade="F2"/>
            <w:vAlign w:val="center"/>
            <w:hideMark/>
          </w:tcPr>
          <w:p w14:paraId="43CCC071" w14:textId="77777777" w:rsidR="00627470" w:rsidRPr="008E4DD9" w:rsidRDefault="00627470" w:rsidP="00150451">
            <w:pPr>
              <w:pStyle w:val="Tabletextcentred"/>
              <w:keepNext/>
              <w:keepLines/>
            </w:pPr>
            <w:r>
              <w:rPr>
                <w:rFonts w:eastAsiaTheme="minorEastAsia"/>
              </w:rPr>
              <w:t>6.8750</w:t>
            </w:r>
          </w:p>
        </w:tc>
        <w:tc>
          <w:tcPr>
            <w:tcW w:w="566" w:type="pct"/>
            <w:tcBorders>
              <w:top w:val="nil"/>
              <w:left w:val="nil"/>
              <w:right w:val="nil"/>
            </w:tcBorders>
            <w:shd w:val="clear" w:color="auto" w:fill="F2F2F2" w:themeFill="background1" w:themeFillShade="F2"/>
            <w:vAlign w:val="center"/>
            <w:hideMark/>
          </w:tcPr>
          <w:p w14:paraId="20FF9721" w14:textId="77777777" w:rsidR="00627470" w:rsidRPr="008E4DD9" w:rsidRDefault="00627470" w:rsidP="00150451">
            <w:pPr>
              <w:pStyle w:val="Tabletextcentred"/>
              <w:keepNext/>
              <w:keepLines/>
            </w:pPr>
            <w:r>
              <w:rPr>
                <w:rFonts w:eastAsiaTheme="minorEastAsia"/>
              </w:rPr>
              <w:t>6.8750</w:t>
            </w:r>
          </w:p>
        </w:tc>
        <w:tc>
          <w:tcPr>
            <w:tcW w:w="561" w:type="pct"/>
            <w:tcBorders>
              <w:top w:val="nil"/>
              <w:left w:val="nil"/>
              <w:right w:val="nil"/>
            </w:tcBorders>
            <w:shd w:val="clear" w:color="auto" w:fill="F2F2F2" w:themeFill="background1" w:themeFillShade="F2"/>
            <w:vAlign w:val="center"/>
            <w:hideMark/>
          </w:tcPr>
          <w:p w14:paraId="08558BEF" w14:textId="77777777" w:rsidR="00627470" w:rsidRPr="008E4DD9" w:rsidRDefault="00627470" w:rsidP="00150451">
            <w:pPr>
              <w:pStyle w:val="Tabletextcentred"/>
              <w:keepNext/>
              <w:keepLines/>
            </w:pPr>
            <w:r>
              <w:rPr>
                <w:rFonts w:eastAsiaTheme="minorEastAsia"/>
              </w:rPr>
              <w:t>6.8750</w:t>
            </w:r>
          </w:p>
        </w:tc>
      </w:tr>
      <w:tr w:rsidR="00627470" w:rsidRPr="008E4DD9" w14:paraId="35FE22A9" w14:textId="77777777" w:rsidTr="00816CB0">
        <w:trPr>
          <w:trHeight w:val="286"/>
          <w:jc w:val="center"/>
        </w:trPr>
        <w:tc>
          <w:tcPr>
            <w:tcW w:w="1046" w:type="pct"/>
            <w:tcBorders>
              <w:left w:val="nil"/>
              <w:bottom w:val="nil"/>
              <w:right w:val="nil"/>
            </w:tcBorders>
            <w:shd w:val="clear" w:color="000000" w:fill="FFFFFF"/>
            <w:vAlign w:val="center"/>
            <w:hideMark/>
          </w:tcPr>
          <w:p w14:paraId="14AC8E95" w14:textId="77777777" w:rsidR="00627470" w:rsidRPr="008E4DD9" w:rsidRDefault="00627470" w:rsidP="00150451">
            <w:pPr>
              <w:pStyle w:val="Tabletextleft0"/>
              <w:keepNext/>
              <w:keepLines/>
            </w:pPr>
            <w:r>
              <w:rPr>
                <w:rFonts w:eastAsiaTheme="minorEastAsia"/>
              </w:rPr>
              <w:t>Queensland</w:t>
            </w:r>
          </w:p>
        </w:tc>
        <w:tc>
          <w:tcPr>
            <w:tcW w:w="564" w:type="pct"/>
            <w:tcBorders>
              <w:left w:val="nil"/>
              <w:bottom w:val="nil"/>
              <w:right w:val="nil"/>
            </w:tcBorders>
            <w:shd w:val="clear" w:color="000000" w:fill="FFFFFF"/>
            <w:vAlign w:val="center"/>
            <w:hideMark/>
          </w:tcPr>
          <w:p w14:paraId="3AE6A4F3" w14:textId="77777777" w:rsidR="00627470" w:rsidRPr="008E4DD9" w:rsidRDefault="00627470" w:rsidP="00150451">
            <w:pPr>
              <w:pStyle w:val="Tabletextcentred"/>
              <w:keepNext/>
              <w:keepLines/>
            </w:pPr>
            <w:r>
              <w:rPr>
                <w:rFonts w:eastAsiaTheme="minorEastAsia"/>
              </w:rPr>
              <w:t>5.9375</w:t>
            </w:r>
          </w:p>
        </w:tc>
        <w:tc>
          <w:tcPr>
            <w:tcW w:w="566" w:type="pct"/>
            <w:tcBorders>
              <w:left w:val="nil"/>
              <w:bottom w:val="nil"/>
              <w:right w:val="nil"/>
            </w:tcBorders>
            <w:shd w:val="clear" w:color="000000" w:fill="FFFFFF"/>
            <w:vAlign w:val="center"/>
            <w:hideMark/>
          </w:tcPr>
          <w:p w14:paraId="3D52C84F" w14:textId="77777777" w:rsidR="00627470" w:rsidRPr="008E4DD9" w:rsidRDefault="00627470" w:rsidP="00150451">
            <w:pPr>
              <w:pStyle w:val="Tabletextcentred"/>
              <w:keepNext/>
              <w:keepLines/>
            </w:pPr>
            <w:r>
              <w:rPr>
                <w:rFonts w:eastAsiaTheme="minorEastAsia"/>
              </w:rPr>
              <w:t>5.9375</w:t>
            </w:r>
          </w:p>
        </w:tc>
        <w:tc>
          <w:tcPr>
            <w:tcW w:w="566" w:type="pct"/>
            <w:tcBorders>
              <w:left w:val="nil"/>
              <w:bottom w:val="nil"/>
              <w:right w:val="nil"/>
            </w:tcBorders>
            <w:shd w:val="clear" w:color="000000" w:fill="FFFFFF"/>
            <w:vAlign w:val="center"/>
            <w:hideMark/>
          </w:tcPr>
          <w:p w14:paraId="2BDB43DC" w14:textId="77777777" w:rsidR="00627470" w:rsidRPr="008E4DD9" w:rsidRDefault="00627470" w:rsidP="00150451">
            <w:pPr>
              <w:pStyle w:val="Tabletextcentred"/>
              <w:keepNext/>
              <w:keepLines/>
            </w:pPr>
            <w:r>
              <w:rPr>
                <w:rFonts w:eastAsiaTheme="minorEastAsia"/>
              </w:rPr>
              <w:t>5.9375</w:t>
            </w:r>
          </w:p>
        </w:tc>
        <w:tc>
          <w:tcPr>
            <w:tcW w:w="566" w:type="pct"/>
            <w:tcBorders>
              <w:left w:val="nil"/>
              <w:bottom w:val="nil"/>
              <w:right w:val="nil"/>
            </w:tcBorders>
            <w:shd w:val="clear" w:color="000000" w:fill="FFFFFF"/>
            <w:vAlign w:val="center"/>
            <w:hideMark/>
          </w:tcPr>
          <w:p w14:paraId="15C71B80" w14:textId="77777777" w:rsidR="00627470" w:rsidRPr="008E4DD9" w:rsidRDefault="00627470" w:rsidP="00150451">
            <w:pPr>
              <w:pStyle w:val="Tabletextcentred"/>
              <w:keepNext/>
              <w:keepLines/>
            </w:pPr>
            <w:r>
              <w:rPr>
                <w:rFonts w:eastAsiaTheme="minorEastAsia"/>
              </w:rPr>
              <w:t>5.9375</w:t>
            </w:r>
          </w:p>
        </w:tc>
        <w:tc>
          <w:tcPr>
            <w:tcW w:w="566" w:type="pct"/>
            <w:tcBorders>
              <w:left w:val="nil"/>
              <w:bottom w:val="nil"/>
              <w:right w:val="nil"/>
            </w:tcBorders>
            <w:shd w:val="clear" w:color="000000" w:fill="FFFFFF"/>
            <w:vAlign w:val="center"/>
            <w:hideMark/>
          </w:tcPr>
          <w:p w14:paraId="1276C968" w14:textId="77777777" w:rsidR="00627470" w:rsidRPr="008E4DD9" w:rsidRDefault="00627470" w:rsidP="00150451">
            <w:pPr>
              <w:pStyle w:val="Tabletextcentred"/>
              <w:keepNext/>
              <w:keepLines/>
            </w:pPr>
            <w:r>
              <w:rPr>
                <w:rFonts w:eastAsiaTheme="minorEastAsia"/>
              </w:rPr>
              <w:t>5.9375</w:t>
            </w:r>
          </w:p>
        </w:tc>
        <w:tc>
          <w:tcPr>
            <w:tcW w:w="566" w:type="pct"/>
            <w:tcBorders>
              <w:left w:val="nil"/>
              <w:bottom w:val="nil"/>
              <w:right w:val="nil"/>
            </w:tcBorders>
            <w:shd w:val="clear" w:color="000000" w:fill="FFFFFF"/>
            <w:vAlign w:val="center"/>
            <w:hideMark/>
          </w:tcPr>
          <w:p w14:paraId="72194E54" w14:textId="77777777" w:rsidR="00627470" w:rsidRPr="008E4DD9" w:rsidRDefault="00627470" w:rsidP="00150451">
            <w:pPr>
              <w:pStyle w:val="Tabletextcentred"/>
              <w:keepNext/>
              <w:keepLines/>
            </w:pPr>
            <w:r>
              <w:rPr>
                <w:rFonts w:eastAsiaTheme="minorEastAsia"/>
              </w:rPr>
              <w:t>5.9375</w:t>
            </w:r>
          </w:p>
        </w:tc>
        <w:tc>
          <w:tcPr>
            <w:tcW w:w="561" w:type="pct"/>
            <w:tcBorders>
              <w:left w:val="nil"/>
              <w:bottom w:val="nil"/>
              <w:right w:val="nil"/>
            </w:tcBorders>
            <w:shd w:val="clear" w:color="000000" w:fill="FFFFFF"/>
            <w:vAlign w:val="center"/>
            <w:hideMark/>
          </w:tcPr>
          <w:p w14:paraId="4FDEEB85" w14:textId="77777777" w:rsidR="00627470" w:rsidRPr="008E4DD9" w:rsidRDefault="00627470" w:rsidP="00150451">
            <w:pPr>
              <w:pStyle w:val="Tabletextcentred"/>
              <w:keepNext/>
              <w:keepLines/>
            </w:pPr>
            <w:r>
              <w:rPr>
                <w:rFonts w:eastAsiaTheme="minorEastAsia"/>
              </w:rPr>
              <w:t>5.9375</w:t>
            </w:r>
          </w:p>
        </w:tc>
      </w:tr>
      <w:tr w:rsidR="00627470" w:rsidRPr="008E4DD9" w14:paraId="7AC006D5" w14:textId="77777777" w:rsidTr="00E80550">
        <w:trPr>
          <w:trHeight w:val="286"/>
          <w:jc w:val="center"/>
        </w:trPr>
        <w:tc>
          <w:tcPr>
            <w:tcW w:w="1046" w:type="pct"/>
            <w:tcBorders>
              <w:top w:val="nil"/>
              <w:left w:val="nil"/>
              <w:bottom w:val="nil"/>
              <w:right w:val="nil"/>
            </w:tcBorders>
            <w:shd w:val="clear" w:color="auto" w:fill="F2F2F2" w:themeFill="background1" w:themeFillShade="F2"/>
            <w:vAlign w:val="center"/>
            <w:hideMark/>
          </w:tcPr>
          <w:p w14:paraId="718482F6" w14:textId="77777777" w:rsidR="00627470" w:rsidRPr="008E4DD9" w:rsidRDefault="00627470" w:rsidP="00150451">
            <w:pPr>
              <w:pStyle w:val="Tabletextleft0"/>
              <w:keepNext/>
              <w:keepLines/>
            </w:pPr>
            <w:r>
              <w:rPr>
                <w:rFonts w:eastAsiaTheme="minorEastAsia"/>
              </w:rPr>
              <w:t>South Australia</w:t>
            </w:r>
          </w:p>
        </w:tc>
        <w:tc>
          <w:tcPr>
            <w:tcW w:w="564" w:type="pct"/>
            <w:tcBorders>
              <w:top w:val="nil"/>
              <w:left w:val="nil"/>
              <w:bottom w:val="nil"/>
              <w:right w:val="nil"/>
            </w:tcBorders>
            <w:shd w:val="clear" w:color="auto" w:fill="F2F2F2" w:themeFill="background1" w:themeFillShade="F2"/>
            <w:vAlign w:val="center"/>
            <w:hideMark/>
          </w:tcPr>
          <w:p w14:paraId="03A101D8" w14:textId="77777777" w:rsidR="00627470" w:rsidRPr="008E4DD9" w:rsidRDefault="00627470" w:rsidP="00150451">
            <w:pPr>
              <w:pStyle w:val="Tabletextcentred"/>
              <w:keepNext/>
              <w:keepLines/>
            </w:pPr>
            <w:r w:rsidRPr="008E4DD9">
              <w:rPr>
                <w:rFonts w:eastAsiaTheme="minorEastAsia"/>
              </w:rPr>
              <w:t>5.000</w:t>
            </w:r>
            <w:r>
              <w:rPr>
                <w:rFonts w:eastAsiaTheme="minorEastAsia"/>
              </w:rPr>
              <w:t>0</w:t>
            </w:r>
          </w:p>
        </w:tc>
        <w:tc>
          <w:tcPr>
            <w:tcW w:w="566" w:type="pct"/>
            <w:tcBorders>
              <w:top w:val="nil"/>
              <w:left w:val="nil"/>
              <w:bottom w:val="nil"/>
              <w:right w:val="nil"/>
            </w:tcBorders>
            <w:shd w:val="clear" w:color="auto" w:fill="F2F2F2" w:themeFill="background1" w:themeFillShade="F2"/>
            <w:vAlign w:val="center"/>
            <w:hideMark/>
          </w:tcPr>
          <w:p w14:paraId="52D0734A" w14:textId="77777777" w:rsidR="00627470" w:rsidRPr="008E4DD9" w:rsidRDefault="00627470" w:rsidP="00150451">
            <w:pPr>
              <w:pStyle w:val="Tabletextcentred"/>
              <w:keepNext/>
              <w:keepLines/>
            </w:pPr>
            <w:r w:rsidRPr="008E4DD9">
              <w:rPr>
                <w:rFonts w:eastAsiaTheme="minorEastAsia"/>
              </w:rPr>
              <w:t>4.95</w:t>
            </w:r>
            <w:r>
              <w:rPr>
                <w:rFonts w:eastAsiaTheme="minorEastAsia"/>
              </w:rPr>
              <w:t>0</w:t>
            </w:r>
            <w:r w:rsidRPr="008E4DD9">
              <w:rPr>
                <w:rFonts w:eastAsiaTheme="minorEastAsia"/>
              </w:rPr>
              <w:t>0</w:t>
            </w:r>
          </w:p>
        </w:tc>
        <w:tc>
          <w:tcPr>
            <w:tcW w:w="566" w:type="pct"/>
            <w:tcBorders>
              <w:top w:val="nil"/>
              <w:left w:val="nil"/>
              <w:bottom w:val="nil"/>
              <w:right w:val="nil"/>
            </w:tcBorders>
            <w:shd w:val="clear" w:color="auto" w:fill="F2F2F2" w:themeFill="background1" w:themeFillShade="F2"/>
            <w:vAlign w:val="center"/>
            <w:hideMark/>
          </w:tcPr>
          <w:p w14:paraId="21E3C416"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c>
          <w:tcPr>
            <w:tcW w:w="566" w:type="pct"/>
            <w:tcBorders>
              <w:top w:val="nil"/>
              <w:left w:val="nil"/>
              <w:bottom w:val="nil"/>
              <w:right w:val="nil"/>
            </w:tcBorders>
            <w:shd w:val="clear" w:color="auto" w:fill="F2F2F2" w:themeFill="background1" w:themeFillShade="F2"/>
            <w:vAlign w:val="center"/>
            <w:hideMark/>
          </w:tcPr>
          <w:p w14:paraId="39E6508A"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c>
          <w:tcPr>
            <w:tcW w:w="566" w:type="pct"/>
            <w:tcBorders>
              <w:top w:val="nil"/>
              <w:left w:val="nil"/>
              <w:bottom w:val="nil"/>
              <w:right w:val="nil"/>
            </w:tcBorders>
            <w:shd w:val="clear" w:color="auto" w:fill="F2F2F2" w:themeFill="background1" w:themeFillShade="F2"/>
            <w:vAlign w:val="center"/>
            <w:hideMark/>
          </w:tcPr>
          <w:p w14:paraId="53ACA216"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c>
          <w:tcPr>
            <w:tcW w:w="566" w:type="pct"/>
            <w:tcBorders>
              <w:top w:val="nil"/>
              <w:left w:val="nil"/>
              <w:bottom w:val="nil"/>
              <w:right w:val="nil"/>
            </w:tcBorders>
            <w:shd w:val="clear" w:color="auto" w:fill="F2F2F2" w:themeFill="background1" w:themeFillShade="F2"/>
            <w:vAlign w:val="center"/>
            <w:hideMark/>
          </w:tcPr>
          <w:p w14:paraId="20D30BAC"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c>
          <w:tcPr>
            <w:tcW w:w="561" w:type="pct"/>
            <w:tcBorders>
              <w:top w:val="nil"/>
              <w:left w:val="nil"/>
              <w:bottom w:val="nil"/>
              <w:right w:val="nil"/>
            </w:tcBorders>
            <w:shd w:val="clear" w:color="auto" w:fill="F2F2F2" w:themeFill="background1" w:themeFillShade="F2"/>
            <w:vAlign w:val="center"/>
            <w:hideMark/>
          </w:tcPr>
          <w:p w14:paraId="5B738B9E"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r>
      <w:tr w:rsidR="00627470" w:rsidRPr="008E4DD9" w14:paraId="47D2FC44" w14:textId="77777777" w:rsidTr="00816CB0">
        <w:trPr>
          <w:trHeight w:val="286"/>
          <w:jc w:val="center"/>
        </w:trPr>
        <w:tc>
          <w:tcPr>
            <w:tcW w:w="1046" w:type="pct"/>
            <w:tcBorders>
              <w:top w:val="nil"/>
              <w:left w:val="nil"/>
              <w:right w:val="nil"/>
            </w:tcBorders>
            <w:shd w:val="clear" w:color="000000" w:fill="FFFFFF"/>
            <w:vAlign w:val="center"/>
            <w:hideMark/>
          </w:tcPr>
          <w:p w14:paraId="33D322CC" w14:textId="77777777" w:rsidR="00627470" w:rsidRPr="008E4DD9" w:rsidRDefault="00627470" w:rsidP="00150451">
            <w:pPr>
              <w:pStyle w:val="Tabletextleft0"/>
              <w:keepNext/>
              <w:keepLines/>
            </w:pPr>
            <w:r>
              <w:rPr>
                <w:rFonts w:eastAsiaTheme="minorEastAsia"/>
              </w:rPr>
              <w:t>Tasmania</w:t>
            </w:r>
          </w:p>
        </w:tc>
        <w:tc>
          <w:tcPr>
            <w:tcW w:w="564" w:type="pct"/>
            <w:tcBorders>
              <w:top w:val="nil"/>
              <w:left w:val="nil"/>
              <w:right w:val="nil"/>
            </w:tcBorders>
            <w:shd w:val="clear" w:color="000000" w:fill="FFFFFF"/>
            <w:vAlign w:val="center"/>
            <w:hideMark/>
          </w:tcPr>
          <w:p w14:paraId="45EACAE5"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c>
          <w:tcPr>
            <w:tcW w:w="566" w:type="pct"/>
            <w:tcBorders>
              <w:top w:val="nil"/>
              <w:left w:val="nil"/>
              <w:right w:val="nil"/>
            </w:tcBorders>
            <w:shd w:val="clear" w:color="000000" w:fill="FFFFFF"/>
            <w:vAlign w:val="center"/>
            <w:hideMark/>
          </w:tcPr>
          <w:p w14:paraId="5B76846A" w14:textId="77777777" w:rsidR="00627470" w:rsidRPr="008E4DD9" w:rsidRDefault="00627470" w:rsidP="00150451">
            <w:pPr>
              <w:pStyle w:val="Tabletextcentred"/>
              <w:keepNext/>
              <w:keepLines/>
            </w:pPr>
            <w:r w:rsidRPr="008E4DD9">
              <w:rPr>
                <w:rFonts w:eastAsiaTheme="minorEastAsia"/>
              </w:rPr>
              <w:t>6.10</w:t>
            </w:r>
            <w:r>
              <w:rPr>
                <w:rFonts w:eastAsiaTheme="minorEastAsia"/>
              </w:rPr>
              <w:t>0</w:t>
            </w:r>
            <w:r w:rsidRPr="008E4DD9">
              <w:rPr>
                <w:rFonts w:eastAsiaTheme="minorEastAsia"/>
              </w:rPr>
              <w:t>0</w:t>
            </w:r>
          </w:p>
        </w:tc>
        <w:tc>
          <w:tcPr>
            <w:tcW w:w="566" w:type="pct"/>
            <w:tcBorders>
              <w:top w:val="nil"/>
              <w:left w:val="nil"/>
              <w:right w:val="nil"/>
            </w:tcBorders>
            <w:shd w:val="clear" w:color="000000" w:fill="FFFFFF"/>
            <w:vAlign w:val="center"/>
            <w:hideMark/>
          </w:tcPr>
          <w:p w14:paraId="6CC2AC73"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c>
          <w:tcPr>
            <w:tcW w:w="566" w:type="pct"/>
            <w:tcBorders>
              <w:top w:val="nil"/>
              <w:left w:val="nil"/>
              <w:right w:val="nil"/>
            </w:tcBorders>
            <w:shd w:val="clear" w:color="000000" w:fill="FFFFFF"/>
            <w:vAlign w:val="center"/>
            <w:hideMark/>
          </w:tcPr>
          <w:p w14:paraId="035E9EBC"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c>
          <w:tcPr>
            <w:tcW w:w="566" w:type="pct"/>
            <w:tcBorders>
              <w:top w:val="nil"/>
              <w:left w:val="nil"/>
              <w:right w:val="nil"/>
            </w:tcBorders>
            <w:shd w:val="clear" w:color="000000" w:fill="FFFFFF"/>
            <w:vAlign w:val="center"/>
            <w:hideMark/>
          </w:tcPr>
          <w:p w14:paraId="5FFC3570"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c>
          <w:tcPr>
            <w:tcW w:w="566" w:type="pct"/>
            <w:tcBorders>
              <w:top w:val="nil"/>
              <w:left w:val="nil"/>
              <w:right w:val="nil"/>
            </w:tcBorders>
            <w:shd w:val="clear" w:color="000000" w:fill="FFFFFF"/>
            <w:vAlign w:val="center"/>
            <w:hideMark/>
          </w:tcPr>
          <w:p w14:paraId="699AEACB"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c>
          <w:tcPr>
            <w:tcW w:w="561" w:type="pct"/>
            <w:tcBorders>
              <w:top w:val="nil"/>
              <w:left w:val="nil"/>
              <w:right w:val="nil"/>
            </w:tcBorders>
            <w:shd w:val="clear" w:color="000000" w:fill="FFFFFF"/>
            <w:vAlign w:val="center"/>
            <w:hideMark/>
          </w:tcPr>
          <w:p w14:paraId="772E572B" w14:textId="77777777" w:rsidR="00627470" w:rsidRPr="008E4DD9" w:rsidRDefault="00627470" w:rsidP="00150451">
            <w:pPr>
              <w:pStyle w:val="Tabletextcentred"/>
              <w:keepNext/>
              <w:keepLines/>
            </w:pPr>
            <w:r w:rsidRPr="008E4DD9">
              <w:rPr>
                <w:rFonts w:eastAsiaTheme="minorEastAsia"/>
              </w:rPr>
              <w:t>6.100</w:t>
            </w:r>
            <w:r>
              <w:rPr>
                <w:rFonts w:eastAsiaTheme="minorEastAsia"/>
              </w:rPr>
              <w:t>0</w:t>
            </w:r>
          </w:p>
        </w:tc>
      </w:tr>
      <w:tr w:rsidR="00627470" w:rsidRPr="008E4DD9" w14:paraId="415A5AA3" w14:textId="77777777" w:rsidTr="00E80550">
        <w:trPr>
          <w:trHeight w:val="286"/>
          <w:jc w:val="center"/>
        </w:trPr>
        <w:tc>
          <w:tcPr>
            <w:tcW w:w="1046" w:type="pct"/>
            <w:tcBorders>
              <w:top w:val="nil"/>
              <w:left w:val="nil"/>
              <w:right w:val="nil"/>
            </w:tcBorders>
            <w:shd w:val="clear" w:color="auto" w:fill="F2F2F2" w:themeFill="background1" w:themeFillShade="F2"/>
            <w:vAlign w:val="center"/>
            <w:hideMark/>
          </w:tcPr>
          <w:p w14:paraId="042488E9" w14:textId="77777777" w:rsidR="00627470" w:rsidRPr="008E4DD9" w:rsidRDefault="00627470" w:rsidP="00150451">
            <w:pPr>
              <w:pStyle w:val="Tabletextleft0"/>
              <w:keepNext/>
              <w:keepLines/>
            </w:pPr>
            <w:r>
              <w:rPr>
                <w:rFonts w:eastAsiaTheme="minorEastAsia"/>
              </w:rPr>
              <w:t>Victoria</w:t>
            </w:r>
          </w:p>
        </w:tc>
        <w:tc>
          <w:tcPr>
            <w:tcW w:w="564" w:type="pct"/>
            <w:tcBorders>
              <w:top w:val="nil"/>
              <w:left w:val="nil"/>
              <w:right w:val="nil"/>
            </w:tcBorders>
            <w:shd w:val="clear" w:color="auto" w:fill="F2F2F2" w:themeFill="background1" w:themeFillShade="F2"/>
            <w:vAlign w:val="center"/>
            <w:hideMark/>
          </w:tcPr>
          <w:p w14:paraId="08A4FBB5" w14:textId="77777777" w:rsidR="00627470" w:rsidRPr="008E4DD9" w:rsidRDefault="00627470" w:rsidP="00150451">
            <w:pPr>
              <w:pStyle w:val="Tabletextcentred"/>
              <w:keepNext/>
              <w:keepLines/>
            </w:pPr>
            <w:r w:rsidRPr="008E4DD9">
              <w:rPr>
                <w:rFonts w:eastAsiaTheme="minorEastAsia"/>
              </w:rPr>
              <w:t>4.950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3C5916E9" w14:textId="77777777" w:rsidR="00627470" w:rsidRPr="008E4DD9" w:rsidRDefault="00627470" w:rsidP="00150451">
            <w:pPr>
              <w:pStyle w:val="Tabletextcentred"/>
              <w:keepNext/>
              <w:keepLines/>
            </w:pPr>
            <w:r w:rsidRPr="008E4DD9">
              <w:rPr>
                <w:rFonts w:eastAsiaTheme="minorEastAsia"/>
              </w:rPr>
              <w:t>4.95</w:t>
            </w:r>
            <w:r>
              <w:rPr>
                <w:rFonts w:eastAsiaTheme="minorEastAsia"/>
              </w:rPr>
              <w:t>0</w:t>
            </w:r>
            <w:r w:rsidRPr="008E4DD9">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40D0BF69" w14:textId="77777777" w:rsidR="00627470" w:rsidRPr="008E4DD9" w:rsidRDefault="00627470" w:rsidP="00150451">
            <w:pPr>
              <w:pStyle w:val="Tabletextcentred"/>
              <w:keepNext/>
              <w:keepLines/>
            </w:pPr>
            <w:r w:rsidRPr="008E4DD9">
              <w:rPr>
                <w:rFonts w:eastAsiaTheme="minorEastAsia"/>
              </w:rPr>
              <w:t>4.900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234C0606" w14:textId="77777777" w:rsidR="00627470" w:rsidRPr="008E4DD9" w:rsidRDefault="00627470" w:rsidP="00150451">
            <w:pPr>
              <w:pStyle w:val="Tabletextcentred"/>
              <w:keepNext/>
              <w:keepLines/>
            </w:pPr>
            <w:r w:rsidRPr="008E4DD9">
              <w:rPr>
                <w:rFonts w:eastAsiaTheme="minorEastAsia"/>
              </w:rPr>
              <w:t>4.900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368FD6B8" w14:textId="77777777" w:rsidR="00627470" w:rsidRPr="008E4DD9" w:rsidRDefault="00627470" w:rsidP="00150451">
            <w:pPr>
              <w:pStyle w:val="Tabletextcentred"/>
              <w:keepNext/>
              <w:keepLines/>
            </w:pPr>
            <w:r w:rsidRPr="008E4DD9">
              <w:rPr>
                <w:rFonts w:eastAsiaTheme="minorEastAsia"/>
              </w:rPr>
              <w:t>4.900</w:t>
            </w:r>
            <w:r>
              <w:rPr>
                <w:rFonts w:eastAsiaTheme="minorEastAsia"/>
              </w:rPr>
              <w:t>0</w:t>
            </w:r>
          </w:p>
        </w:tc>
        <w:tc>
          <w:tcPr>
            <w:tcW w:w="566" w:type="pct"/>
            <w:tcBorders>
              <w:top w:val="nil"/>
              <w:left w:val="nil"/>
              <w:right w:val="nil"/>
            </w:tcBorders>
            <w:shd w:val="clear" w:color="auto" w:fill="F2F2F2" w:themeFill="background1" w:themeFillShade="F2"/>
            <w:vAlign w:val="center"/>
            <w:hideMark/>
          </w:tcPr>
          <w:p w14:paraId="472D0FB5" w14:textId="77777777" w:rsidR="00627470" w:rsidRPr="008E4DD9" w:rsidRDefault="00627470" w:rsidP="00150451">
            <w:pPr>
              <w:pStyle w:val="Tabletextcentred"/>
              <w:keepNext/>
              <w:keepLines/>
            </w:pPr>
            <w:r w:rsidRPr="008E4DD9">
              <w:rPr>
                <w:rFonts w:eastAsiaTheme="minorEastAsia"/>
              </w:rPr>
              <w:t>4.900</w:t>
            </w:r>
            <w:r>
              <w:rPr>
                <w:rFonts w:eastAsiaTheme="minorEastAsia"/>
              </w:rPr>
              <w:t>0</w:t>
            </w:r>
          </w:p>
        </w:tc>
        <w:tc>
          <w:tcPr>
            <w:tcW w:w="561" w:type="pct"/>
            <w:tcBorders>
              <w:top w:val="nil"/>
              <w:left w:val="nil"/>
              <w:right w:val="nil"/>
            </w:tcBorders>
            <w:shd w:val="clear" w:color="auto" w:fill="F2F2F2" w:themeFill="background1" w:themeFillShade="F2"/>
            <w:vAlign w:val="center"/>
            <w:hideMark/>
          </w:tcPr>
          <w:p w14:paraId="26C07BCE" w14:textId="77777777" w:rsidR="00627470" w:rsidRPr="008E4DD9" w:rsidRDefault="00627470" w:rsidP="00150451">
            <w:pPr>
              <w:pStyle w:val="Tabletextcentred"/>
              <w:keepNext/>
              <w:keepLines/>
            </w:pPr>
            <w:r w:rsidRPr="008E4DD9">
              <w:rPr>
                <w:rFonts w:eastAsiaTheme="minorEastAsia"/>
              </w:rPr>
              <w:t>4.850</w:t>
            </w:r>
            <w:r>
              <w:rPr>
                <w:rFonts w:eastAsiaTheme="minorEastAsia"/>
              </w:rPr>
              <w:t>0</w:t>
            </w:r>
          </w:p>
        </w:tc>
      </w:tr>
      <w:tr w:rsidR="00627470" w:rsidRPr="008E4DD9" w14:paraId="0EE21B52" w14:textId="77777777" w:rsidTr="00816CB0">
        <w:trPr>
          <w:trHeight w:val="286"/>
          <w:jc w:val="center"/>
        </w:trPr>
        <w:tc>
          <w:tcPr>
            <w:tcW w:w="1046" w:type="pct"/>
            <w:tcBorders>
              <w:top w:val="nil"/>
              <w:left w:val="nil"/>
              <w:bottom w:val="single" w:sz="4" w:space="0" w:color="000000" w:themeColor="text1"/>
              <w:right w:val="nil"/>
            </w:tcBorders>
            <w:shd w:val="clear" w:color="000000" w:fill="FFFFFF"/>
            <w:vAlign w:val="center"/>
            <w:hideMark/>
          </w:tcPr>
          <w:p w14:paraId="42540006" w14:textId="77777777" w:rsidR="00627470" w:rsidRPr="008E4DD9" w:rsidRDefault="00627470" w:rsidP="00150451">
            <w:pPr>
              <w:pStyle w:val="Tabletextleft0"/>
              <w:keepNext/>
              <w:keepLines/>
            </w:pPr>
            <w:r>
              <w:rPr>
                <w:rFonts w:eastAsiaTheme="minorEastAsia"/>
              </w:rPr>
              <w:t>Western Australia</w:t>
            </w:r>
          </w:p>
        </w:tc>
        <w:tc>
          <w:tcPr>
            <w:tcW w:w="564" w:type="pct"/>
            <w:tcBorders>
              <w:top w:val="nil"/>
              <w:left w:val="nil"/>
              <w:bottom w:val="single" w:sz="4" w:space="0" w:color="000000" w:themeColor="text1"/>
              <w:right w:val="nil"/>
            </w:tcBorders>
            <w:shd w:val="clear" w:color="000000" w:fill="FFFFFF"/>
            <w:vAlign w:val="center"/>
            <w:hideMark/>
          </w:tcPr>
          <w:p w14:paraId="2B91B3BB"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c>
          <w:tcPr>
            <w:tcW w:w="566" w:type="pct"/>
            <w:tcBorders>
              <w:top w:val="nil"/>
              <w:left w:val="nil"/>
              <w:bottom w:val="single" w:sz="4" w:space="0" w:color="000000" w:themeColor="text1"/>
              <w:right w:val="nil"/>
            </w:tcBorders>
            <w:shd w:val="clear" w:color="000000" w:fill="FFFFFF"/>
            <w:vAlign w:val="center"/>
            <w:hideMark/>
          </w:tcPr>
          <w:p w14:paraId="0FA8E6B3" w14:textId="77777777" w:rsidR="00627470" w:rsidRPr="008E4DD9" w:rsidRDefault="00627470" w:rsidP="00150451">
            <w:pPr>
              <w:pStyle w:val="Tabletextcentred"/>
              <w:keepNext/>
              <w:keepLines/>
            </w:pPr>
            <w:r w:rsidRPr="008E4DD9">
              <w:rPr>
                <w:rFonts w:eastAsiaTheme="minorEastAsia"/>
              </w:rPr>
              <w:t>5.50</w:t>
            </w:r>
            <w:r>
              <w:rPr>
                <w:rFonts w:eastAsiaTheme="minorEastAsia"/>
              </w:rPr>
              <w:t>0</w:t>
            </w:r>
            <w:r w:rsidRPr="008E4DD9">
              <w:rPr>
                <w:rFonts w:eastAsiaTheme="minorEastAsia"/>
              </w:rPr>
              <w:t>0</w:t>
            </w:r>
          </w:p>
        </w:tc>
        <w:tc>
          <w:tcPr>
            <w:tcW w:w="566" w:type="pct"/>
            <w:tcBorders>
              <w:top w:val="nil"/>
              <w:left w:val="nil"/>
              <w:bottom w:val="single" w:sz="4" w:space="0" w:color="000000" w:themeColor="text1"/>
              <w:right w:val="nil"/>
            </w:tcBorders>
            <w:shd w:val="clear" w:color="000000" w:fill="FFFFFF"/>
            <w:vAlign w:val="center"/>
            <w:hideMark/>
          </w:tcPr>
          <w:p w14:paraId="5DA72BBB"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c>
          <w:tcPr>
            <w:tcW w:w="566" w:type="pct"/>
            <w:tcBorders>
              <w:top w:val="nil"/>
              <w:left w:val="nil"/>
              <w:bottom w:val="single" w:sz="4" w:space="0" w:color="000000" w:themeColor="text1"/>
              <w:right w:val="nil"/>
            </w:tcBorders>
            <w:shd w:val="clear" w:color="000000" w:fill="FFFFFF"/>
            <w:vAlign w:val="center"/>
            <w:hideMark/>
          </w:tcPr>
          <w:p w14:paraId="71458271"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c>
          <w:tcPr>
            <w:tcW w:w="566" w:type="pct"/>
            <w:tcBorders>
              <w:top w:val="nil"/>
              <w:left w:val="nil"/>
              <w:bottom w:val="single" w:sz="4" w:space="0" w:color="000000" w:themeColor="text1"/>
              <w:right w:val="nil"/>
            </w:tcBorders>
            <w:shd w:val="clear" w:color="000000" w:fill="FFFFFF"/>
            <w:vAlign w:val="center"/>
            <w:hideMark/>
          </w:tcPr>
          <w:p w14:paraId="12AA1D45"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c>
          <w:tcPr>
            <w:tcW w:w="566" w:type="pct"/>
            <w:tcBorders>
              <w:top w:val="nil"/>
              <w:left w:val="nil"/>
              <w:bottom w:val="single" w:sz="4" w:space="0" w:color="000000" w:themeColor="text1"/>
              <w:right w:val="nil"/>
            </w:tcBorders>
            <w:shd w:val="clear" w:color="000000" w:fill="FFFFFF"/>
            <w:vAlign w:val="center"/>
            <w:hideMark/>
          </w:tcPr>
          <w:p w14:paraId="2331890E"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c>
          <w:tcPr>
            <w:tcW w:w="561" w:type="pct"/>
            <w:tcBorders>
              <w:top w:val="nil"/>
              <w:left w:val="nil"/>
              <w:bottom w:val="single" w:sz="4" w:space="0" w:color="000000" w:themeColor="text1"/>
              <w:right w:val="nil"/>
            </w:tcBorders>
            <w:shd w:val="clear" w:color="000000" w:fill="FFFFFF"/>
            <w:vAlign w:val="center"/>
            <w:hideMark/>
          </w:tcPr>
          <w:p w14:paraId="3E639F46" w14:textId="77777777" w:rsidR="00627470" w:rsidRPr="008E4DD9" w:rsidRDefault="00627470" w:rsidP="00150451">
            <w:pPr>
              <w:pStyle w:val="Tabletextcentred"/>
              <w:keepNext/>
              <w:keepLines/>
            </w:pPr>
            <w:r w:rsidRPr="008E4DD9">
              <w:rPr>
                <w:rFonts w:eastAsiaTheme="minorEastAsia"/>
              </w:rPr>
              <w:t>5.500</w:t>
            </w:r>
            <w:r>
              <w:rPr>
                <w:rFonts w:eastAsiaTheme="minorEastAsia"/>
              </w:rPr>
              <w:t>0</w:t>
            </w:r>
          </w:p>
        </w:tc>
      </w:tr>
    </w:tbl>
    <w:p w14:paraId="718013CB" w14:textId="77777777" w:rsidR="00627470" w:rsidRDefault="00627470" w:rsidP="00150451">
      <w:pPr>
        <w:pStyle w:val="ChartorTableNote"/>
        <w:keepNext/>
        <w:keepLines/>
        <w:spacing w:after="0"/>
      </w:pPr>
      <w:r>
        <w:t>* The effective marginal tax rate and headline tax rate only differ for the Northern Territory and Queensland. Firms beyond the phase out range will have an effective marginal rate equal to the headline rate.</w:t>
      </w:r>
    </w:p>
    <w:p w14:paraId="562909C9" w14:textId="59400E0F" w:rsidR="00150451" w:rsidRDefault="00816CB0" w:rsidP="00816CB0">
      <w:pPr>
        <w:pStyle w:val="ChartorTableNote"/>
        <w:tabs>
          <w:tab w:val="left" w:pos="113"/>
        </w:tabs>
      </w:pPr>
      <w:r>
        <w:tab/>
      </w:r>
      <w:r w:rsidR="00877FE2">
        <w:t>Source: Various State Governments</w:t>
      </w:r>
      <w:r w:rsidR="002F4C62">
        <w:t xml:space="preserve"> and author’s calculation</w:t>
      </w:r>
      <w:r w:rsidR="00877FE2">
        <w:t xml:space="preserve">. </w:t>
      </w:r>
      <w:r w:rsidR="00627470" w:rsidRPr="0046412A">
        <w:t xml:space="preserve">Note: </w:t>
      </w:r>
      <w:r w:rsidR="00627470">
        <w:t>New South Wales in 2008-09, 2009-10 and 2010-11 is an average as the rate changed part way through the financial year.</w:t>
      </w:r>
    </w:p>
    <w:p w14:paraId="60F498E5" w14:textId="77777777" w:rsidR="00E80550" w:rsidRDefault="00E80550" w:rsidP="00150451"/>
    <w:p w14:paraId="2814BC77" w14:textId="77777777" w:rsidR="00E80550" w:rsidRDefault="00E80550" w:rsidP="00150451">
      <w:pPr>
        <w:sectPr w:rsidR="00E80550" w:rsidSect="00D22AF2">
          <w:pgSz w:w="11906" w:h="16838" w:code="9"/>
          <w:pgMar w:top="1418" w:right="1304" w:bottom="1418" w:left="1304" w:header="567" w:footer="567" w:gutter="0"/>
          <w:cols w:space="708"/>
          <w:titlePg/>
          <w:docGrid w:linePitch="360"/>
        </w:sectPr>
      </w:pPr>
    </w:p>
    <w:p w14:paraId="512E2F75" w14:textId="77777777" w:rsidR="00B0794C" w:rsidRDefault="00B0794C" w:rsidP="00B0794C">
      <w:pPr>
        <w:pStyle w:val="AppendixHeadingLevel2NotNumbered"/>
      </w:pPr>
      <w:bookmarkStart w:id="14" w:name="_Toc509306068"/>
      <w:r>
        <w:lastRenderedPageBreak/>
        <w:t>Appendix B – Descriptive statistics</w:t>
      </w:r>
      <w:r w:rsidR="0021572E">
        <w:t xml:space="preserve"> – </w:t>
      </w:r>
      <w:r w:rsidR="007306A1">
        <w:t>Taxable Wages</w:t>
      </w:r>
      <w:bookmarkEnd w:id="14"/>
    </w:p>
    <w:p w14:paraId="73DF70B2" w14:textId="36436F29" w:rsidR="00B0794C" w:rsidRDefault="0002527D" w:rsidP="00F12EE0">
      <w:pPr>
        <w:pStyle w:val="TableMainHeading"/>
      </w:pPr>
      <w:r>
        <w:t xml:space="preserve">Table B1: </w:t>
      </w:r>
      <w:r w:rsidRPr="00245719">
        <w:t>New South Wales</w:t>
      </w:r>
    </w:p>
    <w:tbl>
      <w:tblPr>
        <w:tblW w:w="4977" w:type="pct"/>
        <w:tblLook w:val="04A0" w:firstRow="1" w:lastRow="0" w:firstColumn="1" w:lastColumn="0" w:noHBand="0" w:noVBand="1"/>
      </w:tblPr>
      <w:tblGrid>
        <w:gridCol w:w="1077"/>
        <w:gridCol w:w="1399"/>
        <w:gridCol w:w="1400"/>
        <w:gridCol w:w="1400"/>
        <w:gridCol w:w="1400"/>
        <w:gridCol w:w="1400"/>
        <w:gridCol w:w="1394"/>
      </w:tblGrid>
      <w:tr w:rsidR="00816CB0" w:rsidRPr="008664C7" w14:paraId="1BAF9AB4" w14:textId="77777777" w:rsidTr="00E80550">
        <w:trPr>
          <w:trHeight w:val="255"/>
        </w:trPr>
        <w:tc>
          <w:tcPr>
            <w:tcW w:w="569" w:type="pct"/>
            <w:tcBorders>
              <w:top w:val="single" w:sz="4" w:space="0" w:color="auto"/>
              <w:left w:val="nil"/>
              <w:bottom w:val="single" w:sz="4" w:space="0" w:color="auto"/>
              <w:right w:val="nil"/>
            </w:tcBorders>
            <w:shd w:val="clear" w:color="auto" w:fill="C6D9F1" w:themeFill="text2" w:themeFillTint="33"/>
            <w:noWrap/>
            <w:vAlign w:val="bottom"/>
            <w:hideMark/>
          </w:tcPr>
          <w:p w14:paraId="28508A4B" w14:textId="77777777" w:rsidR="00877FE2" w:rsidRPr="008664C7" w:rsidRDefault="00877FE2" w:rsidP="00C90461">
            <w:pPr>
              <w:pStyle w:val="TableColumnHeadingCentred"/>
            </w:pPr>
            <w:r w:rsidRPr="008664C7">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34D619C4" w14:textId="0E84B8A5" w:rsidR="00877FE2" w:rsidRPr="00816CB0" w:rsidRDefault="00877FE2" w:rsidP="00816CB0">
            <w:pPr>
              <w:pStyle w:val="TableColumnHeadingRight"/>
            </w:pPr>
            <w:r w:rsidRPr="00816CB0">
              <w:t>25th</w:t>
            </w:r>
            <w:r w:rsidR="00816CB0" w:rsidRPr="00816CB0">
              <w:br/>
            </w:r>
            <w:r w:rsidRPr="00816CB0">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14A748BA" w14:textId="7C6DBD49" w:rsidR="00877FE2" w:rsidRPr="00816CB0" w:rsidRDefault="00816CB0" w:rsidP="00816CB0">
            <w:pPr>
              <w:pStyle w:val="TableColumnHeadingRight"/>
            </w:pPr>
            <w:r w:rsidRPr="00816CB0">
              <w:t>M</w:t>
            </w:r>
            <w:r w:rsidR="00877FE2" w:rsidRPr="00816CB0">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709DB6D9" w14:textId="30BEE23C" w:rsidR="00877FE2" w:rsidRPr="00816CB0" w:rsidRDefault="00877FE2" w:rsidP="00816CB0">
            <w:pPr>
              <w:pStyle w:val="TableColumnHeadingRight"/>
            </w:pPr>
            <w:r w:rsidRPr="00816CB0">
              <w:t>75th</w:t>
            </w:r>
            <w:r w:rsidR="00816CB0" w:rsidRPr="00816CB0">
              <w:br/>
            </w:r>
            <w:r w:rsidRPr="00816CB0">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6D7C9445" w14:textId="3A4F9E67" w:rsidR="00877FE2" w:rsidRPr="00816CB0" w:rsidRDefault="00816CB0" w:rsidP="00816CB0">
            <w:pPr>
              <w:pStyle w:val="TableColumnHeadingRight"/>
            </w:pPr>
            <w:r w:rsidRPr="00816CB0">
              <w:t>M</w:t>
            </w:r>
            <w:r w:rsidR="00877FE2" w:rsidRPr="00816CB0">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5F511B6B" w14:textId="18ACF08A" w:rsidR="00877FE2" w:rsidRPr="00816CB0" w:rsidRDefault="00877FE2" w:rsidP="00816CB0">
            <w:pPr>
              <w:pStyle w:val="TableColumnHeadingRight"/>
            </w:pPr>
            <w:r w:rsidRPr="00816CB0">
              <w:t>Total no.</w:t>
            </w:r>
            <w:r w:rsidR="00816CB0" w:rsidRPr="00816CB0">
              <w:br/>
            </w:r>
            <w:r w:rsidRPr="00816CB0">
              <w:t>of firms</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595B78E" w14:textId="0ABF1B86" w:rsidR="00877FE2" w:rsidRPr="00816CB0" w:rsidRDefault="00877FE2" w:rsidP="00816CB0">
            <w:pPr>
              <w:pStyle w:val="TableColumnHeadingRight"/>
            </w:pPr>
            <w:r w:rsidRPr="00816CB0">
              <w:t>Standard</w:t>
            </w:r>
            <w:r w:rsidR="00816CB0" w:rsidRPr="00816CB0">
              <w:br/>
            </w:r>
            <w:r w:rsidRPr="00816CB0">
              <w:t>deviation</w:t>
            </w:r>
          </w:p>
        </w:tc>
      </w:tr>
      <w:tr w:rsidR="00816CB0" w:rsidRPr="008664C7" w14:paraId="6804779F" w14:textId="77777777" w:rsidTr="00C90461">
        <w:trPr>
          <w:trHeight w:val="255"/>
        </w:trPr>
        <w:tc>
          <w:tcPr>
            <w:tcW w:w="569" w:type="pct"/>
            <w:tcBorders>
              <w:top w:val="nil"/>
              <w:left w:val="nil"/>
              <w:bottom w:val="nil"/>
              <w:right w:val="nil"/>
            </w:tcBorders>
            <w:shd w:val="clear" w:color="000000" w:fill="FFFFFF"/>
            <w:noWrap/>
            <w:vAlign w:val="bottom"/>
            <w:hideMark/>
          </w:tcPr>
          <w:p w14:paraId="3ACEB63F" w14:textId="755A42DF" w:rsidR="00877FE2" w:rsidRPr="008664C7" w:rsidRDefault="00877FE2" w:rsidP="00A1600C">
            <w:pPr>
              <w:pStyle w:val="Tabletextcentred"/>
            </w:pPr>
            <w:r w:rsidRPr="008664C7">
              <w:t>200</w:t>
            </w:r>
            <w:r w:rsidR="007A669A">
              <w:t>1-0</w:t>
            </w:r>
            <w:r w:rsidRPr="008664C7">
              <w:t>2</w:t>
            </w:r>
          </w:p>
        </w:tc>
        <w:tc>
          <w:tcPr>
            <w:tcW w:w="739" w:type="pct"/>
            <w:tcBorders>
              <w:top w:val="nil"/>
              <w:left w:val="nil"/>
              <w:bottom w:val="nil"/>
              <w:right w:val="nil"/>
            </w:tcBorders>
            <w:shd w:val="clear" w:color="000000" w:fill="FFFFFF"/>
            <w:noWrap/>
            <w:vAlign w:val="bottom"/>
            <w:hideMark/>
          </w:tcPr>
          <w:p w14:paraId="273253F9" w14:textId="77777777" w:rsidR="00877FE2" w:rsidRPr="008664C7" w:rsidRDefault="00877FE2" w:rsidP="00A1600C">
            <w:pPr>
              <w:pStyle w:val="TableTextRight"/>
            </w:pPr>
            <w:r w:rsidRPr="008664C7">
              <w:t>80,853</w:t>
            </w:r>
          </w:p>
        </w:tc>
        <w:tc>
          <w:tcPr>
            <w:tcW w:w="739" w:type="pct"/>
            <w:tcBorders>
              <w:top w:val="nil"/>
              <w:left w:val="nil"/>
              <w:bottom w:val="nil"/>
              <w:right w:val="nil"/>
            </w:tcBorders>
            <w:shd w:val="clear" w:color="000000" w:fill="FFFFFF"/>
            <w:noWrap/>
            <w:vAlign w:val="bottom"/>
            <w:hideMark/>
          </w:tcPr>
          <w:p w14:paraId="50CC3D11" w14:textId="77777777" w:rsidR="00877FE2" w:rsidRPr="008664C7" w:rsidRDefault="00877FE2" w:rsidP="00A1600C">
            <w:pPr>
              <w:pStyle w:val="TableTextRight"/>
            </w:pPr>
            <w:r w:rsidRPr="008664C7">
              <w:t>137,154</w:t>
            </w:r>
          </w:p>
        </w:tc>
        <w:tc>
          <w:tcPr>
            <w:tcW w:w="739" w:type="pct"/>
            <w:tcBorders>
              <w:top w:val="nil"/>
              <w:left w:val="nil"/>
              <w:bottom w:val="nil"/>
              <w:right w:val="nil"/>
            </w:tcBorders>
            <w:shd w:val="clear" w:color="000000" w:fill="FFFFFF"/>
            <w:noWrap/>
            <w:vAlign w:val="bottom"/>
            <w:hideMark/>
          </w:tcPr>
          <w:p w14:paraId="464F8533" w14:textId="77777777" w:rsidR="00877FE2" w:rsidRPr="008664C7" w:rsidRDefault="00877FE2" w:rsidP="00A1600C">
            <w:pPr>
              <w:pStyle w:val="TableTextRight"/>
            </w:pPr>
            <w:r w:rsidRPr="008664C7">
              <w:t>283,189</w:t>
            </w:r>
          </w:p>
        </w:tc>
        <w:tc>
          <w:tcPr>
            <w:tcW w:w="739" w:type="pct"/>
            <w:tcBorders>
              <w:top w:val="nil"/>
              <w:left w:val="nil"/>
              <w:bottom w:val="nil"/>
              <w:right w:val="nil"/>
            </w:tcBorders>
            <w:shd w:val="clear" w:color="000000" w:fill="FFFFFF"/>
            <w:noWrap/>
            <w:vAlign w:val="bottom"/>
            <w:hideMark/>
          </w:tcPr>
          <w:p w14:paraId="73B5CF10" w14:textId="77777777" w:rsidR="00877FE2" w:rsidRPr="008664C7" w:rsidRDefault="00877FE2" w:rsidP="00A1600C">
            <w:pPr>
              <w:pStyle w:val="TableTextRight"/>
            </w:pPr>
            <w:r w:rsidRPr="008664C7">
              <w:t>331,205</w:t>
            </w:r>
          </w:p>
        </w:tc>
        <w:tc>
          <w:tcPr>
            <w:tcW w:w="739" w:type="pct"/>
            <w:tcBorders>
              <w:top w:val="nil"/>
              <w:left w:val="nil"/>
              <w:bottom w:val="nil"/>
              <w:right w:val="nil"/>
            </w:tcBorders>
            <w:shd w:val="clear" w:color="000000" w:fill="FFFFFF"/>
            <w:noWrap/>
            <w:vAlign w:val="bottom"/>
            <w:hideMark/>
          </w:tcPr>
          <w:p w14:paraId="20D59B57" w14:textId="77777777" w:rsidR="00877FE2" w:rsidRPr="008664C7" w:rsidRDefault="00877FE2" w:rsidP="00A1600C">
            <w:pPr>
              <w:pStyle w:val="TableTextRight"/>
            </w:pPr>
            <w:r w:rsidRPr="008664C7">
              <w:t>87,758</w:t>
            </w:r>
          </w:p>
        </w:tc>
        <w:tc>
          <w:tcPr>
            <w:tcW w:w="739" w:type="pct"/>
            <w:tcBorders>
              <w:top w:val="nil"/>
              <w:left w:val="nil"/>
              <w:bottom w:val="nil"/>
              <w:right w:val="nil"/>
            </w:tcBorders>
            <w:shd w:val="clear" w:color="000000" w:fill="FFFFFF"/>
            <w:noWrap/>
            <w:vAlign w:val="bottom"/>
            <w:hideMark/>
          </w:tcPr>
          <w:p w14:paraId="3DB51C1E" w14:textId="77777777" w:rsidR="00877FE2" w:rsidRPr="008664C7" w:rsidRDefault="00877FE2" w:rsidP="00A1600C">
            <w:pPr>
              <w:pStyle w:val="TableTextRight"/>
            </w:pPr>
            <w:r w:rsidRPr="008664C7">
              <w:t>1,608,643</w:t>
            </w:r>
          </w:p>
        </w:tc>
      </w:tr>
      <w:tr w:rsidR="00816CB0" w:rsidRPr="008664C7" w14:paraId="0A15A0BF"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0E6E0EF8" w14:textId="22C465BE" w:rsidR="00877FE2" w:rsidRPr="008664C7" w:rsidRDefault="00877FE2" w:rsidP="00A1600C">
            <w:pPr>
              <w:pStyle w:val="Tabletextcentred"/>
            </w:pPr>
            <w:r w:rsidRPr="008664C7">
              <w:t>200</w:t>
            </w:r>
            <w:r w:rsidR="007A669A">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2F40EB67" w14:textId="77777777" w:rsidR="00877FE2" w:rsidRPr="008664C7" w:rsidRDefault="00877FE2" w:rsidP="00A1600C">
            <w:pPr>
              <w:pStyle w:val="TableTextRight"/>
            </w:pPr>
            <w:r w:rsidRPr="008664C7">
              <w:t>82,099</w:t>
            </w:r>
          </w:p>
        </w:tc>
        <w:tc>
          <w:tcPr>
            <w:tcW w:w="739" w:type="pct"/>
            <w:tcBorders>
              <w:top w:val="nil"/>
              <w:left w:val="nil"/>
              <w:bottom w:val="nil"/>
              <w:right w:val="nil"/>
            </w:tcBorders>
            <w:shd w:val="clear" w:color="auto" w:fill="F2F2F2" w:themeFill="background1" w:themeFillShade="F2"/>
            <w:noWrap/>
            <w:vAlign w:val="bottom"/>
            <w:hideMark/>
          </w:tcPr>
          <w:p w14:paraId="6893A7CE" w14:textId="77777777" w:rsidR="00877FE2" w:rsidRPr="008664C7" w:rsidRDefault="00877FE2" w:rsidP="00A1600C">
            <w:pPr>
              <w:pStyle w:val="TableTextRight"/>
            </w:pPr>
            <w:r w:rsidRPr="008664C7">
              <w:t>141,056</w:t>
            </w:r>
          </w:p>
        </w:tc>
        <w:tc>
          <w:tcPr>
            <w:tcW w:w="739" w:type="pct"/>
            <w:tcBorders>
              <w:top w:val="nil"/>
              <w:left w:val="nil"/>
              <w:bottom w:val="nil"/>
              <w:right w:val="nil"/>
            </w:tcBorders>
            <w:shd w:val="clear" w:color="auto" w:fill="F2F2F2" w:themeFill="background1" w:themeFillShade="F2"/>
            <w:noWrap/>
            <w:vAlign w:val="bottom"/>
            <w:hideMark/>
          </w:tcPr>
          <w:p w14:paraId="03997E6E" w14:textId="77777777" w:rsidR="00877FE2" w:rsidRPr="008664C7" w:rsidRDefault="00877FE2" w:rsidP="00A1600C">
            <w:pPr>
              <w:pStyle w:val="TableTextRight"/>
            </w:pPr>
            <w:r w:rsidRPr="008664C7">
              <w:t>298,641</w:t>
            </w:r>
          </w:p>
        </w:tc>
        <w:tc>
          <w:tcPr>
            <w:tcW w:w="739" w:type="pct"/>
            <w:tcBorders>
              <w:top w:val="nil"/>
              <w:left w:val="nil"/>
              <w:bottom w:val="nil"/>
              <w:right w:val="nil"/>
            </w:tcBorders>
            <w:shd w:val="clear" w:color="auto" w:fill="F2F2F2" w:themeFill="background1" w:themeFillShade="F2"/>
            <w:noWrap/>
            <w:vAlign w:val="bottom"/>
            <w:hideMark/>
          </w:tcPr>
          <w:p w14:paraId="3293E75A" w14:textId="77777777" w:rsidR="00877FE2" w:rsidRPr="008664C7" w:rsidRDefault="00877FE2" w:rsidP="00A1600C">
            <w:pPr>
              <w:pStyle w:val="TableTextRight"/>
            </w:pPr>
            <w:r w:rsidRPr="008664C7">
              <w:t>341,480</w:t>
            </w:r>
          </w:p>
        </w:tc>
        <w:tc>
          <w:tcPr>
            <w:tcW w:w="739" w:type="pct"/>
            <w:tcBorders>
              <w:top w:val="nil"/>
              <w:left w:val="nil"/>
              <w:bottom w:val="nil"/>
              <w:right w:val="nil"/>
            </w:tcBorders>
            <w:shd w:val="clear" w:color="auto" w:fill="F2F2F2" w:themeFill="background1" w:themeFillShade="F2"/>
            <w:noWrap/>
            <w:vAlign w:val="bottom"/>
            <w:hideMark/>
          </w:tcPr>
          <w:p w14:paraId="6F1F33AC" w14:textId="77777777" w:rsidR="00877FE2" w:rsidRPr="008664C7" w:rsidRDefault="00877FE2" w:rsidP="00A1600C">
            <w:pPr>
              <w:pStyle w:val="TableTextRight"/>
            </w:pPr>
            <w:r w:rsidRPr="008664C7">
              <w:t>79,146</w:t>
            </w:r>
          </w:p>
        </w:tc>
        <w:tc>
          <w:tcPr>
            <w:tcW w:w="739" w:type="pct"/>
            <w:tcBorders>
              <w:top w:val="nil"/>
              <w:left w:val="nil"/>
              <w:bottom w:val="nil"/>
              <w:right w:val="nil"/>
            </w:tcBorders>
            <w:shd w:val="clear" w:color="auto" w:fill="F2F2F2" w:themeFill="background1" w:themeFillShade="F2"/>
            <w:noWrap/>
            <w:vAlign w:val="bottom"/>
            <w:hideMark/>
          </w:tcPr>
          <w:p w14:paraId="1B0E2E5F" w14:textId="77777777" w:rsidR="00877FE2" w:rsidRPr="008664C7" w:rsidRDefault="00877FE2" w:rsidP="00A1600C">
            <w:pPr>
              <w:pStyle w:val="TableTextRight"/>
            </w:pPr>
            <w:r w:rsidRPr="008664C7">
              <w:t>1,477,252</w:t>
            </w:r>
          </w:p>
        </w:tc>
      </w:tr>
      <w:tr w:rsidR="00816CB0" w:rsidRPr="008664C7" w14:paraId="00AA0DAD" w14:textId="77777777" w:rsidTr="00C90461">
        <w:trPr>
          <w:trHeight w:val="255"/>
        </w:trPr>
        <w:tc>
          <w:tcPr>
            <w:tcW w:w="569" w:type="pct"/>
            <w:tcBorders>
              <w:top w:val="nil"/>
              <w:left w:val="nil"/>
              <w:bottom w:val="nil"/>
              <w:right w:val="nil"/>
            </w:tcBorders>
            <w:shd w:val="clear" w:color="000000" w:fill="FFFFFF"/>
            <w:noWrap/>
            <w:vAlign w:val="bottom"/>
            <w:hideMark/>
          </w:tcPr>
          <w:p w14:paraId="7AC475A2" w14:textId="637FDFBF" w:rsidR="00877FE2" w:rsidRPr="008664C7" w:rsidRDefault="00877FE2" w:rsidP="00A1600C">
            <w:pPr>
              <w:pStyle w:val="Tabletextcentred"/>
            </w:pPr>
            <w:r w:rsidRPr="008664C7">
              <w:t>200</w:t>
            </w:r>
            <w:r w:rsidR="007A669A">
              <w:t>3-0</w:t>
            </w:r>
            <w:r w:rsidRPr="008664C7">
              <w:t>4</w:t>
            </w:r>
          </w:p>
        </w:tc>
        <w:tc>
          <w:tcPr>
            <w:tcW w:w="739" w:type="pct"/>
            <w:tcBorders>
              <w:top w:val="nil"/>
              <w:left w:val="nil"/>
              <w:bottom w:val="nil"/>
              <w:right w:val="nil"/>
            </w:tcBorders>
            <w:shd w:val="clear" w:color="000000" w:fill="FFFFFF"/>
            <w:noWrap/>
            <w:vAlign w:val="bottom"/>
            <w:hideMark/>
          </w:tcPr>
          <w:p w14:paraId="5DE1B52C" w14:textId="77777777" w:rsidR="00877FE2" w:rsidRPr="008664C7" w:rsidRDefault="00877FE2" w:rsidP="00A1600C">
            <w:pPr>
              <w:pStyle w:val="TableTextRight"/>
            </w:pPr>
            <w:r w:rsidRPr="008664C7">
              <w:t>83,091</w:t>
            </w:r>
          </w:p>
        </w:tc>
        <w:tc>
          <w:tcPr>
            <w:tcW w:w="739" w:type="pct"/>
            <w:tcBorders>
              <w:top w:val="nil"/>
              <w:left w:val="nil"/>
              <w:bottom w:val="nil"/>
              <w:right w:val="nil"/>
            </w:tcBorders>
            <w:shd w:val="clear" w:color="000000" w:fill="FFFFFF"/>
            <w:noWrap/>
            <w:vAlign w:val="bottom"/>
            <w:hideMark/>
          </w:tcPr>
          <w:p w14:paraId="36F0336C" w14:textId="77777777" w:rsidR="00877FE2" w:rsidRPr="008664C7" w:rsidRDefault="00877FE2" w:rsidP="00A1600C">
            <w:pPr>
              <w:pStyle w:val="TableTextRight"/>
            </w:pPr>
            <w:r w:rsidRPr="008664C7">
              <w:t>143,794</w:t>
            </w:r>
          </w:p>
        </w:tc>
        <w:tc>
          <w:tcPr>
            <w:tcW w:w="739" w:type="pct"/>
            <w:tcBorders>
              <w:top w:val="nil"/>
              <w:left w:val="nil"/>
              <w:bottom w:val="nil"/>
              <w:right w:val="nil"/>
            </w:tcBorders>
            <w:shd w:val="clear" w:color="000000" w:fill="FFFFFF"/>
            <w:noWrap/>
            <w:vAlign w:val="bottom"/>
            <w:hideMark/>
          </w:tcPr>
          <w:p w14:paraId="37F1994A" w14:textId="77777777" w:rsidR="00877FE2" w:rsidRPr="008664C7" w:rsidRDefault="00877FE2" w:rsidP="00A1600C">
            <w:pPr>
              <w:pStyle w:val="TableTextRight"/>
            </w:pPr>
            <w:r w:rsidRPr="008664C7">
              <w:t>310,724</w:t>
            </w:r>
          </w:p>
        </w:tc>
        <w:tc>
          <w:tcPr>
            <w:tcW w:w="739" w:type="pct"/>
            <w:tcBorders>
              <w:top w:val="nil"/>
              <w:left w:val="nil"/>
              <w:bottom w:val="nil"/>
              <w:right w:val="nil"/>
            </w:tcBorders>
            <w:shd w:val="clear" w:color="000000" w:fill="FFFFFF"/>
            <w:noWrap/>
            <w:vAlign w:val="bottom"/>
            <w:hideMark/>
          </w:tcPr>
          <w:p w14:paraId="4A928AAB" w14:textId="77777777" w:rsidR="00877FE2" w:rsidRPr="008664C7" w:rsidRDefault="00877FE2" w:rsidP="00A1600C">
            <w:pPr>
              <w:pStyle w:val="TableTextRight"/>
            </w:pPr>
            <w:r w:rsidRPr="008664C7">
              <w:t>356,483</w:t>
            </w:r>
          </w:p>
        </w:tc>
        <w:tc>
          <w:tcPr>
            <w:tcW w:w="739" w:type="pct"/>
            <w:tcBorders>
              <w:top w:val="nil"/>
              <w:left w:val="nil"/>
              <w:bottom w:val="nil"/>
              <w:right w:val="nil"/>
            </w:tcBorders>
            <w:shd w:val="clear" w:color="000000" w:fill="FFFFFF"/>
            <w:noWrap/>
            <w:vAlign w:val="bottom"/>
            <w:hideMark/>
          </w:tcPr>
          <w:p w14:paraId="72DE9357" w14:textId="77777777" w:rsidR="00877FE2" w:rsidRPr="008664C7" w:rsidRDefault="00877FE2" w:rsidP="00A1600C">
            <w:pPr>
              <w:pStyle w:val="TableTextRight"/>
            </w:pPr>
            <w:r w:rsidRPr="008664C7">
              <w:t>78,147</w:t>
            </w:r>
          </w:p>
        </w:tc>
        <w:tc>
          <w:tcPr>
            <w:tcW w:w="739" w:type="pct"/>
            <w:tcBorders>
              <w:top w:val="nil"/>
              <w:left w:val="nil"/>
              <w:bottom w:val="nil"/>
              <w:right w:val="nil"/>
            </w:tcBorders>
            <w:shd w:val="clear" w:color="000000" w:fill="FFFFFF"/>
            <w:noWrap/>
            <w:vAlign w:val="bottom"/>
            <w:hideMark/>
          </w:tcPr>
          <w:p w14:paraId="5FC76CE9" w14:textId="77777777" w:rsidR="00877FE2" w:rsidRPr="008664C7" w:rsidRDefault="00877FE2" w:rsidP="00A1600C">
            <w:pPr>
              <w:pStyle w:val="TableTextRight"/>
            </w:pPr>
            <w:r w:rsidRPr="008664C7">
              <w:t>1,440,355</w:t>
            </w:r>
          </w:p>
        </w:tc>
      </w:tr>
      <w:tr w:rsidR="00816CB0" w:rsidRPr="008664C7" w14:paraId="24F938A7"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16DB4FF6" w14:textId="3BB7854B" w:rsidR="00877FE2" w:rsidRPr="008664C7" w:rsidRDefault="00877FE2" w:rsidP="00A1600C">
            <w:pPr>
              <w:pStyle w:val="Tabletextcentred"/>
            </w:pPr>
            <w:r w:rsidRPr="008664C7">
              <w:t>200</w:t>
            </w:r>
            <w:r w:rsidR="007A669A">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769746FD" w14:textId="77777777" w:rsidR="00877FE2" w:rsidRPr="008664C7" w:rsidRDefault="00877FE2" w:rsidP="00A1600C">
            <w:pPr>
              <w:pStyle w:val="TableTextRight"/>
            </w:pPr>
            <w:r w:rsidRPr="008664C7">
              <w:t>83,493</w:t>
            </w:r>
          </w:p>
        </w:tc>
        <w:tc>
          <w:tcPr>
            <w:tcW w:w="739" w:type="pct"/>
            <w:tcBorders>
              <w:top w:val="nil"/>
              <w:left w:val="nil"/>
              <w:bottom w:val="nil"/>
              <w:right w:val="nil"/>
            </w:tcBorders>
            <w:shd w:val="clear" w:color="auto" w:fill="F2F2F2" w:themeFill="background1" w:themeFillShade="F2"/>
            <w:noWrap/>
            <w:vAlign w:val="bottom"/>
            <w:hideMark/>
          </w:tcPr>
          <w:p w14:paraId="248B4D36" w14:textId="77777777" w:rsidR="00877FE2" w:rsidRPr="008664C7" w:rsidRDefault="00877FE2" w:rsidP="00A1600C">
            <w:pPr>
              <w:pStyle w:val="TableTextRight"/>
            </w:pPr>
            <w:r w:rsidRPr="008664C7">
              <w:t>144,380</w:t>
            </w:r>
          </w:p>
        </w:tc>
        <w:tc>
          <w:tcPr>
            <w:tcW w:w="739" w:type="pct"/>
            <w:tcBorders>
              <w:top w:val="nil"/>
              <w:left w:val="nil"/>
              <w:bottom w:val="nil"/>
              <w:right w:val="nil"/>
            </w:tcBorders>
            <w:shd w:val="clear" w:color="auto" w:fill="F2F2F2" w:themeFill="background1" w:themeFillShade="F2"/>
            <w:noWrap/>
            <w:vAlign w:val="bottom"/>
            <w:hideMark/>
          </w:tcPr>
          <w:p w14:paraId="0F1DE511" w14:textId="77777777" w:rsidR="00877FE2" w:rsidRPr="008664C7" w:rsidRDefault="00877FE2" w:rsidP="00A1600C">
            <w:pPr>
              <w:pStyle w:val="TableTextRight"/>
            </w:pPr>
            <w:r w:rsidRPr="008664C7">
              <w:t>308,162</w:t>
            </w:r>
          </w:p>
        </w:tc>
        <w:tc>
          <w:tcPr>
            <w:tcW w:w="739" w:type="pct"/>
            <w:tcBorders>
              <w:top w:val="nil"/>
              <w:left w:val="nil"/>
              <w:bottom w:val="nil"/>
              <w:right w:val="nil"/>
            </w:tcBorders>
            <w:shd w:val="clear" w:color="auto" w:fill="F2F2F2" w:themeFill="background1" w:themeFillShade="F2"/>
            <w:noWrap/>
            <w:vAlign w:val="bottom"/>
            <w:hideMark/>
          </w:tcPr>
          <w:p w14:paraId="08E9657E" w14:textId="77777777" w:rsidR="00877FE2" w:rsidRPr="008664C7" w:rsidRDefault="00877FE2" w:rsidP="00A1600C">
            <w:pPr>
              <w:pStyle w:val="TableTextRight"/>
            </w:pPr>
            <w:r w:rsidRPr="008664C7">
              <w:t>361,217</w:t>
            </w:r>
          </w:p>
        </w:tc>
        <w:tc>
          <w:tcPr>
            <w:tcW w:w="739" w:type="pct"/>
            <w:tcBorders>
              <w:top w:val="nil"/>
              <w:left w:val="nil"/>
              <w:bottom w:val="nil"/>
              <w:right w:val="nil"/>
            </w:tcBorders>
            <w:shd w:val="clear" w:color="auto" w:fill="F2F2F2" w:themeFill="background1" w:themeFillShade="F2"/>
            <w:noWrap/>
            <w:vAlign w:val="bottom"/>
            <w:hideMark/>
          </w:tcPr>
          <w:p w14:paraId="7CE73B9B" w14:textId="77777777" w:rsidR="00877FE2" w:rsidRPr="008664C7" w:rsidRDefault="00877FE2" w:rsidP="00A1600C">
            <w:pPr>
              <w:pStyle w:val="TableTextRight"/>
            </w:pPr>
            <w:r w:rsidRPr="008664C7">
              <w:t>101,446</w:t>
            </w:r>
          </w:p>
        </w:tc>
        <w:tc>
          <w:tcPr>
            <w:tcW w:w="739" w:type="pct"/>
            <w:tcBorders>
              <w:top w:val="nil"/>
              <w:left w:val="nil"/>
              <w:bottom w:val="nil"/>
              <w:right w:val="nil"/>
            </w:tcBorders>
            <w:shd w:val="clear" w:color="auto" w:fill="F2F2F2" w:themeFill="background1" w:themeFillShade="F2"/>
            <w:noWrap/>
            <w:vAlign w:val="bottom"/>
            <w:hideMark/>
          </w:tcPr>
          <w:p w14:paraId="4DE6A949" w14:textId="77777777" w:rsidR="00877FE2" w:rsidRPr="008664C7" w:rsidRDefault="00877FE2" w:rsidP="00A1600C">
            <w:pPr>
              <w:pStyle w:val="TableTextRight"/>
            </w:pPr>
            <w:r w:rsidRPr="008664C7">
              <w:t>1,591,372</w:t>
            </w:r>
          </w:p>
        </w:tc>
      </w:tr>
      <w:tr w:rsidR="00816CB0" w:rsidRPr="008664C7" w14:paraId="586BB866" w14:textId="77777777" w:rsidTr="00C90461">
        <w:trPr>
          <w:trHeight w:val="255"/>
        </w:trPr>
        <w:tc>
          <w:tcPr>
            <w:tcW w:w="569" w:type="pct"/>
            <w:tcBorders>
              <w:top w:val="nil"/>
              <w:left w:val="nil"/>
              <w:bottom w:val="nil"/>
              <w:right w:val="nil"/>
            </w:tcBorders>
            <w:shd w:val="clear" w:color="000000" w:fill="FFFFFF"/>
            <w:noWrap/>
            <w:vAlign w:val="bottom"/>
            <w:hideMark/>
          </w:tcPr>
          <w:p w14:paraId="07FF1E10" w14:textId="0A815F19" w:rsidR="00877FE2" w:rsidRPr="008664C7" w:rsidRDefault="00877FE2" w:rsidP="00A1600C">
            <w:pPr>
              <w:pStyle w:val="Tabletextcentred"/>
            </w:pPr>
            <w:r w:rsidRPr="008664C7">
              <w:t>200</w:t>
            </w:r>
            <w:r w:rsidR="007A669A">
              <w:t>5-0</w:t>
            </w:r>
            <w:r w:rsidRPr="008664C7">
              <w:t>6</w:t>
            </w:r>
          </w:p>
        </w:tc>
        <w:tc>
          <w:tcPr>
            <w:tcW w:w="739" w:type="pct"/>
            <w:tcBorders>
              <w:top w:val="nil"/>
              <w:left w:val="nil"/>
              <w:bottom w:val="nil"/>
              <w:right w:val="nil"/>
            </w:tcBorders>
            <w:shd w:val="clear" w:color="000000" w:fill="FFFFFF"/>
            <w:noWrap/>
            <w:vAlign w:val="bottom"/>
            <w:hideMark/>
          </w:tcPr>
          <w:p w14:paraId="6130F28C" w14:textId="77777777" w:rsidR="00877FE2" w:rsidRPr="008664C7" w:rsidRDefault="00877FE2" w:rsidP="00A1600C">
            <w:pPr>
              <w:pStyle w:val="TableTextRight"/>
            </w:pPr>
            <w:r w:rsidRPr="008664C7">
              <w:t>84,746</w:t>
            </w:r>
          </w:p>
        </w:tc>
        <w:tc>
          <w:tcPr>
            <w:tcW w:w="739" w:type="pct"/>
            <w:tcBorders>
              <w:top w:val="nil"/>
              <w:left w:val="nil"/>
              <w:bottom w:val="nil"/>
              <w:right w:val="nil"/>
            </w:tcBorders>
            <w:shd w:val="clear" w:color="000000" w:fill="FFFFFF"/>
            <w:noWrap/>
            <w:vAlign w:val="bottom"/>
            <w:hideMark/>
          </w:tcPr>
          <w:p w14:paraId="2DD5E18B" w14:textId="77777777" w:rsidR="00877FE2" w:rsidRPr="008664C7" w:rsidRDefault="00877FE2" w:rsidP="00A1600C">
            <w:pPr>
              <w:pStyle w:val="TableTextRight"/>
            </w:pPr>
            <w:r w:rsidRPr="008664C7">
              <w:t>148,946</w:t>
            </w:r>
          </w:p>
        </w:tc>
        <w:tc>
          <w:tcPr>
            <w:tcW w:w="739" w:type="pct"/>
            <w:tcBorders>
              <w:top w:val="nil"/>
              <w:left w:val="nil"/>
              <w:bottom w:val="nil"/>
              <w:right w:val="nil"/>
            </w:tcBorders>
            <w:shd w:val="clear" w:color="000000" w:fill="FFFFFF"/>
            <w:noWrap/>
            <w:vAlign w:val="bottom"/>
            <w:hideMark/>
          </w:tcPr>
          <w:p w14:paraId="013A4E91" w14:textId="77777777" w:rsidR="00877FE2" w:rsidRPr="008664C7" w:rsidRDefault="00877FE2" w:rsidP="00A1600C">
            <w:pPr>
              <w:pStyle w:val="TableTextRight"/>
            </w:pPr>
            <w:r w:rsidRPr="008664C7">
              <w:t>319,087</w:t>
            </w:r>
          </w:p>
        </w:tc>
        <w:tc>
          <w:tcPr>
            <w:tcW w:w="739" w:type="pct"/>
            <w:tcBorders>
              <w:top w:val="nil"/>
              <w:left w:val="nil"/>
              <w:bottom w:val="nil"/>
              <w:right w:val="nil"/>
            </w:tcBorders>
            <w:shd w:val="clear" w:color="000000" w:fill="FFFFFF"/>
            <w:noWrap/>
            <w:vAlign w:val="bottom"/>
            <w:hideMark/>
          </w:tcPr>
          <w:p w14:paraId="34E4C593" w14:textId="77777777" w:rsidR="00877FE2" w:rsidRPr="008664C7" w:rsidRDefault="00877FE2" w:rsidP="00A1600C">
            <w:pPr>
              <w:pStyle w:val="TableTextRight"/>
            </w:pPr>
            <w:r w:rsidRPr="008664C7">
              <w:t>378,700</w:t>
            </w:r>
          </w:p>
        </w:tc>
        <w:tc>
          <w:tcPr>
            <w:tcW w:w="739" w:type="pct"/>
            <w:tcBorders>
              <w:top w:val="nil"/>
              <w:left w:val="nil"/>
              <w:bottom w:val="nil"/>
              <w:right w:val="nil"/>
            </w:tcBorders>
            <w:shd w:val="clear" w:color="000000" w:fill="FFFFFF"/>
            <w:noWrap/>
            <w:vAlign w:val="bottom"/>
            <w:hideMark/>
          </w:tcPr>
          <w:p w14:paraId="477C7B62" w14:textId="77777777" w:rsidR="00877FE2" w:rsidRPr="008664C7" w:rsidRDefault="00877FE2" w:rsidP="00A1600C">
            <w:pPr>
              <w:pStyle w:val="TableTextRight"/>
            </w:pPr>
            <w:r w:rsidRPr="008664C7">
              <w:t>108,544</w:t>
            </w:r>
          </w:p>
        </w:tc>
        <w:tc>
          <w:tcPr>
            <w:tcW w:w="739" w:type="pct"/>
            <w:tcBorders>
              <w:top w:val="nil"/>
              <w:left w:val="nil"/>
              <w:bottom w:val="nil"/>
              <w:right w:val="nil"/>
            </w:tcBorders>
            <w:shd w:val="clear" w:color="000000" w:fill="FFFFFF"/>
            <w:noWrap/>
            <w:vAlign w:val="bottom"/>
            <w:hideMark/>
          </w:tcPr>
          <w:p w14:paraId="0D9641EC" w14:textId="77777777" w:rsidR="00877FE2" w:rsidRPr="008664C7" w:rsidRDefault="00877FE2" w:rsidP="00A1600C">
            <w:pPr>
              <w:pStyle w:val="TableTextRight"/>
            </w:pPr>
            <w:r w:rsidRPr="008664C7">
              <w:t>1,822,848</w:t>
            </w:r>
          </w:p>
        </w:tc>
      </w:tr>
      <w:tr w:rsidR="00816CB0" w:rsidRPr="008664C7" w14:paraId="70E0F8E3"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378E0DB4" w14:textId="2029F52F" w:rsidR="00877FE2" w:rsidRPr="008664C7" w:rsidRDefault="00877FE2" w:rsidP="00A1600C">
            <w:pPr>
              <w:pStyle w:val="Tabletextcentred"/>
            </w:pPr>
            <w:r w:rsidRPr="008664C7">
              <w:t>200</w:t>
            </w:r>
            <w:r w:rsidR="007A669A">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5FB07467" w14:textId="77777777" w:rsidR="00877FE2" w:rsidRPr="008664C7" w:rsidRDefault="00877FE2" w:rsidP="00A1600C">
            <w:pPr>
              <w:pStyle w:val="TableTextRight"/>
            </w:pPr>
            <w:r w:rsidRPr="008664C7">
              <w:t>86,700</w:t>
            </w:r>
          </w:p>
        </w:tc>
        <w:tc>
          <w:tcPr>
            <w:tcW w:w="739" w:type="pct"/>
            <w:tcBorders>
              <w:top w:val="nil"/>
              <w:left w:val="nil"/>
              <w:bottom w:val="nil"/>
              <w:right w:val="nil"/>
            </w:tcBorders>
            <w:shd w:val="clear" w:color="auto" w:fill="F2F2F2" w:themeFill="background1" w:themeFillShade="F2"/>
            <w:noWrap/>
            <w:vAlign w:val="bottom"/>
            <w:hideMark/>
          </w:tcPr>
          <w:p w14:paraId="0F6E6E3C" w14:textId="77777777" w:rsidR="00877FE2" w:rsidRPr="008664C7" w:rsidRDefault="00877FE2" w:rsidP="00A1600C">
            <w:pPr>
              <w:pStyle w:val="TableTextRight"/>
            </w:pPr>
            <w:r w:rsidRPr="008664C7">
              <w:t>155,596</w:t>
            </w:r>
          </w:p>
        </w:tc>
        <w:tc>
          <w:tcPr>
            <w:tcW w:w="739" w:type="pct"/>
            <w:tcBorders>
              <w:top w:val="nil"/>
              <w:left w:val="nil"/>
              <w:bottom w:val="nil"/>
              <w:right w:val="nil"/>
            </w:tcBorders>
            <w:shd w:val="clear" w:color="auto" w:fill="F2F2F2" w:themeFill="background1" w:themeFillShade="F2"/>
            <w:noWrap/>
            <w:vAlign w:val="bottom"/>
            <w:hideMark/>
          </w:tcPr>
          <w:p w14:paraId="1A87ACF8" w14:textId="77777777" w:rsidR="00877FE2" w:rsidRPr="008664C7" w:rsidRDefault="00877FE2" w:rsidP="00A1600C">
            <w:pPr>
              <w:pStyle w:val="TableTextRight"/>
            </w:pPr>
            <w:r w:rsidRPr="008664C7">
              <w:t>332,382</w:t>
            </w:r>
          </w:p>
        </w:tc>
        <w:tc>
          <w:tcPr>
            <w:tcW w:w="739" w:type="pct"/>
            <w:tcBorders>
              <w:top w:val="nil"/>
              <w:left w:val="nil"/>
              <w:bottom w:val="nil"/>
              <w:right w:val="nil"/>
            </w:tcBorders>
            <w:shd w:val="clear" w:color="auto" w:fill="F2F2F2" w:themeFill="background1" w:themeFillShade="F2"/>
            <w:noWrap/>
            <w:vAlign w:val="bottom"/>
            <w:hideMark/>
          </w:tcPr>
          <w:p w14:paraId="62037045" w14:textId="77777777" w:rsidR="00877FE2" w:rsidRPr="008664C7" w:rsidRDefault="00877FE2" w:rsidP="00A1600C">
            <w:pPr>
              <w:pStyle w:val="TableTextRight"/>
            </w:pPr>
            <w:r w:rsidRPr="008664C7">
              <w:t>401,059</w:t>
            </w:r>
          </w:p>
        </w:tc>
        <w:tc>
          <w:tcPr>
            <w:tcW w:w="739" w:type="pct"/>
            <w:tcBorders>
              <w:top w:val="nil"/>
              <w:left w:val="nil"/>
              <w:bottom w:val="nil"/>
              <w:right w:val="nil"/>
            </w:tcBorders>
            <w:shd w:val="clear" w:color="auto" w:fill="F2F2F2" w:themeFill="background1" w:themeFillShade="F2"/>
            <w:noWrap/>
            <w:vAlign w:val="bottom"/>
            <w:hideMark/>
          </w:tcPr>
          <w:p w14:paraId="38F70087" w14:textId="77777777" w:rsidR="00877FE2" w:rsidRPr="008664C7" w:rsidRDefault="00877FE2" w:rsidP="00A1600C">
            <w:pPr>
              <w:pStyle w:val="TableTextRight"/>
            </w:pPr>
            <w:r w:rsidRPr="008664C7">
              <w:t>106,155</w:t>
            </w:r>
          </w:p>
        </w:tc>
        <w:tc>
          <w:tcPr>
            <w:tcW w:w="739" w:type="pct"/>
            <w:tcBorders>
              <w:top w:val="nil"/>
              <w:left w:val="nil"/>
              <w:bottom w:val="nil"/>
              <w:right w:val="nil"/>
            </w:tcBorders>
            <w:shd w:val="clear" w:color="auto" w:fill="F2F2F2" w:themeFill="background1" w:themeFillShade="F2"/>
            <w:noWrap/>
            <w:vAlign w:val="bottom"/>
            <w:hideMark/>
          </w:tcPr>
          <w:p w14:paraId="76DBFF60" w14:textId="77777777" w:rsidR="00877FE2" w:rsidRPr="008664C7" w:rsidRDefault="00877FE2" w:rsidP="00A1600C">
            <w:pPr>
              <w:pStyle w:val="TableTextRight"/>
            </w:pPr>
            <w:r w:rsidRPr="008664C7">
              <w:t>2,153,451</w:t>
            </w:r>
          </w:p>
        </w:tc>
      </w:tr>
      <w:tr w:rsidR="00816CB0" w:rsidRPr="008664C7" w14:paraId="4ACD2DF2" w14:textId="77777777" w:rsidTr="00C90461">
        <w:trPr>
          <w:trHeight w:val="255"/>
        </w:trPr>
        <w:tc>
          <w:tcPr>
            <w:tcW w:w="569" w:type="pct"/>
            <w:tcBorders>
              <w:top w:val="nil"/>
              <w:left w:val="nil"/>
              <w:bottom w:val="nil"/>
              <w:right w:val="nil"/>
            </w:tcBorders>
            <w:shd w:val="clear" w:color="000000" w:fill="FFFFFF"/>
            <w:noWrap/>
            <w:vAlign w:val="bottom"/>
            <w:hideMark/>
          </w:tcPr>
          <w:p w14:paraId="01B915C7" w14:textId="04AFE146" w:rsidR="00877FE2" w:rsidRPr="008664C7" w:rsidRDefault="00877FE2" w:rsidP="00A1600C">
            <w:pPr>
              <w:pStyle w:val="Tabletextcentred"/>
            </w:pPr>
            <w:r w:rsidRPr="008664C7">
              <w:t>200</w:t>
            </w:r>
            <w:r w:rsidR="007A669A">
              <w:t>7-0</w:t>
            </w:r>
            <w:r w:rsidRPr="008664C7">
              <w:t>8</w:t>
            </w:r>
          </w:p>
        </w:tc>
        <w:tc>
          <w:tcPr>
            <w:tcW w:w="739" w:type="pct"/>
            <w:tcBorders>
              <w:top w:val="nil"/>
              <w:left w:val="nil"/>
              <w:bottom w:val="nil"/>
              <w:right w:val="nil"/>
            </w:tcBorders>
            <w:shd w:val="clear" w:color="000000" w:fill="FFFFFF"/>
            <w:noWrap/>
            <w:vAlign w:val="bottom"/>
            <w:hideMark/>
          </w:tcPr>
          <w:p w14:paraId="348529C4" w14:textId="77777777" w:rsidR="00877FE2" w:rsidRPr="008664C7" w:rsidRDefault="00877FE2" w:rsidP="00A1600C">
            <w:pPr>
              <w:pStyle w:val="TableTextRight"/>
            </w:pPr>
            <w:r w:rsidRPr="008664C7">
              <w:t>87,288</w:t>
            </w:r>
          </w:p>
        </w:tc>
        <w:tc>
          <w:tcPr>
            <w:tcW w:w="739" w:type="pct"/>
            <w:tcBorders>
              <w:top w:val="nil"/>
              <w:left w:val="nil"/>
              <w:bottom w:val="nil"/>
              <w:right w:val="nil"/>
            </w:tcBorders>
            <w:shd w:val="clear" w:color="000000" w:fill="FFFFFF"/>
            <w:noWrap/>
            <w:vAlign w:val="bottom"/>
            <w:hideMark/>
          </w:tcPr>
          <w:p w14:paraId="73A02011" w14:textId="77777777" w:rsidR="00877FE2" w:rsidRPr="008664C7" w:rsidRDefault="00877FE2" w:rsidP="00A1600C">
            <w:pPr>
              <w:pStyle w:val="TableTextRight"/>
            </w:pPr>
            <w:r w:rsidRPr="008664C7">
              <w:t>158,701</w:t>
            </w:r>
          </w:p>
        </w:tc>
        <w:tc>
          <w:tcPr>
            <w:tcW w:w="739" w:type="pct"/>
            <w:tcBorders>
              <w:top w:val="nil"/>
              <w:left w:val="nil"/>
              <w:bottom w:val="nil"/>
              <w:right w:val="nil"/>
            </w:tcBorders>
            <w:shd w:val="clear" w:color="000000" w:fill="FFFFFF"/>
            <w:noWrap/>
            <w:vAlign w:val="bottom"/>
            <w:hideMark/>
          </w:tcPr>
          <w:p w14:paraId="60FB112D" w14:textId="77777777" w:rsidR="00877FE2" w:rsidRPr="008664C7" w:rsidRDefault="00877FE2" w:rsidP="00A1600C">
            <w:pPr>
              <w:pStyle w:val="TableTextRight"/>
            </w:pPr>
            <w:r w:rsidRPr="008664C7">
              <w:t>355,273</w:t>
            </w:r>
          </w:p>
        </w:tc>
        <w:tc>
          <w:tcPr>
            <w:tcW w:w="739" w:type="pct"/>
            <w:tcBorders>
              <w:top w:val="nil"/>
              <w:left w:val="nil"/>
              <w:bottom w:val="nil"/>
              <w:right w:val="nil"/>
            </w:tcBorders>
            <w:shd w:val="clear" w:color="000000" w:fill="FFFFFF"/>
            <w:noWrap/>
            <w:vAlign w:val="bottom"/>
            <w:hideMark/>
          </w:tcPr>
          <w:p w14:paraId="1ACEE5DC" w14:textId="77777777" w:rsidR="00877FE2" w:rsidRPr="008664C7" w:rsidRDefault="00877FE2" w:rsidP="00A1600C">
            <w:pPr>
              <w:pStyle w:val="TableTextRight"/>
            </w:pPr>
            <w:r w:rsidRPr="008664C7">
              <w:t>447,966</w:t>
            </w:r>
          </w:p>
        </w:tc>
        <w:tc>
          <w:tcPr>
            <w:tcW w:w="739" w:type="pct"/>
            <w:tcBorders>
              <w:top w:val="nil"/>
              <w:left w:val="nil"/>
              <w:bottom w:val="nil"/>
              <w:right w:val="nil"/>
            </w:tcBorders>
            <w:shd w:val="clear" w:color="000000" w:fill="FFFFFF"/>
            <w:noWrap/>
            <w:vAlign w:val="bottom"/>
            <w:hideMark/>
          </w:tcPr>
          <w:p w14:paraId="0E54DBBA" w14:textId="77777777" w:rsidR="00877FE2" w:rsidRPr="008664C7" w:rsidRDefault="00877FE2" w:rsidP="00A1600C">
            <w:pPr>
              <w:pStyle w:val="TableTextRight"/>
            </w:pPr>
            <w:r w:rsidRPr="008664C7">
              <w:t>85,067</w:t>
            </w:r>
          </w:p>
        </w:tc>
        <w:tc>
          <w:tcPr>
            <w:tcW w:w="739" w:type="pct"/>
            <w:tcBorders>
              <w:top w:val="nil"/>
              <w:left w:val="nil"/>
              <w:bottom w:val="nil"/>
              <w:right w:val="nil"/>
            </w:tcBorders>
            <w:shd w:val="clear" w:color="000000" w:fill="FFFFFF"/>
            <w:noWrap/>
            <w:vAlign w:val="bottom"/>
            <w:hideMark/>
          </w:tcPr>
          <w:p w14:paraId="687E27E3" w14:textId="77777777" w:rsidR="00877FE2" w:rsidRPr="008664C7" w:rsidRDefault="00877FE2" w:rsidP="00A1600C">
            <w:pPr>
              <w:pStyle w:val="TableTextRight"/>
            </w:pPr>
            <w:r w:rsidRPr="008664C7">
              <w:t>2,319,275</w:t>
            </w:r>
          </w:p>
        </w:tc>
      </w:tr>
      <w:tr w:rsidR="00816CB0" w:rsidRPr="008664C7" w14:paraId="1EAECB83"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3C6867C5" w14:textId="6A61DBB2" w:rsidR="00877FE2" w:rsidRPr="008664C7" w:rsidRDefault="00877FE2" w:rsidP="00A1600C">
            <w:pPr>
              <w:pStyle w:val="Tabletextcentred"/>
            </w:pPr>
            <w:r w:rsidRPr="008664C7">
              <w:t>200</w:t>
            </w:r>
            <w:r w:rsidR="007A669A">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0C61B5A7" w14:textId="77777777" w:rsidR="00877FE2" w:rsidRPr="008664C7" w:rsidRDefault="00877FE2" w:rsidP="00A1600C">
            <w:pPr>
              <w:pStyle w:val="TableTextRight"/>
            </w:pPr>
            <w:r w:rsidRPr="008664C7">
              <w:t>89,132</w:t>
            </w:r>
          </w:p>
        </w:tc>
        <w:tc>
          <w:tcPr>
            <w:tcW w:w="739" w:type="pct"/>
            <w:tcBorders>
              <w:top w:val="nil"/>
              <w:left w:val="nil"/>
              <w:bottom w:val="nil"/>
              <w:right w:val="nil"/>
            </w:tcBorders>
            <w:shd w:val="clear" w:color="auto" w:fill="F2F2F2" w:themeFill="background1" w:themeFillShade="F2"/>
            <w:noWrap/>
            <w:vAlign w:val="bottom"/>
            <w:hideMark/>
          </w:tcPr>
          <w:p w14:paraId="1B828D47" w14:textId="77777777" w:rsidR="00877FE2" w:rsidRPr="008664C7" w:rsidRDefault="00877FE2" w:rsidP="00A1600C">
            <w:pPr>
              <w:pStyle w:val="TableTextRight"/>
            </w:pPr>
            <w:r w:rsidRPr="008664C7">
              <w:t>162,932</w:t>
            </w:r>
          </w:p>
        </w:tc>
        <w:tc>
          <w:tcPr>
            <w:tcW w:w="739" w:type="pct"/>
            <w:tcBorders>
              <w:top w:val="nil"/>
              <w:left w:val="nil"/>
              <w:bottom w:val="nil"/>
              <w:right w:val="nil"/>
            </w:tcBorders>
            <w:shd w:val="clear" w:color="auto" w:fill="F2F2F2" w:themeFill="background1" w:themeFillShade="F2"/>
            <w:noWrap/>
            <w:vAlign w:val="bottom"/>
            <w:hideMark/>
          </w:tcPr>
          <w:p w14:paraId="7A72ACD0" w14:textId="77777777" w:rsidR="00877FE2" w:rsidRPr="008664C7" w:rsidRDefault="00877FE2" w:rsidP="00A1600C">
            <w:pPr>
              <w:pStyle w:val="TableTextRight"/>
            </w:pPr>
            <w:r w:rsidRPr="008664C7">
              <w:t>356,452</w:t>
            </w:r>
          </w:p>
        </w:tc>
        <w:tc>
          <w:tcPr>
            <w:tcW w:w="739" w:type="pct"/>
            <w:tcBorders>
              <w:top w:val="nil"/>
              <w:left w:val="nil"/>
              <w:bottom w:val="nil"/>
              <w:right w:val="nil"/>
            </w:tcBorders>
            <w:shd w:val="clear" w:color="auto" w:fill="F2F2F2" w:themeFill="background1" w:themeFillShade="F2"/>
            <w:noWrap/>
            <w:vAlign w:val="bottom"/>
            <w:hideMark/>
          </w:tcPr>
          <w:p w14:paraId="1C5CA778" w14:textId="77777777" w:rsidR="00877FE2" w:rsidRPr="008664C7" w:rsidRDefault="00877FE2" w:rsidP="00A1600C">
            <w:pPr>
              <w:pStyle w:val="TableTextRight"/>
            </w:pPr>
            <w:r w:rsidRPr="008664C7">
              <w:t>435,794</w:t>
            </w:r>
          </w:p>
        </w:tc>
        <w:tc>
          <w:tcPr>
            <w:tcW w:w="739" w:type="pct"/>
            <w:tcBorders>
              <w:top w:val="nil"/>
              <w:left w:val="nil"/>
              <w:bottom w:val="nil"/>
              <w:right w:val="nil"/>
            </w:tcBorders>
            <w:shd w:val="clear" w:color="auto" w:fill="F2F2F2" w:themeFill="background1" w:themeFillShade="F2"/>
            <w:noWrap/>
            <w:vAlign w:val="bottom"/>
            <w:hideMark/>
          </w:tcPr>
          <w:p w14:paraId="29915C78" w14:textId="77777777" w:rsidR="00877FE2" w:rsidRPr="008664C7" w:rsidRDefault="00877FE2" w:rsidP="00A1600C">
            <w:pPr>
              <w:pStyle w:val="TableTextRight"/>
            </w:pPr>
            <w:r w:rsidRPr="008664C7">
              <w:t>105,394</w:t>
            </w:r>
          </w:p>
        </w:tc>
        <w:tc>
          <w:tcPr>
            <w:tcW w:w="739" w:type="pct"/>
            <w:tcBorders>
              <w:top w:val="nil"/>
              <w:left w:val="nil"/>
              <w:bottom w:val="nil"/>
              <w:right w:val="nil"/>
            </w:tcBorders>
            <w:shd w:val="clear" w:color="auto" w:fill="F2F2F2" w:themeFill="background1" w:themeFillShade="F2"/>
            <w:noWrap/>
            <w:vAlign w:val="bottom"/>
            <w:hideMark/>
          </w:tcPr>
          <w:p w14:paraId="48953213" w14:textId="77777777" w:rsidR="00877FE2" w:rsidRPr="008664C7" w:rsidRDefault="00877FE2" w:rsidP="00A1600C">
            <w:pPr>
              <w:pStyle w:val="TableTextRight"/>
            </w:pPr>
            <w:r w:rsidRPr="008664C7">
              <w:t>2,119,868</w:t>
            </w:r>
          </w:p>
        </w:tc>
      </w:tr>
      <w:tr w:rsidR="00816CB0" w:rsidRPr="008664C7" w14:paraId="2427C29F" w14:textId="77777777" w:rsidTr="00C90461">
        <w:trPr>
          <w:trHeight w:val="255"/>
        </w:trPr>
        <w:tc>
          <w:tcPr>
            <w:tcW w:w="569" w:type="pct"/>
            <w:tcBorders>
              <w:top w:val="nil"/>
              <w:left w:val="nil"/>
              <w:bottom w:val="nil"/>
              <w:right w:val="nil"/>
            </w:tcBorders>
            <w:shd w:val="clear" w:color="000000" w:fill="FFFFFF"/>
            <w:noWrap/>
            <w:vAlign w:val="bottom"/>
            <w:hideMark/>
          </w:tcPr>
          <w:p w14:paraId="32C21471" w14:textId="47362E61" w:rsidR="00877FE2" w:rsidRPr="008664C7" w:rsidRDefault="00877FE2" w:rsidP="00A1600C">
            <w:pPr>
              <w:pStyle w:val="Tabletextcentred"/>
            </w:pPr>
            <w:r w:rsidRPr="008664C7">
              <w:t>20</w:t>
            </w:r>
            <w:r w:rsidR="007A669A">
              <w:t>09-</w:t>
            </w:r>
            <w:r w:rsidRPr="008664C7">
              <w:t>10</w:t>
            </w:r>
          </w:p>
        </w:tc>
        <w:tc>
          <w:tcPr>
            <w:tcW w:w="739" w:type="pct"/>
            <w:tcBorders>
              <w:top w:val="nil"/>
              <w:left w:val="nil"/>
              <w:bottom w:val="nil"/>
              <w:right w:val="nil"/>
            </w:tcBorders>
            <w:shd w:val="clear" w:color="000000" w:fill="FFFFFF"/>
            <w:noWrap/>
            <w:vAlign w:val="bottom"/>
            <w:hideMark/>
          </w:tcPr>
          <w:p w14:paraId="5A970133" w14:textId="77777777" w:rsidR="00877FE2" w:rsidRPr="008664C7" w:rsidRDefault="00877FE2" w:rsidP="00A1600C">
            <w:pPr>
              <w:pStyle w:val="TableTextRight"/>
            </w:pPr>
            <w:r w:rsidRPr="008664C7">
              <w:t>87,564</w:t>
            </w:r>
          </w:p>
        </w:tc>
        <w:tc>
          <w:tcPr>
            <w:tcW w:w="739" w:type="pct"/>
            <w:tcBorders>
              <w:top w:val="nil"/>
              <w:left w:val="nil"/>
              <w:bottom w:val="nil"/>
              <w:right w:val="nil"/>
            </w:tcBorders>
            <w:shd w:val="clear" w:color="000000" w:fill="FFFFFF"/>
            <w:noWrap/>
            <w:vAlign w:val="bottom"/>
            <w:hideMark/>
          </w:tcPr>
          <w:p w14:paraId="6E15ECAC" w14:textId="77777777" w:rsidR="00877FE2" w:rsidRPr="008664C7" w:rsidRDefault="00877FE2" w:rsidP="00A1600C">
            <w:pPr>
              <w:pStyle w:val="TableTextRight"/>
            </w:pPr>
            <w:r w:rsidRPr="008664C7">
              <w:t>158,922</w:t>
            </w:r>
          </w:p>
        </w:tc>
        <w:tc>
          <w:tcPr>
            <w:tcW w:w="739" w:type="pct"/>
            <w:tcBorders>
              <w:top w:val="nil"/>
              <w:left w:val="nil"/>
              <w:bottom w:val="nil"/>
              <w:right w:val="nil"/>
            </w:tcBorders>
            <w:shd w:val="clear" w:color="000000" w:fill="FFFFFF"/>
            <w:noWrap/>
            <w:vAlign w:val="bottom"/>
            <w:hideMark/>
          </w:tcPr>
          <w:p w14:paraId="5A2578F2" w14:textId="77777777" w:rsidR="00877FE2" w:rsidRPr="008664C7" w:rsidRDefault="00877FE2" w:rsidP="00A1600C">
            <w:pPr>
              <w:pStyle w:val="TableTextRight"/>
            </w:pPr>
            <w:r w:rsidRPr="008664C7">
              <w:t>347,822</w:t>
            </w:r>
          </w:p>
        </w:tc>
        <w:tc>
          <w:tcPr>
            <w:tcW w:w="739" w:type="pct"/>
            <w:tcBorders>
              <w:top w:val="nil"/>
              <w:left w:val="nil"/>
              <w:bottom w:val="nil"/>
              <w:right w:val="nil"/>
            </w:tcBorders>
            <w:shd w:val="clear" w:color="000000" w:fill="FFFFFF"/>
            <w:noWrap/>
            <w:vAlign w:val="bottom"/>
            <w:hideMark/>
          </w:tcPr>
          <w:p w14:paraId="6A9DBC7F" w14:textId="77777777" w:rsidR="00877FE2" w:rsidRPr="008664C7" w:rsidRDefault="00877FE2" w:rsidP="00A1600C">
            <w:pPr>
              <w:pStyle w:val="TableTextRight"/>
            </w:pPr>
            <w:r w:rsidRPr="008664C7">
              <w:t>430,302</w:t>
            </w:r>
          </w:p>
        </w:tc>
        <w:tc>
          <w:tcPr>
            <w:tcW w:w="739" w:type="pct"/>
            <w:tcBorders>
              <w:top w:val="nil"/>
              <w:left w:val="nil"/>
              <w:bottom w:val="nil"/>
              <w:right w:val="nil"/>
            </w:tcBorders>
            <w:shd w:val="clear" w:color="000000" w:fill="FFFFFF"/>
            <w:noWrap/>
            <w:vAlign w:val="bottom"/>
            <w:hideMark/>
          </w:tcPr>
          <w:p w14:paraId="40553325" w14:textId="77777777" w:rsidR="00877FE2" w:rsidRPr="008664C7" w:rsidRDefault="00877FE2" w:rsidP="00A1600C">
            <w:pPr>
              <w:pStyle w:val="TableTextRight"/>
            </w:pPr>
            <w:r w:rsidRPr="008664C7">
              <w:t>112,309</w:t>
            </w:r>
          </w:p>
        </w:tc>
        <w:tc>
          <w:tcPr>
            <w:tcW w:w="739" w:type="pct"/>
            <w:tcBorders>
              <w:top w:val="nil"/>
              <w:left w:val="nil"/>
              <w:bottom w:val="nil"/>
              <w:right w:val="nil"/>
            </w:tcBorders>
            <w:shd w:val="clear" w:color="000000" w:fill="FFFFFF"/>
            <w:noWrap/>
            <w:vAlign w:val="bottom"/>
            <w:hideMark/>
          </w:tcPr>
          <w:p w14:paraId="1F97F892" w14:textId="77777777" w:rsidR="00877FE2" w:rsidRPr="008664C7" w:rsidRDefault="00877FE2" w:rsidP="00A1600C">
            <w:pPr>
              <w:pStyle w:val="TableTextRight"/>
            </w:pPr>
            <w:r w:rsidRPr="008664C7">
              <w:t>2,121,863</w:t>
            </w:r>
          </w:p>
        </w:tc>
      </w:tr>
      <w:tr w:rsidR="00816CB0" w:rsidRPr="008664C7" w14:paraId="1BC4DBB1"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24620F7A" w14:textId="049E1C9A" w:rsidR="00877FE2" w:rsidRPr="008664C7" w:rsidRDefault="00877FE2" w:rsidP="00A1600C">
            <w:pPr>
              <w:pStyle w:val="Tabletextcentred"/>
            </w:pPr>
            <w:r w:rsidRPr="008664C7">
              <w:t>20</w:t>
            </w:r>
            <w:r w:rsidR="007A669A">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60F87A42" w14:textId="77777777" w:rsidR="00877FE2" w:rsidRPr="008664C7" w:rsidRDefault="00877FE2" w:rsidP="00A1600C">
            <w:pPr>
              <w:pStyle w:val="TableTextRight"/>
            </w:pPr>
            <w:r w:rsidRPr="008664C7">
              <w:t>89,000</w:t>
            </w:r>
          </w:p>
        </w:tc>
        <w:tc>
          <w:tcPr>
            <w:tcW w:w="739" w:type="pct"/>
            <w:tcBorders>
              <w:top w:val="nil"/>
              <w:left w:val="nil"/>
              <w:bottom w:val="nil"/>
              <w:right w:val="nil"/>
            </w:tcBorders>
            <w:shd w:val="clear" w:color="auto" w:fill="F2F2F2" w:themeFill="background1" w:themeFillShade="F2"/>
            <w:noWrap/>
            <w:vAlign w:val="bottom"/>
            <w:hideMark/>
          </w:tcPr>
          <w:p w14:paraId="377725FF" w14:textId="77777777" w:rsidR="00877FE2" w:rsidRPr="008664C7" w:rsidRDefault="00877FE2" w:rsidP="00A1600C">
            <w:pPr>
              <w:pStyle w:val="TableTextRight"/>
            </w:pPr>
            <w:r w:rsidRPr="008664C7">
              <w:t>162,751</w:t>
            </w:r>
          </w:p>
        </w:tc>
        <w:tc>
          <w:tcPr>
            <w:tcW w:w="739" w:type="pct"/>
            <w:tcBorders>
              <w:top w:val="nil"/>
              <w:left w:val="nil"/>
              <w:bottom w:val="nil"/>
              <w:right w:val="nil"/>
            </w:tcBorders>
            <w:shd w:val="clear" w:color="auto" w:fill="F2F2F2" w:themeFill="background1" w:themeFillShade="F2"/>
            <w:noWrap/>
            <w:vAlign w:val="bottom"/>
            <w:hideMark/>
          </w:tcPr>
          <w:p w14:paraId="70F97051" w14:textId="77777777" w:rsidR="00877FE2" w:rsidRPr="008664C7" w:rsidRDefault="00877FE2" w:rsidP="00A1600C">
            <w:pPr>
              <w:pStyle w:val="TableTextRight"/>
            </w:pPr>
            <w:r w:rsidRPr="008664C7">
              <w:t>359,311</w:t>
            </w:r>
          </w:p>
        </w:tc>
        <w:tc>
          <w:tcPr>
            <w:tcW w:w="739" w:type="pct"/>
            <w:tcBorders>
              <w:top w:val="nil"/>
              <w:left w:val="nil"/>
              <w:bottom w:val="nil"/>
              <w:right w:val="nil"/>
            </w:tcBorders>
            <w:shd w:val="clear" w:color="auto" w:fill="F2F2F2" w:themeFill="background1" w:themeFillShade="F2"/>
            <w:noWrap/>
            <w:vAlign w:val="bottom"/>
            <w:hideMark/>
          </w:tcPr>
          <w:p w14:paraId="2C56B49C" w14:textId="77777777" w:rsidR="00877FE2" w:rsidRPr="008664C7" w:rsidRDefault="00877FE2" w:rsidP="00A1600C">
            <w:pPr>
              <w:pStyle w:val="TableTextRight"/>
            </w:pPr>
            <w:r w:rsidRPr="008664C7">
              <w:t>447,235</w:t>
            </w:r>
          </w:p>
        </w:tc>
        <w:tc>
          <w:tcPr>
            <w:tcW w:w="739" w:type="pct"/>
            <w:tcBorders>
              <w:top w:val="nil"/>
              <w:left w:val="nil"/>
              <w:bottom w:val="nil"/>
              <w:right w:val="nil"/>
            </w:tcBorders>
            <w:shd w:val="clear" w:color="auto" w:fill="F2F2F2" w:themeFill="background1" w:themeFillShade="F2"/>
            <w:noWrap/>
            <w:vAlign w:val="bottom"/>
            <w:hideMark/>
          </w:tcPr>
          <w:p w14:paraId="155B8EC7" w14:textId="77777777" w:rsidR="00877FE2" w:rsidRPr="008664C7" w:rsidRDefault="00877FE2" w:rsidP="00A1600C">
            <w:pPr>
              <w:pStyle w:val="TableTextRight"/>
            </w:pPr>
            <w:r w:rsidRPr="008664C7">
              <w:t>114,248</w:t>
            </w:r>
          </w:p>
        </w:tc>
        <w:tc>
          <w:tcPr>
            <w:tcW w:w="739" w:type="pct"/>
            <w:tcBorders>
              <w:top w:val="nil"/>
              <w:left w:val="nil"/>
              <w:bottom w:val="nil"/>
              <w:right w:val="nil"/>
            </w:tcBorders>
            <w:shd w:val="clear" w:color="auto" w:fill="F2F2F2" w:themeFill="background1" w:themeFillShade="F2"/>
            <w:noWrap/>
            <w:vAlign w:val="bottom"/>
            <w:hideMark/>
          </w:tcPr>
          <w:p w14:paraId="7481346B" w14:textId="77777777" w:rsidR="00877FE2" w:rsidRPr="008664C7" w:rsidRDefault="00877FE2" w:rsidP="00A1600C">
            <w:pPr>
              <w:pStyle w:val="TableTextRight"/>
            </w:pPr>
            <w:r w:rsidRPr="008664C7">
              <w:t>1,995,753</w:t>
            </w:r>
          </w:p>
        </w:tc>
      </w:tr>
      <w:tr w:rsidR="00816CB0" w:rsidRPr="008664C7" w14:paraId="6AACBB17" w14:textId="77777777" w:rsidTr="00C90461">
        <w:trPr>
          <w:trHeight w:val="255"/>
        </w:trPr>
        <w:tc>
          <w:tcPr>
            <w:tcW w:w="569" w:type="pct"/>
            <w:tcBorders>
              <w:top w:val="nil"/>
              <w:left w:val="nil"/>
              <w:bottom w:val="nil"/>
              <w:right w:val="nil"/>
            </w:tcBorders>
            <w:shd w:val="clear" w:color="000000" w:fill="FFFFFF"/>
            <w:noWrap/>
            <w:vAlign w:val="bottom"/>
            <w:hideMark/>
          </w:tcPr>
          <w:p w14:paraId="6A2CE1A7" w14:textId="40BBFFDC" w:rsidR="00877FE2" w:rsidRPr="008664C7" w:rsidRDefault="00877FE2" w:rsidP="00A1600C">
            <w:pPr>
              <w:pStyle w:val="Tabletextcentred"/>
            </w:pPr>
            <w:r w:rsidRPr="008664C7">
              <w:t>20</w:t>
            </w:r>
            <w:r w:rsidR="007A669A">
              <w:t>11-</w:t>
            </w:r>
            <w:r w:rsidRPr="008664C7">
              <w:t>12</w:t>
            </w:r>
          </w:p>
        </w:tc>
        <w:tc>
          <w:tcPr>
            <w:tcW w:w="739" w:type="pct"/>
            <w:tcBorders>
              <w:top w:val="nil"/>
              <w:left w:val="nil"/>
              <w:bottom w:val="nil"/>
              <w:right w:val="nil"/>
            </w:tcBorders>
            <w:shd w:val="clear" w:color="000000" w:fill="FFFFFF"/>
            <w:noWrap/>
            <w:vAlign w:val="bottom"/>
            <w:hideMark/>
          </w:tcPr>
          <w:p w14:paraId="56D9A107" w14:textId="77777777" w:rsidR="00877FE2" w:rsidRPr="008664C7" w:rsidRDefault="00877FE2" w:rsidP="00A1600C">
            <w:pPr>
              <w:pStyle w:val="TableTextRight"/>
            </w:pPr>
            <w:r w:rsidRPr="008664C7">
              <w:t>89,734</w:t>
            </w:r>
          </w:p>
        </w:tc>
        <w:tc>
          <w:tcPr>
            <w:tcW w:w="739" w:type="pct"/>
            <w:tcBorders>
              <w:top w:val="nil"/>
              <w:left w:val="nil"/>
              <w:bottom w:val="nil"/>
              <w:right w:val="nil"/>
            </w:tcBorders>
            <w:shd w:val="clear" w:color="000000" w:fill="FFFFFF"/>
            <w:noWrap/>
            <w:vAlign w:val="bottom"/>
            <w:hideMark/>
          </w:tcPr>
          <w:p w14:paraId="76036FD1" w14:textId="77777777" w:rsidR="00877FE2" w:rsidRPr="008664C7" w:rsidRDefault="00877FE2" w:rsidP="00A1600C">
            <w:pPr>
              <w:pStyle w:val="TableTextRight"/>
            </w:pPr>
            <w:r w:rsidRPr="008664C7">
              <w:t>164,794</w:t>
            </w:r>
          </w:p>
        </w:tc>
        <w:tc>
          <w:tcPr>
            <w:tcW w:w="739" w:type="pct"/>
            <w:tcBorders>
              <w:top w:val="nil"/>
              <w:left w:val="nil"/>
              <w:bottom w:val="nil"/>
              <w:right w:val="nil"/>
            </w:tcBorders>
            <w:shd w:val="clear" w:color="000000" w:fill="FFFFFF"/>
            <w:noWrap/>
            <w:vAlign w:val="bottom"/>
            <w:hideMark/>
          </w:tcPr>
          <w:p w14:paraId="7CE5A2CD" w14:textId="77777777" w:rsidR="00877FE2" w:rsidRPr="008664C7" w:rsidRDefault="00877FE2" w:rsidP="00A1600C">
            <w:pPr>
              <w:pStyle w:val="TableTextRight"/>
            </w:pPr>
            <w:r w:rsidRPr="008664C7">
              <w:t>366,476</w:t>
            </w:r>
          </w:p>
        </w:tc>
        <w:tc>
          <w:tcPr>
            <w:tcW w:w="739" w:type="pct"/>
            <w:tcBorders>
              <w:top w:val="nil"/>
              <w:left w:val="nil"/>
              <w:bottom w:val="nil"/>
              <w:right w:val="nil"/>
            </w:tcBorders>
            <w:shd w:val="clear" w:color="000000" w:fill="FFFFFF"/>
            <w:noWrap/>
            <w:vAlign w:val="bottom"/>
            <w:hideMark/>
          </w:tcPr>
          <w:p w14:paraId="10A398AC" w14:textId="77777777" w:rsidR="00877FE2" w:rsidRPr="008664C7" w:rsidRDefault="00877FE2" w:rsidP="00A1600C">
            <w:pPr>
              <w:pStyle w:val="TableTextRight"/>
            </w:pPr>
            <w:r w:rsidRPr="008664C7">
              <w:t>462,004</w:t>
            </w:r>
          </w:p>
        </w:tc>
        <w:tc>
          <w:tcPr>
            <w:tcW w:w="739" w:type="pct"/>
            <w:tcBorders>
              <w:top w:val="nil"/>
              <w:left w:val="nil"/>
              <w:bottom w:val="nil"/>
              <w:right w:val="nil"/>
            </w:tcBorders>
            <w:shd w:val="clear" w:color="000000" w:fill="FFFFFF"/>
            <w:noWrap/>
            <w:vAlign w:val="bottom"/>
            <w:hideMark/>
          </w:tcPr>
          <w:p w14:paraId="6F24BE3F" w14:textId="77777777" w:rsidR="00877FE2" w:rsidRPr="008664C7" w:rsidRDefault="00877FE2" w:rsidP="00A1600C">
            <w:pPr>
              <w:pStyle w:val="TableTextRight"/>
            </w:pPr>
            <w:r w:rsidRPr="008664C7">
              <w:t>117,246</w:t>
            </w:r>
          </w:p>
        </w:tc>
        <w:tc>
          <w:tcPr>
            <w:tcW w:w="739" w:type="pct"/>
            <w:tcBorders>
              <w:top w:val="nil"/>
              <w:left w:val="nil"/>
              <w:bottom w:val="nil"/>
              <w:right w:val="nil"/>
            </w:tcBorders>
            <w:shd w:val="clear" w:color="000000" w:fill="FFFFFF"/>
            <w:noWrap/>
            <w:vAlign w:val="bottom"/>
            <w:hideMark/>
          </w:tcPr>
          <w:p w14:paraId="6FA366D4" w14:textId="77777777" w:rsidR="00877FE2" w:rsidRPr="008664C7" w:rsidRDefault="00877FE2" w:rsidP="00A1600C">
            <w:pPr>
              <w:pStyle w:val="TableTextRight"/>
            </w:pPr>
            <w:r w:rsidRPr="008664C7">
              <w:t>2,119,980</w:t>
            </w:r>
          </w:p>
        </w:tc>
      </w:tr>
      <w:tr w:rsidR="00816CB0" w:rsidRPr="008664C7" w14:paraId="33A17CAB"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7F9246BB" w14:textId="07537271" w:rsidR="00877FE2" w:rsidRPr="008664C7" w:rsidRDefault="00877FE2" w:rsidP="00A1600C">
            <w:pPr>
              <w:pStyle w:val="Tabletextcentred"/>
            </w:pPr>
            <w:r w:rsidRPr="008664C7">
              <w:t>20</w:t>
            </w:r>
            <w:r w:rsidR="007A669A">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29B06AEC" w14:textId="77777777" w:rsidR="00877FE2" w:rsidRPr="008664C7" w:rsidRDefault="00877FE2" w:rsidP="00A1600C">
            <w:pPr>
              <w:pStyle w:val="TableTextRight"/>
            </w:pPr>
            <w:r w:rsidRPr="008664C7">
              <w:t>88,792</w:t>
            </w:r>
          </w:p>
        </w:tc>
        <w:tc>
          <w:tcPr>
            <w:tcW w:w="739" w:type="pct"/>
            <w:tcBorders>
              <w:top w:val="nil"/>
              <w:left w:val="nil"/>
              <w:bottom w:val="nil"/>
              <w:right w:val="nil"/>
            </w:tcBorders>
            <w:shd w:val="clear" w:color="auto" w:fill="F2F2F2" w:themeFill="background1" w:themeFillShade="F2"/>
            <w:noWrap/>
            <w:vAlign w:val="bottom"/>
            <w:hideMark/>
          </w:tcPr>
          <w:p w14:paraId="7002A44B" w14:textId="77777777" w:rsidR="00877FE2" w:rsidRPr="008664C7" w:rsidRDefault="00877FE2" w:rsidP="00A1600C">
            <w:pPr>
              <w:pStyle w:val="TableTextRight"/>
            </w:pPr>
            <w:r w:rsidRPr="008664C7">
              <w:t>162,451</w:t>
            </w:r>
          </w:p>
        </w:tc>
        <w:tc>
          <w:tcPr>
            <w:tcW w:w="739" w:type="pct"/>
            <w:tcBorders>
              <w:top w:val="nil"/>
              <w:left w:val="nil"/>
              <w:bottom w:val="nil"/>
              <w:right w:val="nil"/>
            </w:tcBorders>
            <w:shd w:val="clear" w:color="auto" w:fill="F2F2F2" w:themeFill="background1" w:themeFillShade="F2"/>
            <w:noWrap/>
            <w:vAlign w:val="bottom"/>
            <w:hideMark/>
          </w:tcPr>
          <w:p w14:paraId="3065B2CE" w14:textId="77777777" w:rsidR="00877FE2" w:rsidRPr="008664C7" w:rsidRDefault="00877FE2" w:rsidP="00A1600C">
            <w:pPr>
              <w:pStyle w:val="TableTextRight"/>
            </w:pPr>
            <w:r w:rsidRPr="008664C7">
              <w:t>363,816</w:t>
            </w:r>
          </w:p>
        </w:tc>
        <w:tc>
          <w:tcPr>
            <w:tcW w:w="739" w:type="pct"/>
            <w:tcBorders>
              <w:top w:val="nil"/>
              <w:left w:val="nil"/>
              <w:bottom w:val="nil"/>
              <w:right w:val="nil"/>
            </w:tcBorders>
            <w:shd w:val="clear" w:color="auto" w:fill="F2F2F2" w:themeFill="background1" w:themeFillShade="F2"/>
            <w:noWrap/>
            <w:vAlign w:val="bottom"/>
            <w:hideMark/>
          </w:tcPr>
          <w:p w14:paraId="48894F58" w14:textId="77777777" w:rsidR="00877FE2" w:rsidRPr="008664C7" w:rsidRDefault="00877FE2" w:rsidP="00A1600C">
            <w:pPr>
              <w:pStyle w:val="TableTextRight"/>
            </w:pPr>
            <w:r w:rsidRPr="008664C7">
              <w:t>466,861</w:t>
            </w:r>
          </w:p>
        </w:tc>
        <w:tc>
          <w:tcPr>
            <w:tcW w:w="739" w:type="pct"/>
            <w:tcBorders>
              <w:top w:val="nil"/>
              <w:left w:val="nil"/>
              <w:bottom w:val="nil"/>
              <w:right w:val="nil"/>
            </w:tcBorders>
            <w:shd w:val="clear" w:color="auto" w:fill="F2F2F2" w:themeFill="background1" w:themeFillShade="F2"/>
            <w:noWrap/>
            <w:vAlign w:val="bottom"/>
            <w:hideMark/>
          </w:tcPr>
          <w:p w14:paraId="56B5B9E2" w14:textId="77777777" w:rsidR="00877FE2" w:rsidRPr="008664C7" w:rsidRDefault="00877FE2" w:rsidP="00A1600C">
            <w:pPr>
              <w:pStyle w:val="TableTextRight"/>
            </w:pPr>
            <w:r w:rsidRPr="008664C7">
              <w:t>116,937</w:t>
            </w:r>
          </w:p>
        </w:tc>
        <w:tc>
          <w:tcPr>
            <w:tcW w:w="739" w:type="pct"/>
            <w:tcBorders>
              <w:top w:val="nil"/>
              <w:left w:val="nil"/>
              <w:bottom w:val="nil"/>
              <w:right w:val="nil"/>
            </w:tcBorders>
            <w:shd w:val="clear" w:color="auto" w:fill="F2F2F2" w:themeFill="background1" w:themeFillShade="F2"/>
            <w:noWrap/>
            <w:vAlign w:val="bottom"/>
            <w:hideMark/>
          </w:tcPr>
          <w:p w14:paraId="14A907EB" w14:textId="77777777" w:rsidR="00877FE2" w:rsidRPr="008664C7" w:rsidRDefault="00877FE2" w:rsidP="00A1600C">
            <w:pPr>
              <w:pStyle w:val="TableTextRight"/>
            </w:pPr>
            <w:r w:rsidRPr="008664C7">
              <w:t>1,965,559</w:t>
            </w:r>
          </w:p>
        </w:tc>
      </w:tr>
      <w:tr w:rsidR="00816CB0" w:rsidRPr="008664C7" w14:paraId="1468D113" w14:textId="77777777" w:rsidTr="00C90461">
        <w:trPr>
          <w:trHeight w:val="255"/>
        </w:trPr>
        <w:tc>
          <w:tcPr>
            <w:tcW w:w="569" w:type="pct"/>
            <w:tcBorders>
              <w:top w:val="nil"/>
              <w:left w:val="nil"/>
              <w:bottom w:val="nil"/>
              <w:right w:val="nil"/>
            </w:tcBorders>
            <w:shd w:val="clear" w:color="000000" w:fill="FFFFFF"/>
            <w:noWrap/>
            <w:vAlign w:val="bottom"/>
            <w:hideMark/>
          </w:tcPr>
          <w:p w14:paraId="55386BBC" w14:textId="275A1286" w:rsidR="00877FE2" w:rsidRPr="008664C7" w:rsidRDefault="00877FE2" w:rsidP="00A1600C">
            <w:pPr>
              <w:pStyle w:val="Tabletextcentred"/>
            </w:pPr>
            <w:r w:rsidRPr="008664C7">
              <w:t>20</w:t>
            </w:r>
            <w:r w:rsidR="007A669A">
              <w:t>13-</w:t>
            </w:r>
            <w:r w:rsidRPr="008664C7">
              <w:t>14</w:t>
            </w:r>
          </w:p>
        </w:tc>
        <w:tc>
          <w:tcPr>
            <w:tcW w:w="739" w:type="pct"/>
            <w:tcBorders>
              <w:top w:val="nil"/>
              <w:left w:val="nil"/>
              <w:bottom w:val="nil"/>
              <w:right w:val="nil"/>
            </w:tcBorders>
            <w:shd w:val="clear" w:color="000000" w:fill="FFFFFF"/>
            <w:noWrap/>
            <w:vAlign w:val="bottom"/>
            <w:hideMark/>
          </w:tcPr>
          <w:p w14:paraId="7089ED4D" w14:textId="77777777" w:rsidR="00877FE2" w:rsidRPr="008664C7" w:rsidRDefault="00877FE2" w:rsidP="00A1600C">
            <w:pPr>
              <w:pStyle w:val="TableTextRight"/>
            </w:pPr>
            <w:r w:rsidRPr="008664C7">
              <w:t>89,900</w:t>
            </w:r>
          </w:p>
        </w:tc>
        <w:tc>
          <w:tcPr>
            <w:tcW w:w="739" w:type="pct"/>
            <w:tcBorders>
              <w:top w:val="nil"/>
              <w:left w:val="nil"/>
              <w:bottom w:val="nil"/>
              <w:right w:val="nil"/>
            </w:tcBorders>
            <w:shd w:val="clear" w:color="000000" w:fill="FFFFFF"/>
            <w:noWrap/>
            <w:vAlign w:val="bottom"/>
            <w:hideMark/>
          </w:tcPr>
          <w:p w14:paraId="7661934A" w14:textId="77777777" w:rsidR="00877FE2" w:rsidRPr="008664C7" w:rsidRDefault="00877FE2" w:rsidP="00A1600C">
            <w:pPr>
              <w:pStyle w:val="TableTextRight"/>
            </w:pPr>
            <w:r w:rsidRPr="008664C7">
              <w:t>165,288</w:t>
            </w:r>
          </w:p>
        </w:tc>
        <w:tc>
          <w:tcPr>
            <w:tcW w:w="739" w:type="pct"/>
            <w:tcBorders>
              <w:top w:val="nil"/>
              <w:left w:val="nil"/>
              <w:bottom w:val="nil"/>
              <w:right w:val="nil"/>
            </w:tcBorders>
            <w:shd w:val="clear" w:color="000000" w:fill="FFFFFF"/>
            <w:noWrap/>
            <w:vAlign w:val="bottom"/>
            <w:hideMark/>
          </w:tcPr>
          <w:p w14:paraId="185C6284" w14:textId="77777777" w:rsidR="00877FE2" w:rsidRPr="008664C7" w:rsidRDefault="00877FE2" w:rsidP="00A1600C">
            <w:pPr>
              <w:pStyle w:val="TableTextRight"/>
            </w:pPr>
            <w:r w:rsidRPr="008664C7">
              <w:t>376,152</w:t>
            </w:r>
          </w:p>
        </w:tc>
        <w:tc>
          <w:tcPr>
            <w:tcW w:w="739" w:type="pct"/>
            <w:tcBorders>
              <w:top w:val="nil"/>
              <w:left w:val="nil"/>
              <w:bottom w:val="nil"/>
              <w:right w:val="nil"/>
            </w:tcBorders>
            <w:shd w:val="clear" w:color="000000" w:fill="FFFFFF"/>
            <w:noWrap/>
            <w:vAlign w:val="bottom"/>
            <w:hideMark/>
          </w:tcPr>
          <w:p w14:paraId="2B3C1355" w14:textId="77777777" w:rsidR="00877FE2" w:rsidRPr="008664C7" w:rsidRDefault="00877FE2" w:rsidP="00A1600C">
            <w:pPr>
              <w:pStyle w:val="TableTextRight"/>
            </w:pPr>
            <w:r w:rsidRPr="008664C7">
              <w:t>496,225</w:t>
            </w:r>
          </w:p>
        </w:tc>
        <w:tc>
          <w:tcPr>
            <w:tcW w:w="739" w:type="pct"/>
            <w:tcBorders>
              <w:top w:val="nil"/>
              <w:left w:val="nil"/>
              <w:bottom w:val="nil"/>
              <w:right w:val="nil"/>
            </w:tcBorders>
            <w:shd w:val="clear" w:color="000000" w:fill="FFFFFF"/>
            <w:noWrap/>
            <w:vAlign w:val="bottom"/>
            <w:hideMark/>
          </w:tcPr>
          <w:p w14:paraId="3ABE7241" w14:textId="77777777" w:rsidR="00877FE2" w:rsidRPr="008664C7" w:rsidRDefault="00877FE2" w:rsidP="00A1600C">
            <w:pPr>
              <w:pStyle w:val="TableTextRight"/>
            </w:pPr>
            <w:r w:rsidRPr="008664C7">
              <w:t>109,780</w:t>
            </w:r>
          </w:p>
        </w:tc>
        <w:tc>
          <w:tcPr>
            <w:tcW w:w="739" w:type="pct"/>
            <w:tcBorders>
              <w:top w:val="nil"/>
              <w:left w:val="nil"/>
              <w:bottom w:val="nil"/>
              <w:right w:val="nil"/>
            </w:tcBorders>
            <w:shd w:val="clear" w:color="000000" w:fill="FFFFFF"/>
            <w:noWrap/>
            <w:vAlign w:val="bottom"/>
            <w:hideMark/>
          </w:tcPr>
          <w:p w14:paraId="3732014E" w14:textId="77777777" w:rsidR="00877FE2" w:rsidRPr="008664C7" w:rsidRDefault="00877FE2" w:rsidP="00A1600C">
            <w:pPr>
              <w:pStyle w:val="TableTextRight"/>
            </w:pPr>
            <w:r w:rsidRPr="008664C7">
              <w:t>2,379,809</w:t>
            </w:r>
          </w:p>
        </w:tc>
      </w:tr>
      <w:tr w:rsidR="00816CB0" w:rsidRPr="008664C7" w14:paraId="05AA515F" w14:textId="77777777" w:rsidTr="00E80550">
        <w:trPr>
          <w:trHeight w:val="255"/>
        </w:trPr>
        <w:tc>
          <w:tcPr>
            <w:tcW w:w="569" w:type="pct"/>
            <w:tcBorders>
              <w:top w:val="nil"/>
              <w:left w:val="nil"/>
              <w:bottom w:val="single" w:sz="4" w:space="0" w:color="auto"/>
              <w:right w:val="nil"/>
            </w:tcBorders>
            <w:shd w:val="clear" w:color="auto" w:fill="F2F2F2" w:themeFill="background1" w:themeFillShade="F2"/>
            <w:noWrap/>
            <w:vAlign w:val="bottom"/>
            <w:hideMark/>
          </w:tcPr>
          <w:p w14:paraId="1429812C" w14:textId="45855E5E" w:rsidR="00877FE2" w:rsidRPr="008664C7" w:rsidRDefault="00877FE2" w:rsidP="00A1600C">
            <w:pPr>
              <w:pStyle w:val="Tabletextcentred"/>
            </w:pPr>
            <w:r w:rsidRPr="008664C7">
              <w:t>20</w:t>
            </w:r>
            <w:r w:rsidR="007A669A">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174D4277" w14:textId="77777777" w:rsidR="00877FE2" w:rsidRPr="008664C7" w:rsidRDefault="00877FE2" w:rsidP="00A1600C">
            <w:pPr>
              <w:pStyle w:val="TableTextRight"/>
            </w:pPr>
            <w:r w:rsidRPr="008664C7">
              <w:t>92,217</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9FB7BAB" w14:textId="77777777" w:rsidR="00877FE2" w:rsidRPr="008664C7" w:rsidRDefault="00877FE2" w:rsidP="00A1600C">
            <w:pPr>
              <w:pStyle w:val="TableTextRight"/>
            </w:pPr>
            <w:r w:rsidRPr="008664C7">
              <w:t>171,722</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FC3F796" w14:textId="77777777" w:rsidR="00877FE2" w:rsidRPr="008664C7" w:rsidRDefault="00877FE2" w:rsidP="00A1600C">
            <w:pPr>
              <w:pStyle w:val="TableTextRight"/>
            </w:pPr>
            <w:r w:rsidRPr="008664C7">
              <w:t>388,964</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6BFDEC43" w14:textId="77777777" w:rsidR="00877FE2" w:rsidRPr="008664C7" w:rsidRDefault="00877FE2" w:rsidP="00A1600C">
            <w:pPr>
              <w:pStyle w:val="TableTextRight"/>
            </w:pPr>
            <w:r w:rsidRPr="008664C7">
              <w:t>512,189</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75DBE14" w14:textId="77777777" w:rsidR="00877FE2" w:rsidRPr="008664C7" w:rsidRDefault="00877FE2" w:rsidP="00A1600C">
            <w:pPr>
              <w:pStyle w:val="TableTextRight"/>
            </w:pPr>
            <w:r w:rsidRPr="008664C7">
              <w:t>118,853</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3251C2C8" w14:textId="77777777" w:rsidR="00877FE2" w:rsidRPr="008664C7" w:rsidRDefault="00877FE2" w:rsidP="00A1600C">
            <w:pPr>
              <w:pStyle w:val="TableTextRight"/>
            </w:pPr>
            <w:r w:rsidRPr="008664C7">
              <w:t>2,560,525</w:t>
            </w:r>
          </w:p>
        </w:tc>
      </w:tr>
    </w:tbl>
    <w:p w14:paraId="72004D66" w14:textId="0D0323BA" w:rsidR="00877FE2" w:rsidRPr="00763F78" w:rsidRDefault="00877FE2" w:rsidP="00E80550">
      <w:pPr>
        <w:pStyle w:val="ChartorTableNote"/>
        <w:spacing w:after="0"/>
      </w:pPr>
      <w:r w:rsidRPr="00763F78">
        <w:t>Source: BLADE.</w:t>
      </w:r>
    </w:p>
    <w:p w14:paraId="72BE9201" w14:textId="77777777" w:rsidR="00C90461" w:rsidRDefault="00C90461" w:rsidP="00C90461">
      <w:pPr>
        <w:pStyle w:val="SingleParagraph"/>
      </w:pPr>
    </w:p>
    <w:p w14:paraId="3C1C8688" w14:textId="63C1B28A" w:rsidR="0002527D" w:rsidRDefault="0002527D" w:rsidP="00F12EE0">
      <w:pPr>
        <w:pStyle w:val="TableMainHeading"/>
        <w:spacing w:before="240"/>
      </w:pPr>
      <w:r>
        <w:t>Table B2</w:t>
      </w:r>
      <w:r w:rsidRPr="00245719">
        <w:t xml:space="preserve">: </w:t>
      </w:r>
      <w:r>
        <w:t>Northern Territory</w:t>
      </w:r>
    </w:p>
    <w:tbl>
      <w:tblPr>
        <w:tblW w:w="4980" w:type="pct"/>
        <w:tblLook w:val="04A0" w:firstRow="1" w:lastRow="0" w:firstColumn="1" w:lastColumn="0" w:noHBand="0" w:noVBand="1"/>
      </w:tblPr>
      <w:tblGrid>
        <w:gridCol w:w="1076"/>
        <w:gridCol w:w="1401"/>
        <w:gridCol w:w="1401"/>
        <w:gridCol w:w="1401"/>
        <w:gridCol w:w="1401"/>
        <w:gridCol w:w="1401"/>
        <w:gridCol w:w="1395"/>
      </w:tblGrid>
      <w:tr w:rsidR="00C90461" w:rsidRPr="005C7317" w14:paraId="28D00D4E" w14:textId="77777777" w:rsidTr="00E80550">
        <w:trPr>
          <w:trHeight w:val="255"/>
        </w:trPr>
        <w:tc>
          <w:tcPr>
            <w:tcW w:w="568" w:type="pct"/>
            <w:tcBorders>
              <w:top w:val="single" w:sz="4" w:space="0" w:color="auto"/>
              <w:left w:val="nil"/>
              <w:bottom w:val="single" w:sz="4" w:space="0" w:color="auto"/>
              <w:right w:val="nil"/>
            </w:tcBorders>
            <w:shd w:val="clear" w:color="auto" w:fill="C6D9F1" w:themeFill="text2" w:themeFillTint="33"/>
            <w:noWrap/>
            <w:vAlign w:val="bottom"/>
            <w:hideMark/>
          </w:tcPr>
          <w:p w14:paraId="652A1D71" w14:textId="77777777" w:rsidR="00877FE2" w:rsidRPr="005C7317" w:rsidRDefault="00877FE2" w:rsidP="00C90461">
            <w:pPr>
              <w:pStyle w:val="TableColumnHeadingCentred"/>
            </w:pPr>
            <w:r w:rsidRPr="005C7317">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1BB854AA" w14:textId="2B04873B" w:rsidR="00877FE2" w:rsidRPr="005C7317" w:rsidRDefault="00877FE2" w:rsidP="00C90461">
            <w:pPr>
              <w:pStyle w:val="TableColumnHeadingRight"/>
            </w:pPr>
            <w:r w:rsidRPr="005C7317">
              <w:t>25</w:t>
            </w:r>
            <w:r w:rsidRPr="00C90461">
              <w:rPr>
                <w:vertAlign w:val="superscript"/>
              </w:rPr>
              <w:t>th</w:t>
            </w:r>
            <w:r w:rsidR="00C90461">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0994C4B8" w14:textId="00104B46" w:rsidR="00877FE2" w:rsidRPr="005C7317" w:rsidRDefault="00C90461" w:rsidP="00C90461">
            <w:pPr>
              <w:pStyle w:val="TableColumnHeadingRight"/>
            </w:pPr>
            <w:r>
              <w:t>M</w:t>
            </w:r>
            <w:r w:rsidR="00877FE2" w:rsidRPr="005C7317">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2B4B7AD8" w14:textId="698A6F9F" w:rsidR="00877FE2" w:rsidRPr="005C7317" w:rsidRDefault="00877FE2" w:rsidP="00C90461">
            <w:pPr>
              <w:pStyle w:val="TableColumnHeadingRight"/>
            </w:pPr>
            <w:r w:rsidRPr="005C7317">
              <w:t>75</w:t>
            </w:r>
            <w:r w:rsidRPr="00C90461">
              <w:rPr>
                <w:vertAlign w:val="superscript"/>
              </w:rPr>
              <w:t>th</w:t>
            </w:r>
            <w:r w:rsidR="00C90461">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09B48C8F" w14:textId="4E72DEEA" w:rsidR="00877FE2" w:rsidRPr="005C7317" w:rsidRDefault="00C90461" w:rsidP="00C90461">
            <w:pPr>
              <w:pStyle w:val="TableColumnHeadingRight"/>
            </w:pPr>
            <w:r>
              <w:t>M</w:t>
            </w:r>
            <w:r w:rsidR="00877FE2" w:rsidRPr="005C7317">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6E81067D" w14:textId="2308483E" w:rsidR="00877FE2" w:rsidRPr="005C7317" w:rsidRDefault="00877FE2" w:rsidP="00C90461">
            <w:pPr>
              <w:pStyle w:val="TableColumnHeadingRight"/>
            </w:pPr>
            <w:r>
              <w:t>T</w:t>
            </w:r>
            <w:r w:rsidRPr="005C7317">
              <w:t>otal no.</w:t>
            </w:r>
            <w:r w:rsidR="00C90461">
              <w:br/>
            </w:r>
            <w:r w:rsidRPr="005C7317">
              <w:t>of firms</w:t>
            </w:r>
          </w:p>
        </w:tc>
        <w:tc>
          <w:tcPr>
            <w:tcW w:w="736" w:type="pct"/>
            <w:tcBorders>
              <w:top w:val="single" w:sz="4" w:space="0" w:color="auto"/>
              <w:left w:val="nil"/>
              <w:bottom w:val="single" w:sz="4" w:space="0" w:color="auto"/>
              <w:right w:val="nil"/>
            </w:tcBorders>
            <w:shd w:val="clear" w:color="auto" w:fill="C6D9F1" w:themeFill="text2" w:themeFillTint="33"/>
            <w:noWrap/>
            <w:vAlign w:val="bottom"/>
            <w:hideMark/>
          </w:tcPr>
          <w:p w14:paraId="66E2E09E" w14:textId="27F4BB34" w:rsidR="00877FE2" w:rsidRPr="005C7317" w:rsidRDefault="00877FE2" w:rsidP="00C90461">
            <w:pPr>
              <w:pStyle w:val="TableColumnHeadingRight"/>
            </w:pPr>
            <w:r>
              <w:t>S</w:t>
            </w:r>
            <w:r w:rsidR="00C90461">
              <w:t>tandard</w:t>
            </w:r>
            <w:r w:rsidR="00C90461">
              <w:br/>
            </w:r>
            <w:r w:rsidRPr="005C7317">
              <w:t>deviation</w:t>
            </w:r>
          </w:p>
        </w:tc>
      </w:tr>
      <w:tr w:rsidR="00C90461" w:rsidRPr="005C7317" w14:paraId="2373AB16" w14:textId="77777777" w:rsidTr="00C90461">
        <w:trPr>
          <w:trHeight w:val="255"/>
        </w:trPr>
        <w:tc>
          <w:tcPr>
            <w:tcW w:w="568" w:type="pct"/>
            <w:tcBorders>
              <w:top w:val="nil"/>
              <w:left w:val="nil"/>
              <w:bottom w:val="nil"/>
              <w:right w:val="nil"/>
            </w:tcBorders>
            <w:shd w:val="clear" w:color="000000" w:fill="FFFFFF"/>
            <w:noWrap/>
            <w:vAlign w:val="bottom"/>
            <w:hideMark/>
          </w:tcPr>
          <w:p w14:paraId="509B1F22" w14:textId="72EF7B08" w:rsidR="007A669A" w:rsidRPr="005C7317" w:rsidRDefault="007A669A" w:rsidP="00A1600C">
            <w:pPr>
              <w:pStyle w:val="Tabletextcentred"/>
            </w:pPr>
            <w:r w:rsidRPr="008664C7">
              <w:t>200</w:t>
            </w:r>
            <w:r>
              <w:t>1-0</w:t>
            </w:r>
            <w:r w:rsidRPr="008664C7">
              <w:t>2</w:t>
            </w:r>
          </w:p>
        </w:tc>
        <w:tc>
          <w:tcPr>
            <w:tcW w:w="739" w:type="pct"/>
            <w:tcBorders>
              <w:top w:val="nil"/>
              <w:left w:val="nil"/>
              <w:bottom w:val="nil"/>
              <w:right w:val="nil"/>
            </w:tcBorders>
            <w:shd w:val="clear" w:color="000000" w:fill="FFFFFF"/>
            <w:noWrap/>
            <w:vAlign w:val="bottom"/>
            <w:hideMark/>
          </w:tcPr>
          <w:p w14:paraId="6A064539" w14:textId="77777777" w:rsidR="007A669A" w:rsidRPr="005C7317" w:rsidRDefault="007A669A" w:rsidP="00A1600C">
            <w:pPr>
              <w:pStyle w:val="TableTextRight"/>
            </w:pPr>
            <w:r w:rsidRPr="005C7317">
              <w:t>89,437</w:t>
            </w:r>
          </w:p>
        </w:tc>
        <w:tc>
          <w:tcPr>
            <w:tcW w:w="739" w:type="pct"/>
            <w:tcBorders>
              <w:top w:val="nil"/>
              <w:left w:val="nil"/>
              <w:bottom w:val="nil"/>
              <w:right w:val="nil"/>
            </w:tcBorders>
            <w:shd w:val="clear" w:color="000000" w:fill="FFFFFF"/>
            <w:noWrap/>
            <w:vAlign w:val="bottom"/>
            <w:hideMark/>
          </w:tcPr>
          <w:p w14:paraId="0D9A8ECD" w14:textId="77777777" w:rsidR="007A669A" w:rsidRPr="005C7317" w:rsidRDefault="007A669A" w:rsidP="00A1600C">
            <w:pPr>
              <w:pStyle w:val="TableTextRight"/>
            </w:pPr>
            <w:r w:rsidRPr="005C7317">
              <w:t>157,184</w:t>
            </w:r>
          </w:p>
        </w:tc>
        <w:tc>
          <w:tcPr>
            <w:tcW w:w="739" w:type="pct"/>
            <w:tcBorders>
              <w:top w:val="nil"/>
              <w:left w:val="nil"/>
              <w:bottom w:val="nil"/>
              <w:right w:val="nil"/>
            </w:tcBorders>
            <w:shd w:val="clear" w:color="000000" w:fill="FFFFFF"/>
            <w:noWrap/>
            <w:vAlign w:val="bottom"/>
            <w:hideMark/>
          </w:tcPr>
          <w:p w14:paraId="7D6501F2" w14:textId="77777777" w:rsidR="007A669A" w:rsidRPr="005C7317" w:rsidRDefault="007A669A" w:rsidP="00A1600C">
            <w:pPr>
              <w:pStyle w:val="TableTextRight"/>
            </w:pPr>
            <w:r w:rsidRPr="005C7317">
              <w:t>301,605</w:t>
            </w:r>
          </w:p>
        </w:tc>
        <w:tc>
          <w:tcPr>
            <w:tcW w:w="739" w:type="pct"/>
            <w:tcBorders>
              <w:top w:val="nil"/>
              <w:left w:val="nil"/>
              <w:bottom w:val="nil"/>
              <w:right w:val="nil"/>
            </w:tcBorders>
            <w:shd w:val="clear" w:color="000000" w:fill="FFFFFF"/>
            <w:noWrap/>
            <w:vAlign w:val="bottom"/>
            <w:hideMark/>
          </w:tcPr>
          <w:p w14:paraId="270898F3" w14:textId="77777777" w:rsidR="007A669A" w:rsidRPr="005C7317" w:rsidRDefault="007A669A" w:rsidP="00A1600C">
            <w:pPr>
              <w:pStyle w:val="TableTextRight"/>
            </w:pPr>
            <w:r w:rsidRPr="005C7317">
              <w:t>359,054</w:t>
            </w:r>
          </w:p>
        </w:tc>
        <w:tc>
          <w:tcPr>
            <w:tcW w:w="739" w:type="pct"/>
            <w:tcBorders>
              <w:top w:val="nil"/>
              <w:left w:val="nil"/>
              <w:bottom w:val="nil"/>
              <w:right w:val="nil"/>
            </w:tcBorders>
            <w:shd w:val="clear" w:color="000000" w:fill="FFFFFF"/>
            <w:noWrap/>
            <w:vAlign w:val="bottom"/>
            <w:hideMark/>
          </w:tcPr>
          <w:p w14:paraId="0FE07BAC" w14:textId="77777777" w:rsidR="007A669A" w:rsidRPr="005C7317" w:rsidRDefault="007A669A" w:rsidP="00A1600C">
            <w:pPr>
              <w:pStyle w:val="TableTextRight"/>
            </w:pPr>
            <w:r w:rsidRPr="005C7317">
              <w:t>1,363</w:t>
            </w:r>
          </w:p>
        </w:tc>
        <w:tc>
          <w:tcPr>
            <w:tcW w:w="736" w:type="pct"/>
            <w:tcBorders>
              <w:top w:val="nil"/>
              <w:left w:val="nil"/>
              <w:bottom w:val="nil"/>
              <w:right w:val="nil"/>
            </w:tcBorders>
            <w:shd w:val="clear" w:color="000000" w:fill="FFFFFF"/>
            <w:noWrap/>
            <w:vAlign w:val="bottom"/>
            <w:hideMark/>
          </w:tcPr>
          <w:p w14:paraId="31F51D59" w14:textId="77777777" w:rsidR="007A669A" w:rsidRPr="005C7317" w:rsidRDefault="007A669A" w:rsidP="00A1600C">
            <w:pPr>
              <w:pStyle w:val="TableTextRight"/>
            </w:pPr>
            <w:r w:rsidRPr="005C7317">
              <w:t>1,115,632</w:t>
            </w:r>
          </w:p>
        </w:tc>
      </w:tr>
      <w:tr w:rsidR="00C90461" w:rsidRPr="005C7317" w14:paraId="2E22971B"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277736F9" w14:textId="5BCA5C1B" w:rsidR="007A669A" w:rsidRPr="005C7317" w:rsidRDefault="007A669A" w:rsidP="00A1600C">
            <w:pPr>
              <w:pStyle w:val="Tabletextcentred"/>
            </w:pPr>
            <w:r w:rsidRPr="008664C7">
              <w:t>200</w:t>
            </w:r>
            <w:r>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2384A8FA" w14:textId="77777777" w:rsidR="007A669A" w:rsidRPr="005C7317" w:rsidRDefault="007A669A" w:rsidP="00A1600C">
            <w:pPr>
              <w:pStyle w:val="TableTextRight"/>
            </w:pPr>
            <w:r w:rsidRPr="005C7317">
              <w:t>91,137</w:t>
            </w:r>
          </w:p>
        </w:tc>
        <w:tc>
          <w:tcPr>
            <w:tcW w:w="739" w:type="pct"/>
            <w:tcBorders>
              <w:top w:val="nil"/>
              <w:left w:val="nil"/>
              <w:bottom w:val="nil"/>
              <w:right w:val="nil"/>
            </w:tcBorders>
            <w:shd w:val="clear" w:color="auto" w:fill="F2F2F2" w:themeFill="background1" w:themeFillShade="F2"/>
            <w:noWrap/>
            <w:vAlign w:val="bottom"/>
            <w:hideMark/>
          </w:tcPr>
          <w:p w14:paraId="33535357" w14:textId="77777777" w:rsidR="007A669A" w:rsidRPr="005C7317" w:rsidRDefault="007A669A" w:rsidP="00A1600C">
            <w:pPr>
              <w:pStyle w:val="TableTextRight"/>
            </w:pPr>
            <w:r w:rsidRPr="005C7317">
              <w:t>165,616</w:t>
            </w:r>
          </w:p>
        </w:tc>
        <w:tc>
          <w:tcPr>
            <w:tcW w:w="739" w:type="pct"/>
            <w:tcBorders>
              <w:top w:val="nil"/>
              <w:left w:val="nil"/>
              <w:bottom w:val="nil"/>
              <w:right w:val="nil"/>
            </w:tcBorders>
            <w:shd w:val="clear" w:color="auto" w:fill="F2F2F2" w:themeFill="background1" w:themeFillShade="F2"/>
            <w:noWrap/>
            <w:vAlign w:val="bottom"/>
            <w:hideMark/>
          </w:tcPr>
          <w:p w14:paraId="1EB10640" w14:textId="77777777" w:rsidR="007A669A" w:rsidRPr="005C7317" w:rsidRDefault="007A669A" w:rsidP="00A1600C">
            <w:pPr>
              <w:pStyle w:val="TableTextRight"/>
            </w:pPr>
            <w:r w:rsidRPr="005C7317">
              <w:t>318,301</w:t>
            </w:r>
          </w:p>
        </w:tc>
        <w:tc>
          <w:tcPr>
            <w:tcW w:w="739" w:type="pct"/>
            <w:tcBorders>
              <w:top w:val="nil"/>
              <w:left w:val="nil"/>
              <w:bottom w:val="nil"/>
              <w:right w:val="nil"/>
            </w:tcBorders>
            <w:shd w:val="clear" w:color="auto" w:fill="F2F2F2" w:themeFill="background1" w:themeFillShade="F2"/>
            <w:noWrap/>
            <w:vAlign w:val="bottom"/>
            <w:hideMark/>
          </w:tcPr>
          <w:p w14:paraId="08499055" w14:textId="77777777" w:rsidR="007A669A" w:rsidRPr="005C7317" w:rsidRDefault="007A669A" w:rsidP="00A1600C">
            <w:pPr>
              <w:pStyle w:val="TableTextRight"/>
            </w:pPr>
            <w:r w:rsidRPr="005C7317">
              <w:t>386,510</w:t>
            </w:r>
          </w:p>
        </w:tc>
        <w:tc>
          <w:tcPr>
            <w:tcW w:w="739" w:type="pct"/>
            <w:tcBorders>
              <w:top w:val="nil"/>
              <w:left w:val="nil"/>
              <w:bottom w:val="nil"/>
              <w:right w:val="nil"/>
            </w:tcBorders>
            <w:shd w:val="clear" w:color="auto" w:fill="F2F2F2" w:themeFill="background1" w:themeFillShade="F2"/>
            <w:noWrap/>
            <w:vAlign w:val="bottom"/>
            <w:hideMark/>
          </w:tcPr>
          <w:p w14:paraId="0932C082" w14:textId="77777777" w:rsidR="007A669A" w:rsidRPr="005C7317" w:rsidRDefault="007A669A" w:rsidP="00A1600C">
            <w:pPr>
              <w:pStyle w:val="TableTextRight"/>
            </w:pPr>
            <w:r w:rsidRPr="005C7317">
              <w:t>1,244</w:t>
            </w:r>
          </w:p>
        </w:tc>
        <w:tc>
          <w:tcPr>
            <w:tcW w:w="736" w:type="pct"/>
            <w:tcBorders>
              <w:top w:val="nil"/>
              <w:left w:val="nil"/>
              <w:bottom w:val="nil"/>
              <w:right w:val="nil"/>
            </w:tcBorders>
            <w:shd w:val="clear" w:color="auto" w:fill="F2F2F2" w:themeFill="background1" w:themeFillShade="F2"/>
            <w:noWrap/>
            <w:vAlign w:val="bottom"/>
            <w:hideMark/>
          </w:tcPr>
          <w:p w14:paraId="7B0FF478" w14:textId="77777777" w:rsidR="007A669A" w:rsidRPr="005C7317" w:rsidRDefault="007A669A" w:rsidP="00A1600C">
            <w:pPr>
              <w:pStyle w:val="TableTextRight"/>
            </w:pPr>
            <w:r w:rsidRPr="005C7317">
              <w:t>1,237,038</w:t>
            </w:r>
          </w:p>
        </w:tc>
      </w:tr>
      <w:tr w:rsidR="00C90461" w:rsidRPr="005C7317" w14:paraId="61E20D40" w14:textId="77777777" w:rsidTr="00C90461">
        <w:trPr>
          <w:trHeight w:val="255"/>
        </w:trPr>
        <w:tc>
          <w:tcPr>
            <w:tcW w:w="568" w:type="pct"/>
            <w:tcBorders>
              <w:top w:val="nil"/>
              <w:left w:val="nil"/>
              <w:bottom w:val="nil"/>
              <w:right w:val="nil"/>
            </w:tcBorders>
            <w:shd w:val="clear" w:color="000000" w:fill="FFFFFF"/>
            <w:noWrap/>
            <w:vAlign w:val="bottom"/>
            <w:hideMark/>
          </w:tcPr>
          <w:p w14:paraId="000BB5DD" w14:textId="11E952E1" w:rsidR="007A669A" w:rsidRPr="005C7317" w:rsidRDefault="007A669A" w:rsidP="00A1600C">
            <w:pPr>
              <w:pStyle w:val="Tabletextcentred"/>
            </w:pPr>
            <w:r w:rsidRPr="008664C7">
              <w:t>200</w:t>
            </w:r>
            <w:r>
              <w:t>3-0</w:t>
            </w:r>
            <w:r w:rsidRPr="008664C7">
              <w:t>4</w:t>
            </w:r>
          </w:p>
        </w:tc>
        <w:tc>
          <w:tcPr>
            <w:tcW w:w="739" w:type="pct"/>
            <w:tcBorders>
              <w:top w:val="nil"/>
              <w:left w:val="nil"/>
              <w:bottom w:val="nil"/>
              <w:right w:val="nil"/>
            </w:tcBorders>
            <w:shd w:val="clear" w:color="000000" w:fill="FFFFFF"/>
            <w:noWrap/>
            <w:vAlign w:val="bottom"/>
            <w:hideMark/>
          </w:tcPr>
          <w:p w14:paraId="5C4C8499" w14:textId="77777777" w:rsidR="007A669A" w:rsidRPr="005C7317" w:rsidRDefault="007A669A" w:rsidP="00A1600C">
            <w:pPr>
              <w:pStyle w:val="TableTextRight"/>
            </w:pPr>
            <w:r w:rsidRPr="005C7317">
              <w:t>96,101</w:t>
            </w:r>
          </w:p>
        </w:tc>
        <w:tc>
          <w:tcPr>
            <w:tcW w:w="739" w:type="pct"/>
            <w:tcBorders>
              <w:top w:val="nil"/>
              <w:left w:val="nil"/>
              <w:bottom w:val="nil"/>
              <w:right w:val="nil"/>
            </w:tcBorders>
            <w:shd w:val="clear" w:color="000000" w:fill="FFFFFF"/>
            <w:noWrap/>
            <w:vAlign w:val="bottom"/>
            <w:hideMark/>
          </w:tcPr>
          <w:p w14:paraId="7E87CCF4" w14:textId="77777777" w:rsidR="007A669A" w:rsidRPr="005C7317" w:rsidRDefault="007A669A" w:rsidP="00A1600C">
            <w:pPr>
              <w:pStyle w:val="TableTextRight"/>
            </w:pPr>
            <w:r w:rsidRPr="005C7317">
              <w:t>172,509</w:t>
            </w:r>
          </w:p>
        </w:tc>
        <w:tc>
          <w:tcPr>
            <w:tcW w:w="739" w:type="pct"/>
            <w:tcBorders>
              <w:top w:val="nil"/>
              <w:left w:val="nil"/>
              <w:bottom w:val="nil"/>
              <w:right w:val="nil"/>
            </w:tcBorders>
            <w:shd w:val="clear" w:color="000000" w:fill="FFFFFF"/>
            <w:noWrap/>
            <w:vAlign w:val="bottom"/>
            <w:hideMark/>
          </w:tcPr>
          <w:p w14:paraId="3ACE9F48" w14:textId="77777777" w:rsidR="007A669A" w:rsidRPr="005C7317" w:rsidRDefault="007A669A" w:rsidP="00A1600C">
            <w:pPr>
              <w:pStyle w:val="TableTextRight"/>
            </w:pPr>
            <w:r w:rsidRPr="005C7317">
              <w:t>359,319</w:t>
            </w:r>
          </w:p>
        </w:tc>
        <w:tc>
          <w:tcPr>
            <w:tcW w:w="739" w:type="pct"/>
            <w:tcBorders>
              <w:top w:val="nil"/>
              <w:left w:val="nil"/>
              <w:bottom w:val="nil"/>
              <w:right w:val="nil"/>
            </w:tcBorders>
            <w:shd w:val="clear" w:color="000000" w:fill="FFFFFF"/>
            <w:noWrap/>
            <w:vAlign w:val="bottom"/>
            <w:hideMark/>
          </w:tcPr>
          <w:p w14:paraId="23C1638D" w14:textId="77777777" w:rsidR="007A669A" w:rsidRPr="005C7317" w:rsidRDefault="007A669A" w:rsidP="00A1600C">
            <w:pPr>
              <w:pStyle w:val="TableTextRight"/>
            </w:pPr>
            <w:r w:rsidRPr="005C7317">
              <w:t>365,861</w:t>
            </w:r>
          </w:p>
        </w:tc>
        <w:tc>
          <w:tcPr>
            <w:tcW w:w="739" w:type="pct"/>
            <w:tcBorders>
              <w:top w:val="nil"/>
              <w:left w:val="nil"/>
              <w:bottom w:val="nil"/>
              <w:right w:val="nil"/>
            </w:tcBorders>
            <w:shd w:val="clear" w:color="000000" w:fill="FFFFFF"/>
            <w:noWrap/>
            <w:vAlign w:val="bottom"/>
            <w:hideMark/>
          </w:tcPr>
          <w:p w14:paraId="4D14DC42" w14:textId="77777777" w:rsidR="007A669A" w:rsidRPr="005C7317" w:rsidRDefault="007A669A" w:rsidP="00A1600C">
            <w:pPr>
              <w:pStyle w:val="TableTextRight"/>
            </w:pPr>
            <w:r w:rsidRPr="005C7317">
              <w:t>1,219</w:t>
            </w:r>
          </w:p>
        </w:tc>
        <w:tc>
          <w:tcPr>
            <w:tcW w:w="736" w:type="pct"/>
            <w:tcBorders>
              <w:top w:val="nil"/>
              <w:left w:val="nil"/>
              <w:bottom w:val="nil"/>
              <w:right w:val="nil"/>
            </w:tcBorders>
            <w:shd w:val="clear" w:color="000000" w:fill="FFFFFF"/>
            <w:noWrap/>
            <w:vAlign w:val="bottom"/>
            <w:hideMark/>
          </w:tcPr>
          <w:p w14:paraId="3452A71F" w14:textId="77777777" w:rsidR="007A669A" w:rsidRPr="005C7317" w:rsidRDefault="007A669A" w:rsidP="00A1600C">
            <w:pPr>
              <w:pStyle w:val="TableTextRight"/>
            </w:pPr>
            <w:r w:rsidRPr="005C7317">
              <w:t>883,953</w:t>
            </w:r>
          </w:p>
        </w:tc>
      </w:tr>
      <w:tr w:rsidR="00C90461" w:rsidRPr="005C7317" w14:paraId="762196AF"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38234AE9" w14:textId="60A038DB" w:rsidR="007A669A" w:rsidRPr="005C7317" w:rsidRDefault="007A669A" w:rsidP="00A1600C">
            <w:pPr>
              <w:pStyle w:val="Tabletextcentred"/>
            </w:pPr>
            <w:r w:rsidRPr="008664C7">
              <w:t>200</w:t>
            </w:r>
            <w:r>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3CFD8D62" w14:textId="77777777" w:rsidR="007A669A" w:rsidRPr="005C7317" w:rsidRDefault="007A669A" w:rsidP="00A1600C">
            <w:pPr>
              <w:pStyle w:val="TableTextRight"/>
            </w:pPr>
            <w:r w:rsidRPr="005C7317">
              <w:t>92,261</w:t>
            </w:r>
          </w:p>
        </w:tc>
        <w:tc>
          <w:tcPr>
            <w:tcW w:w="739" w:type="pct"/>
            <w:tcBorders>
              <w:top w:val="nil"/>
              <w:left w:val="nil"/>
              <w:bottom w:val="nil"/>
              <w:right w:val="nil"/>
            </w:tcBorders>
            <w:shd w:val="clear" w:color="auto" w:fill="F2F2F2" w:themeFill="background1" w:themeFillShade="F2"/>
            <w:noWrap/>
            <w:vAlign w:val="bottom"/>
            <w:hideMark/>
          </w:tcPr>
          <w:p w14:paraId="6625C00A" w14:textId="77777777" w:rsidR="007A669A" w:rsidRPr="005C7317" w:rsidRDefault="007A669A" w:rsidP="00A1600C">
            <w:pPr>
              <w:pStyle w:val="TableTextRight"/>
            </w:pPr>
            <w:r w:rsidRPr="005C7317">
              <w:t>173,509</w:t>
            </w:r>
          </w:p>
        </w:tc>
        <w:tc>
          <w:tcPr>
            <w:tcW w:w="739" w:type="pct"/>
            <w:tcBorders>
              <w:top w:val="nil"/>
              <w:left w:val="nil"/>
              <w:bottom w:val="nil"/>
              <w:right w:val="nil"/>
            </w:tcBorders>
            <w:shd w:val="clear" w:color="auto" w:fill="F2F2F2" w:themeFill="background1" w:themeFillShade="F2"/>
            <w:noWrap/>
            <w:vAlign w:val="bottom"/>
            <w:hideMark/>
          </w:tcPr>
          <w:p w14:paraId="51453EDC" w14:textId="77777777" w:rsidR="007A669A" w:rsidRPr="005C7317" w:rsidRDefault="007A669A" w:rsidP="00A1600C">
            <w:pPr>
              <w:pStyle w:val="TableTextRight"/>
            </w:pPr>
            <w:r w:rsidRPr="005C7317">
              <w:t>357,038</w:t>
            </w:r>
          </w:p>
        </w:tc>
        <w:tc>
          <w:tcPr>
            <w:tcW w:w="739" w:type="pct"/>
            <w:tcBorders>
              <w:top w:val="nil"/>
              <w:left w:val="nil"/>
              <w:bottom w:val="nil"/>
              <w:right w:val="nil"/>
            </w:tcBorders>
            <w:shd w:val="clear" w:color="auto" w:fill="F2F2F2" w:themeFill="background1" w:themeFillShade="F2"/>
            <w:noWrap/>
            <w:vAlign w:val="bottom"/>
            <w:hideMark/>
          </w:tcPr>
          <w:p w14:paraId="68896818" w14:textId="77777777" w:rsidR="007A669A" w:rsidRPr="005C7317" w:rsidRDefault="007A669A" w:rsidP="00A1600C">
            <w:pPr>
              <w:pStyle w:val="TableTextRight"/>
            </w:pPr>
            <w:r w:rsidRPr="005C7317">
              <w:t>364,053</w:t>
            </w:r>
          </w:p>
        </w:tc>
        <w:tc>
          <w:tcPr>
            <w:tcW w:w="739" w:type="pct"/>
            <w:tcBorders>
              <w:top w:val="nil"/>
              <w:left w:val="nil"/>
              <w:bottom w:val="nil"/>
              <w:right w:val="nil"/>
            </w:tcBorders>
            <w:shd w:val="clear" w:color="auto" w:fill="F2F2F2" w:themeFill="background1" w:themeFillShade="F2"/>
            <w:noWrap/>
            <w:vAlign w:val="bottom"/>
            <w:hideMark/>
          </w:tcPr>
          <w:p w14:paraId="7A6B4951" w14:textId="77777777" w:rsidR="007A669A" w:rsidRPr="005C7317" w:rsidRDefault="007A669A" w:rsidP="00A1600C">
            <w:pPr>
              <w:pStyle w:val="TableTextRight"/>
            </w:pPr>
            <w:r w:rsidRPr="005C7317">
              <w:t>1,605</w:t>
            </w:r>
          </w:p>
        </w:tc>
        <w:tc>
          <w:tcPr>
            <w:tcW w:w="736" w:type="pct"/>
            <w:tcBorders>
              <w:top w:val="nil"/>
              <w:left w:val="nil"/>
              <w:bottom w:val="nil"/>
              <w:right w:val="nil"/>
            </w:tcBorders>
            <w:shd w:val="clear" w:color="auto" w:fill="F2F2F2" w:themeFill="background1" w:themeFillShade="F2"/>
            <w:noWrap/>
            <w:vAlign w:val="bottom"/>
            <w:hideMark/>
          </w:tcPr>
          <w:p w14:paraId="00E89826" w14:textId="77777777" w:rsidR="007A669A" w:rsidRPr="005C7317" w:rsidRDefault="007A669A" w:rsidP="00A1600C">
            <w:pPr>
              <w:pStyle w:val="TableTextRight"/>
            </w:pPr>
            <w:r w:rsidRPr="005C7317">
              <w:t>901,698</w:t>
            </w:r>
          </w:p>
        </w:tc>
      </w:tr>
      <w:tr w:rsidR="00C90461" w:rsidRPr="005C7317" w14:paraId="1C98BFBE" w14:textId="77777777" w:rsidTr="00C90461">
        <w:trPr>
          <w:trHeight w:val="255"/>
        </w:trPr>
        <w:tc>
          <w:tcPr>
            <w:tcW w:w="568" w:type="pct"/>
            <w:tcBorders>
              <w:top w:val="nil"/>
              <w:left w:val="nil"/>
              <w:bottom w:val="nil"/>
              <w:right w:val="nil"/>
            </w:tcBorders>
            <w:shd w:val="clear" w:color="000000" w:fill="FFFFFF"/>
            <w:noWrap/>
            <w:vAlign w:val="bottom"/>
            <w:hideMark/>
          </w:tcPr>
          <w:p w14:paraId="019EB037" w14:textId="3280E2FC" w:rsidR="007A669A" w:rsidRPr="005C7317" w:rsidRDefault="007A669A" w:rsidP="00A1600C">
            <w:pPr>
              <w:pStyle w:val="Tabletextcentred"/>
            </w:pPr>
            <w:r w:rsidRPr="008664C7">
              <w:t>200</w:t>
            </w:r>
            <w:r>
              <w:t>5-0</w:t>
            </w:r>
            <w:r w:rsidRPr="008664C7">
              <w:t>6</w:t>
            </w:r>
          </w:p>
        </w:tc>
        <w:tc>
          <w:tcPr>
            <w:tcW w:w="739" w:type="pct"/>
            <w:tcBorders>
              <w:top w:val="nil"/>
              <w:left w:val="nil"/>
              <w:bottom w:val="nil"/>
              <w:right w:val="nil"/>
            </w:tcBorders>
            <w:shd w:val="clear" w:color="000000" w:fill="FFFFFF"/>
            <w:noWrap/>
            <w:vAlign w:val="bottom"/>
            <w:hideMark/>
          </w:tcPr>
          <w:p w14:paraId="3FDAD791" w14:textId="77777777" w:rsidR="007A669A" w:rsidRPr="005C7317" w:rsidRDefault="007A669A" w:rsidP="00A1600C">
            <w:pPr>
              <w:pStyle w:val="TableTextRight"/>
            </w:pPr>
            <w:r w:rsidRPr="005C7317">
              <w:t>95,826</w:t>
            </w:r>
          </w:p>
        </w:tc>
        <w:tc>
          <w:tcPr>
            <w:tcW w:w="739" w:type="pct"/>
            <w:tcBorders>
              <w:top w:val="nil"/>
              <w:left w:val="nil"/>
              <w:bottom w:val="nil"/>
              <w:right w:val="nil"/>
            </w:tcBorders>
            <w:shd w:val="clear" w:color="000000" w:fill="FFFFFF"/>
            <w:noWrap/>
            <w:vAlign w:val="bottom"/>
            <w:hideMark/>
          </w:tcPr>
          <w:p w14:paraId="498CA83F" w14:textId="77777777" w:rsidR="007A669A" w:rsidRPr="005C7317" w:rsidRDefault="007A669A" w:rsidP="00A1600C">
            <w:pPr>
              <w:pStyle w:val="TableTextRight"/>
            </w:pPr>
            <w:r w:rsidRPr="005C7317">
              <w:t>180,354</w:t>
            </w:r>
          </w:p>
        </w:tc>
        <w:tc>
          <w:tcPr>
            <w:tcW w:w="739" w:type="pct"/>
            <w:tcBorders>
              <w:top w:val="nil"/>
              <w:left w:val="nil"/>
              <w:bottom w:val="nil"/>
              <w:right w:val="nil"/>
            </w:tcBorders>
            <w:shd w:val="clear" w:color="000000" w:fill="FFFFFF"/>
            <w:noWrap/>
            <w:vAlign w:val="bottom"/>
            <w:hideMark/>
          </w:tcPr>
          <w:p w14:paraId="341F64A2" w14:textId="77777777" w:rsidR="007A669A" w:rsidRPr="005C7317" w:rsidRDefault="007A669A" w:rsidP="00A1600C">
            <w:pPr>
              <w:pStyle w:val="TableTextRight"/>
            </w:pPr>
            <w:r w:rsidRPr="005C7317">
              <w:t>390,821</w:t>
            </w:r>
          </w:p>
        </w:tc>
        <w:tc>
          <w:tcPr>
            <w:tcW w:w="739" w:type="pct"/>
            <w:tcBorders>
              <w:top w:val="nil"/>
              <w:left w:val="nil"/>
              <w:bottom w:val="nil"/>
              <w:right w:val="nil"/>
            </w:tcBorders>
            <w:shd w:val="clear" w:color="000000" w:fill="FFFFFF"/>
            <w:noWrap/>
            <w:vAlign w:val="bottom"/>
            <w:hideMark/>
          </w:tcPr>
          <w:p w14:paraId="33647C56" w14:textId="77777777" w:rsidR="007A669A" w:rsidRPr="005C7317" w:rsidRDefault="007A669A" w:rsidP="00A1600C">
            <w:pPr>
              <w:pStyle w:val="TableTextRight"/>
            </w:pPr>
            <w:r w:rsidRPr="005C7317">
              <w:t>384,812</w:t>
            </w:r>
          </w:p>
        </w:tc>
        <w:tc>
          <w:tcPr>
            <w:tcW w:w="739" w:type="pct"/>
            <w:tcBorders>
              <w:top w:val="nil"/>
              <w:left w:val="nil"/>
              <w:bottom w:val="nil"/>
              <w:right w:val="nil"/>
            </w:tcBorders>
            <w:shd w:val="clear" w:color="000000" w:fill="FFFFFF"/>
            <w:noWrap/>
            <w:vAlign w:val="bottom"/>
            <w:hideMark/>
          </w:tcPr>
          <w:p w14:paraId="3102AEC8" w14:textId="77777777" w:rsidR="007A669A" w:rsidRPr="005C7317" w:rsidRDefault="007A669A" w:rsidP="00A1600C">
            <w:pPr>
              <w:pStyle w:val="TableTextRight"/>
            </w:pPr>
            <w:r w:rsidRPr="005C7317">
              <w:t>1,764</w:t>
            </w:r>
          </w:p>
        </w:tc>
        <w:tc>
          <w:tcPr>
            <w:tcW w:w="736" w:type="pct"/>
            <w:tcBorders>
              <w:top w:val="nil"/>
              <w:left w:val="nil"/>
              <w:bottom w:val="nil"/>
              <w:right w:val="nil"/>
            </w:tcBorders>
            <w:shd w:val="clear" w:color="000000" w:fill="FFFFFF"/>
            <w:noWrap/>
            <w:vAlign w:val="bottom"/>
            <w:hideMark/>
          </w:tcPr>
          <w:p w14:paraId="4EF809B2" w14:textId="77777777" w:rsidR="007A669A" w:rsidRPr="005C7317" w:rsidRDefault="007A669A" w:rsidP="00A1600C">
            <w:pPr>
              <w:pStyle w:val="TableTextRight"/>
            </w:pPr>
            <w:r w:rsidRPr="005C7317">
              <w:t>982,692</w:t>
            </w:r>
          </w:p>
        </w:tc>
      </w:tr>
      <w:tr w:rsidR="00C90461" w:rsidRPr="005C7317" w14:paraId="43B7AA4B"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2B0099D7" w14:textId="6A5CB3B5" w:rsidR="007A669A" w:rsidRPr="005C7317" w:rsidRDefault="007A669A" w:rsidP="00A1600C">
            <w:pPr>
              <w:pStyle w:val="Tabletextcentred"/>
            </w:pPr>
            <w:r w:rsidRPr="008664C7">
              <w:t>200</w:t>
            </w:r>
            <w:r>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511AA153" w14:textId="77777777" w:rsidR="007A669A" w:rsidRPr="005C7317" w:rsidRDefault="007A669A" w:rsidP="00A1600C">
            <w:pPr>
              <w:pStyle w:val="TableTextRight"/>
            </w:pPr>
            <w:r w:rsidRPr="005C7317">
              <w:t>100,337</w:t>
            </w:r>
          </w:p>
        </w:tc>
        <w:tc>
          <w:tcPr>
            <w:tcW w:w="739" w:type="pct"/>
            <w:tcBorders>
              <w:top w:val="nil"/>
              <w:left w:val="nil"/>
              <w:bottom w:val="nil"/>
              <w:right w:val="nil"/>
            </w:tcBorders>
            <w:shd w:val="clear" w:color="auto" w:fill="F2F2F2" w:themeFill="background1" w:themeFillShade="F2"/>
            <w:noWrap/>
            <w:vAlign w:val="bottom"/>
            <w:hideMark/>
          </w:tcPr>
          <w:p w14:paraId="05ABCD4A" w14:textId="77777777" w:rsidR="007A669A" w:rsidRPr="005C7317" w:rsidRDefault="007A669A" w:rsidP="00A1600C">
            <w:pPr>
              <w:pStyle w:val="TableTextRight"/>
            </w:pPr>
            <w:r w:rsidRPr="005C7317">
              <w:t>191,173</w:t>
            </w:r>
          </w:p>
        </w:tc>
        <w:tc>
          <w:tcPr>
            <w:tcW w:w="739" w:type="pct"/>
            <w:tcBorders>
              <w:top w:val="nil"/>
              <w:left w:val="nil"/>
              <w:bottom w:val="nil"/>
              <w:right w:val="nil"/>
            </w:tcBorders>
            <w:shd w:val="clear" w:color="auto" w:fill="F2F2F2" w:themeFill="background1" w:themeFillShade="F2"/>
            <w:noWrap/>
            <w:vAlign w:val="bottom"/>
            <w:hideMark/>
          </w:tcPr>
          <w:p w14:paraId="2AEF4515" w14:textId="77777777" w:rsidR="007A669A" w:rsidRPr="005C7317" w:rsidRDefault="007A669A" w:rsidP="00A1600C">
            <w:pPr>
              <w:pStyle w:val="TableTextRight"/>
            </w:pPr>
            <w:r w:rsidRPr="005C7317">
              <w:t>424,843</w:t>
            </w:r>
          </w:p>
        </w:tc>
        <w:tc>
          <w:tcPr>
            <w:tcW w:w="739" w:type="pct"/>
            <w:tcBorders>
              <w:top w:val="nil"/>
              <w:left w:val="nil"/>
              <w:bottom w:val="nil"/>
              <w:right w:val="nil"/>
            </w:tcBorders>
            <w:shd w:val="clear" w:color="auto" w:fill="F2F2F2" w:themeFill="background1" w:themeFillShade="F2"/>
            <w:noWrap/>
            <w:vAlign w:val="bottom"/>
            <w:hideMark/>
          </w:tcPr>
          <w:p w14:paraId="383A0F1F" w14:textId="77777777" w:rsidR="007A669A" w:rsidRPr="005C7317" w:rsidRDefault="007A669A" w:rsidP="00A1600C">
            <w:pPr>
              <w:pStyle w:val="TableTextRight"/>
            </w:pPr>
            <w:r w:rsidRPr="005C7317">
              <w:t>434,854</w:t>
            </w:r>
          </w:p>
        </w:tc>
        <w:tc>
          <w:tcPr>
            <w:tcW w:w="739" w:type="pct"/>
            <w:tcBorders>
              <w:top w:val="nil"/>
              <w:left w:val="nil"/>
              <w:bottom w:val="nil"/>
              <w:right w:val="nil"/>
            </w:tcBorders>
            <w:shd w:val="clear" w:color="auto" w:fill="F2F2F2" w:themeFill="background1" w:themeFillShade="F2"/>
            <w:noWrap/>
            <w:vAlign w:val="bottom"/>
            <w:hideMark/>
          </w:tcPr>
          <w:p w14:paraId="2662DF98" w14:textId="77777777" w:rsidR="007A669A" w:rsidRPr="005C7317" w:rsidRDefault="007A669A" w:rsidP="00A1600C">
            <w:pPr>
              <w:pStyle w:val="TableTextRight"/>
            </w:pPr>
            <w:r w:rsidRPr="005C7317">
              <w:t>1,796</w:t>
            </w:r>
          </w:p>
        </w:tc>
        <w:tc>
          <w:tcPr>
            <w:tcW w:w="736" w:type="pct"/>
            <w:tcBorders>
              <w:top w:val="nil"/>
              <w:left w:val="nil"/>
              <w:bottom w:val="nil"/>
              <w:right w:val="nil"/>
            </w:tcBorders>
            <w:shd w:val="clear" w:color="auto" w:fill="F2F2F2" w:themeFill="background1" w:themeFillShade="F2"/>
            <w:noWrap/>
            <w:vAlign w:val="bottom"/>
            <w:hideMark/>
          </w:tcPr>
          <w:p w14:paraId="3A28A110" w14:textId="77777777" w:rsidR="007A669A" w:rsidRPr="005C7317" w:rsidRDefault="007A669A" w:rsidP="00A1600C">
            <w:pPr>
              <w:pStyle w:val="TableTextRight"/>
            </w:pPr>
            <w:r w:rsidRPr="005C7317">
              <w:t>1,388,193</w:t>
            </w:r>
          </w:p>
        </w:tc>
      </w:tr>
      <w:tr w:rsidR="00C90461" w:rsidRPr="005C7317" w14:paraId="09EC64FD" w14:textId="77777777" w:rsidTr="00C90461">
        <w:trPr>
          <w:trHeight w:val="255"/>
        </w:trPr>
        <w:tc>
          <w:tcPr>
            <w:tcW w:w="568" w:type="pct"/>
            <w:tcBorders>
              <w:top w:val="nil"/>
              <w:left w:val="nil"/>
              <w:bottom w:val="nil"/>
              <w:right w:val="nil"/>
            </w:tcBorders>
            <w:shd w:val="clear" w:color="000000" w:fill="FFFFFF"/>
            <w:noWrap/>
            <w:vAlign w:val="bottom"/>
            <w:hideMark/>
          </w:tcPr>
          <w:p w14:paraId="780CE406" w14:textId="6885CDC4" w:rsidR="007A669A" w:rsidRPr="005C7317" w:rsidRDefault="007A669A" w:rsidP="00A1600C">
            <w:pPr>
              <w:pStyle w:val="Tabletextcentred"/>
            </w:pPr>
            <w:r w:rsidRPr="008664C7">
              <w:t>200</w:t>
            </w:r>
            <w:r>
              <w:t>7-0</w:t>
            </w:r>
            <w:r w:rsidRPr="008664C7">
              <w:t>8</w:t>
            </w:r>
          </w:p>
        </w:tc>
        <w:tc>
          <w:tcPr>
            <w:tcW w:w="739" w:type="pct"/>
            <w:tcBorders>
              <w:top w:val="nil"/>
              <w:left w:val="nil"/>
              <w:bottom w:val="nil"/>
              <w:right w:val="nil"/>
            </w:tcBorders>
            <w:shd w:val="clear" w:color="000000" w:fill="FFFFFF"/>
            <w:noWrap/>
            <w:vAlign w:val="bottom"/>
            <w:hideMark/>
          </w:tcPr>
          <w:p w14:paraId="21949FC9" w14:textId="77777777" w:rsidR="007A669A" w:rsidRPr="005C7317" w:rsidRDefault="007A669A" w:rsidP="00A1600C">
            <w:pPr>
              <w:pStyle w:val="TableTextRight"/>
            </w:pPr>
            <w:r w:rsidRPr="005C7317">
              <w:t>102,407</w:t>
            </w:r>
          </w:p>
        </w:tc>
        <w:tc>
          <w:tcPr>
            <w:tcW w:w="739" w:type="pct"/>
            <w:tcBorders>
              <w:top w:val="nil"/>
              <w:left w:val="nil"/>
              <w:bottom w:val="nil"/>
              <w:right w:val="nil"/>
            </w:tcBorders>
            <w:shd w:val="clear" w:color="000000" w:fill="FFFFFF"/>
            <w:noWrap/>
            <w:vAlign w:val="bottom"/>
            <w:hideMark/>
          </w:tcPr>
          <w:p w14:paraId="5DC2A12F" w14:textId="77777777" w:rsidR="007A669A" w:rsidRPr="005C7317" w:rsidRDefault="007A669A" w:rsidP="00A1600C">
            <w:pPr>
              <w:pStyle w:val="TableTextRight"/>
            </w:pPr>
            <w:r w:rsidRPr="005C7317">
              <w:t>203,856</w:t>
            </w:r>
          </w:p>
        </w:tc>
        <w:tc>
          <w:tcPr>
            <w:tcW w:w="739" w:type="pct"/>
            <w:tcBorders>
              <w:top w:val="nil"/>
              <w:left w:val="nil"/>
              <w:bottom w:val="nil"/>
              <w:right w:val="nil"/>
            </w:tcBorders>
            <w:shd w:val="clear" w:color="000000" w:fill="FFFFFF"/>
            <w:noWrap/>
            <w:vAlign w:val="bottom"/>
            <w:hideMark/>
          </w:tcPr>
          <w:p w14:paraId="0EAE66A3" w14:textId="77777777" w:rsidR="007A669A" w:rsidRPr="005C7317" w:rsidRDefault="007A669A" w:rsidP="00A1600C">
            <w:pPr>
              <w:pStyle w:val="TableTextRight"/>
            </w:pPr>
            <w:r w:rsidRPr="005C7317">
              <w:t>444,100</w:t>
            </w:r>
          </w:p>
        </w:tc>
        <w:tc>
          <w:tcPr>
            <w:tcW w:w="739" w:type="pct"/>
            <w:tcBorders>
              <w:top w:val="nil"/>
              <w:left w:val="nil"/>
              <w:bottom w:val="nil"/>
              <w:right w:val="nil"/>
            </w:tcBorders>
            <w:shd w:val="clear" w:color="000000" w:fill="FFFFFF"/>
            <w:noWrap/>
            <w:vAlign w:val="bottom"/>
            <w:hideMark/>
          </w:tcPr>
          <w:p w14:paraId="53A43788" w14:textId="77777777" w:rsidR="007A669A" w:rsidRPr="005C7317" w:rsidRDefault="007A669A" w:rsidP="00A1600C">
            <w:pPr>
              <w:pStyle w:val="TableTextRight"/>
            </w:pPr>
            <w:r w:rsidRPr="005C7317">
              <w:t>506,033</w:t>
            </w:r>
          </w:p>
        </w:tc>
        <w:tc>
          <w:tcPr>
            <w:tcW w:w="739" w:type="pct"/>
            <w:tcBorders>
              <w:top w:val="nil"/>
              <w:left w:val="nil"/>
              <w:bottom w:val="nil"/>
              <w:right w:val="nil"/>
            </w:tcBorders>
            <w:shd w:val="clear" w:color="000000" w:fill="FFFFFF"/>
            <w:noWrap/>
            <w:vAlign w:val="bottom"/>
            <w:hideMark/>
          </w:tcPr>
          <w:p w14:paraId="5DF33EB6" w14:textId="77777777" w:rsidR="007A669A" w:rsidRPr="005C7317" w:rsidRDefault="007A669A" w:rsidP="00A1600C">
            <w:pPr>
              <w:pStyle w:val="TableTextRight"/>
            </w:pPr>
            <w:r w:rsidRPr="005C7317">
              <w:t>1,528</w:t>
            </w:r>
          </w:p>
        </w:tc>
        <w:tc>
          <w:tcPr>
            <w:tcW w:w="736" w:type="pct"/>
            <w:tcBorders>
              <w:top w:val="nil"/>
              <w:left w:val="nil"/>
              <w:bottom w:val="nil"/>
              <w:right w:val="nil"/>
            </w:tcBorders>
            <w:shd w:val="clear" w:color="000000" w:fill="FFFFFF"/>
            <w:noWrap/>
            <w:vAlign w:val="bottom"/>
            <w:hideMark/>
          </w:tcPr>
          <w:p w14:paraId="57B9B1F2" w14:textId="77777777" w:rsidR="007A669A" w:rsidRPr="005C7317" w:rsidRDefault="007A669A" w:rsidP="00A1600C">
            <w:pPr>
              <w:pStyle w:val="TableTextRight"/>
            </w:pPr>
            <w:r w:rsidRPr="005C7317">
              <w:t>1,665,492</w:t>
            </w:r>
          </w:p>
        </w:tc>
      </w:tr>
      <w:tr w:rsidR="00C90461" w:rsidRPr="005C7317" w14:paraId="5498589C"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4CEAE9BE" w14:textId="0E91FB79" w:rsidR="007A669A" w:rsidRPr="005C7317" w:rsidRDefault="007A669A" w:rsidP="00A1600C">
            <w:pPr>
              <w:pStyle w:val="Tabletextcentred"/>
            </w:pPr>
            <w:r w:rsidRPr="008664C7">
              <w:t>200</w:t>
            </w:r>
            <w:r>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6B1601D3" w14:textId="77777777" w:rsidR="007A669A" w:rsidRPr="005C7317" w:rsidRDefault="007A669A" w:rsidP="00A1600C">
            <w:pPr>
              <w:pStyle w:val="TableTextRight"/>
            </w:pPr>
            <w:r w:rsidRPr="005C7317">
              <w:t>114,677</w:t>
            </w:r>
          </w:p>
        </w:tc>
        <w:tc>
          <w:tcPr>
            <w:tcW w:w="739" w:type="pct"/>
            <w:tcBorders>
              <w:top w:val="nil"/>
              <w:left w:val="nil"/>
              <w:bottom w:val="nil"/>
              <w:right w:val="nil"/>
            </w:tcBorders>
            <w:shd w:val="clear" w:color="auto" w:fill="F2F2F2" w:themeFill="background1" w:themeFillShade="F2"/>
            <w:noWrap/>
            <w:vAlign w:val="bottom"/>
            <w:hideMark/>
          </w:tcPr>
          <w:p w14:paraId="4650F9C2" w14:textId="77777777" w:rsidR="007A669A" w:rsidRPr="005C7317" w:rsidRDefault="007A669A" w:rsidP="00A1600C">
            <w:pPr>
              <w:pStyle w:val="TableTextRight"/>
            </w:pPr>
            <w:r w:rsidRPr="005C7317">
              <w:t>226,131</w:t>
            </w:r>
          </w:p>
        </w:tc>
        <w:tc>
          <w:tcPr>
            <w:tcW w:w="739" w:type="pct"/>
            <w:tcBorders>
              <w:top w:val="nil"/>
              <w:left w:val="nil"/>
              <w:bottom w:val="nil"/>
              <w:right w:val="nil"/>
            </w:tcBorders>
            <w:shd w:val="clear" w:color="auto" w:fill="F2F2F2" w:themeFill="background1" w:themeFillShade="F2"/>
            <w:noWrap/>
            <w:vAlign w:val="bottom"/>
            <w:hideMark/>
          </w:tcPr>
          <w:p w14:paraId="2B8A55EE" w14:textId="77777777" w:rsidR="007A669A" w:rsidRPr="005C7317" w:rsidRDefault="007A669A" w:rsidP="00A1600C">
            <w:pPr>
              <w:pStyle w:val="TableTextRight"/>
            </w:pPr>
            <w:r w:rsidRPr="005C7317">
              <w:t>478,953</w:t>
            </w:r>
          </w:p>
        </w:tc>
        <w:tc>
          <w:tcPr>
            <w:tcW w:w="739" w:type="pct"/>
            <w:tcBorders>
              <w:top w:val="nil"/>
              <w:left w:val="nil"/>
              <w:bottom w:val="nil"/>
              <w:right w:val="nil"/>
            </w:tcBorders>
            <w:shd w:val="clear" w:color="auto" w:fill="F2F2F2" w:themeFill="background1" w:themeFillShade="F2"/>
            <w:noWrap/>
            <w:vAlign w:val="bottom"/>
            <w:hideMark/>
          </w:tcPr>
          <w:p w14:paraId="750F45C1" w14:textId="77777777" w:rsidR="007A669A" w:rsidRPr="005C7317" w:rsidRDefault="007A669A" w:rsidP="00A1600C">
            <w:pPr>
              <w:pStyle w:val="TableTextRight"/>
            </w:pPr>
            <w:r w:rsidRPr="005C7317">
              <w:t>498,556</w:t>
            </w:r>
          </w:p>
        </w:tc>
        <w:tc>
          <w:tcPr>
            <w:tcW w:w="739" w:type="pct"/>
            <w:tcBorders>
              <w:top w:val="nil"/>
              <w:left w:val="nil"/>
              <w:bottom w:val="nil"/>
              <w:right w:val="nil"/>
            </w:tcBorders>
            <w:shd w:val="clear" w:color="auto" w:fill="F2F2F2" w:themeFill="background1" w:themeFillShade="F2"/>
            <w:noWrap/>
            <w:vAlign w:val="bottom"/>
            <w:hideMark/>
          </w:tcPr>
          <w:p w14:paraId="65F3E317" w14:textId="77777777" w:rsidR="007A669A" w:rsidRPr="005C7317" w:rsidRDefault="007A669A" w:rsidP="00A1600C">
            <w:pPr>
              <w:pStyle w:val="TableTextRight"/>
            </w:pPr>
            <w:r w:rsidRPr="005C7317">
              <w:t>1,809</w:t>
            </w:r>
          </w:p>
        </w:tc>
        <w:tc>
          <w:tcPr>
            <w:tcW w:w="736" w:type="pct"/>
            <w:tcBorders>
              <w:top w:val="nil"/>
              <w:left w:val="nil"/>
              <w:bottom w:val="nil"/>
              <w:right w:val="nil"/>
            </w:tcBorders>
            <w:shd w:val="clear" w:color="auto" w:fill="F2F2F2" w:themeFill="background1" w:themeFillShade="F2"/>
            <w:noWrap/>
            <w:vAlign w:val="bottom"/>
            <w:hideMark/>
          </w:tcPr>
          <w:p w14:paraId="585BCB6F" w14:textId="77777777" w:rsidR="007A669A" w:rsidRPr="005C7317" w:rsidRDefault="007A669A" w:rsidP="00A1600C">
            <w:pPr>
              <w:pStyle w:val="TableTextRight"/>
            </w:pPr>
            <w:r w:rsidRPr="005C7317">
              <w:t>1,602,031</w:t>
            </w:r>
          </w:p>
        </w:tc>
      </w:tr>
      <w:tr w:rsidR="00C90461" w:rsidRPr="005C7317" w14:paraId="21EA3063" w14:textId="77777777" w:rsidTr="00C90461">
        <w:trPr>
          <w:trHeight w:val="255"/>
        </w:trPr>
        <w:tc>
          <w:tcPr>
            <w:tcW w:w="568" w:type="pct"/>
            <w:tcBorders>
              <w:top w:val="nil"/>
              <w:left w:val="nil"/>
              <w:bottom w:val="nil"/>
              <w:right w:val="nil"/>
            </w:tcBorders>
            <w:shd w:val="clear" w:color="000000" w:fill="FFFFFF"/>
            <w:noWrap/>
            <w:vAlign w:val="bottom"/>
            <w:hideMark/>
          </w:tcPr>
          <w:p w14:paraId="738C391A" w14:textId="07E9C4D3" w:rsidR="007A669A" w:rsidRPr="005C7317" w:rsidRDefault="007A669A" w:rsidP="00A1600C">
            <w:pPr>
              <w:pStyle w:val="Tabletextcentred"/>
            </w:pPr>
            <w:r w:rsidRPr="008664C7">
              <w:t>20</w:t>
            </w:r>
            <w:r>
              <w:t>09-</w:t>
            </w:r>
            <w:r w:rsidRPr="008664C7">
              <w:t>10</w:t>
            </w:r>
          </w:p>
        </w:tc>
        <w:tc>
          <w:tcPr>
            <w:tcW w:w="739" w:type="pct"/>
            <w:tcBorders>
              <w:top w:val="nil"/>
              <w:left w:val="nil"/>
              <w:bottom w:val="nil"/>
              <w:right w:val="nil"/>
            </w:tcBorders>
            <w:shd w:val="clear" w:color="000000" w:fill="FFFFFF"/>
            <w:noWrap/>
            <w:vAlign w:val="bottom"/>
            <w:hideMark/>
          </w:tcPr>
          <w:p w14:paraId="657791E1" w14:textId="77777777" w:rsidR="007A669A" w:rsidRPr="005C7317" w:rsidRDefault="007A669A" w:rsidP="00A1600C">
            <w:pPr>
              <w:pStyle w:val="TableTextRight"/>
            </w:pPr>
            <w:r w:rsidRPr="005C7317">
              <w:t>110,000</w:t>
            </w:r>
          </w:p>
        </w:tc>
        <w:tc>
          <w:tcPr>
            <w:tcW w:w="739" w:type="pct"/>
            <w:tcBorders>
              <w:top w:val="nil"/>
              <w:left w:val="nil"/>
              <w:bottom w:val="nil"/>
              <w:right w:val="nil"/>
            </w:tcBorders>
            <w:shd w:val="clear" w:color="000000" w:fill="FFFFFF"/>
            <w:noWrap/>
            <w:vAlign w:val="bottom"/>
            <w:hideMark/>
          </w:tcPr>
          <w:p w14:paraId="3724531C" w14:textId="77777777" w:rsidR="007A669A" w:rsidRPr="005C7317" w:rsidRDefault="007A669A" w:rsidP="00A1600C">
            <w:pPr>
              <w:pStyle w:val="TableTextRight"/>
            </w:pPr>
            <w:r w:rsidRPr="005C7317">
              <w:t>220,269</w:t>
            </w:r>
          </w:p>
        </w:tc>
        <w:tc>
          <w:tcPr>
            <w:tcW w:w="739" w:type="pct"/>
            <w:tcBorders>
              <w:top w:val="nil"/>
              <w:left w:val="nil"/>
              <w:bottom w:val="nil"/>
              <w:right w:val="nil"/>
            </w:tcBorders>
            <w:shd w:val="clear" w:color="000000" w:fill="FFFFFF"/>
            <w:noWrap/>
            <w:vAlign w:val="bottom"/>
            <w:hideMark/>
          </w:tcPr>
          <w:p w14:paraId="07952202" w14:textId="77777777" w:rsidR="007A669A" w:rsidRPr="005C7317" w:rsidRDefault="007A669A" w:rsidP="00A1600C">
            <w:pPr>
              <w:pStyle w:val="TableTextRight"/>
            </w:pPr>
            <w:r w:rsidRPr="005C7317">
              <w:t>463,821</w:t>
            </w:r>
          </w:p>
        </w:tc>
        <w:tc>
          <w:tcPr>
            <w:tcW w:w="739" w:type="pct"/>
            <w:tcBorders>
              <w:top w:val="nil"/>
              <w:left w:val="nil"/>
              <w:bottom w:val="nil"/>
              <w:right w:val="nil"/>
            </w:tcBorders>
            <w:shd w:val="clear" w:color="000000" w:fill="FFFFFF"/>
            <w:noWrap/>
            <w:vAlign w:val="bottom"/>
            <w:hideMark/>
          </w:tcPr>
          <w:p w14:paraId="7F46491D" w14:textId="77777777" w:rsidR="007A669A" w:rsidRPr="005C7317" w:rsidRDefault="007A669A" w:rsidP="00A1600C">
            <w:pPr>
              <w:pStyle w:val="TableTextRight"/>
            </w:pPr>
            <w:r w:rsidRPr="005C7317">
              <w:t>657,357</w:t>
            </w:r>
          </w:p>
        </w:tc>
        <w:tc>
          <w:tcPr>
            <w:tcW w:w="739" w:type="pct"/>
            <w:tcBorders>
              <w:top w:val="nil"/>
              <w:left w:val="nil"/>
              <w:bottom w:val="nil"/>
              <w:right w:val="nil"/>
            </w:tcBorders>
            <w:shd w:val="clear" w:color="000000" w:fill="FFFFFF"/>
            <w:noWrap/>
            <w:vAlign w:val="bottom"/>
            <w:hideMark/>
          </w:tcPr>
          <w:p w14:paraId="466FEC0C" w14:textId="77777777" w:rsidR="007A669A" w:rsidRPr="005C7317" w:rsidRDefault="007A669A" w:rsidP="00A1600C">
            <w:pPr>
              <w:pStyle w:val="TableTextRight"/>
            </w:pPr>
            <w:r w:rsidRPr="005C7317">
              <w:t>1,995</w:t>
            </w:r>
          </w:p>
        </w:tc>
        <w:tc>
          <w:tcPr>
            <w:tcW w:w="736" w:type="pct"/>
            <w:tcBorders>
              <w:top w:val="nil"/>
              <w:left w:val="nil"/>
              <w:bottom w:val="nil"/>
              <w:right w:val="nil"/>
            </w:tcBorders>
            <w:shd w:val="clear" w:color="000000" w:fill="FFFFFF"/>
            <w:noWrap/>
            <w:vAlign w:val="bottom"/>
            <w:hideMark/>
          </w:tcPr>
          <w:p w14:paraId="4EBF74A1" w14:textId="77777777" w:rsidR="007A669A" w:rsidRPr="005C7317" w:rsidRDefault="007A669A" w:rsidP="00A1600C">
            <w:pPr>
              <w:pStyle w:val="TableTextRight"/>
            </w:pPr>
            <w:r w:rsidRPr="005C7317">
              <w:t>7,354,275</w:t>
            </w:r>
          </w:p>
        </w:tc>
      </w:tr>
      <w:tr w:rsidR="00C90461" w:rsidRPr="005C7317" w14:paraId="72870C87"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304F0F05" w14:textId="154340EC" w:rsidR="007A669A" w:rsidRPr="005C7317" w:rsidRDefault="007A669A" w:rsidP="00A1600C">
            <w:pPr>
              <w:pStyle w:val="Tabletextcentred"/>
            </w:pPr>
            <w:r w:rsidRPr="008664C7">
              <w:t>20</w:t>
            </w:r>
            <w:r>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6400107A" w14:textId="77777777" w:rsidR="007A669A" w:rsidRPr="005C7317" w:rsidRDefault="007A669A" w:rsidP="00A1600C">
            <w:pPr>
              <w:pStyle w:val="TableTextRight"/>
            </w:pPr>
            <w:r w:rsidRPr="005C7317">
              <w:t>109,974</w:t>
            </w:r>
          </w:p>
        </w:tc>
        <w:tc>
          <w:tcPr>
            <w:tcW w:w="739" w:type="pct"/>
            <w:tcBorders>
              <w:top w:val="nil"/>
              <w:left w:val="nil"/>
              <w:bottom w:val="nil"/>
              <w:right w:val="nil"/>
            </w:tcBorders>
            <w:shd w:val="clear" w:color="auto" w:fill="F2F2F2" w:themeFill="background1" w:themeFillShade="F2"/>
            <w:noWrap/>
            <w:vAlign w:val="bottom"/>
            <w:hideMark/>
          </w:tcPr>
          <w:p w14:paraId="7184F41B" w14:textId="77777777" w:rsidR="007A669A" w:rsidRPr="005C7317" w:rsidRDefault="007A669A" w:rsidP="00A1600C">
            <w:pPr>
              <w:pStyle w:val="TableTextRight"/>
            </w:pPr>
            <w:r w:rsidRPr="005C7317">
              <w:t>221,514</w:t>
            </w:r>
          </w:p>
        </w:tc>
        <w:tc>
          <w:tcPr>
            <w:tcW w:w="739" w:type="pct"/>
            <w:tcBorders>
              <w:top w:val="nil"/>
              <w:left w:val="nil"/>
              <w:bottom w:val="nil"/>
              <w:right w:val="nil"/>
            </w:tcBorders>
            <w:shd w:val="clear" w:color="auto" w:fill="F2F2F2" w:themeFill="background1" w:themeFillShade="F2"/>
            <w:noWrap/>
            <w:vAlign w:val="bottom"/>
            <w:hideMark/>
          </w:tcPr>
          <w:p w14:paraId="14959D35" w14:textId="77777777" w:rsidR="007A669A" w:rsidRPr="005C7317" w:rsidRDefault="007A669A" w:rsidP="00A1600C">
            <w:pPr>
              <w:pStyle w:val="TableTextRight"/>
            </w:pPr>
            <w:r w:rsidRPr="005C7317">
              <w:t>490,617</w:t>
            </w:r>
          </w:p>
        </w:tc>
        <w:tc>
          <w:tcPr>
            <w:tcW w:w="739" w:type="pct"/>
            <w:tcBorders>
              <w:top w:val="nil"/>
              <w:left w:val="nil"/>
              <w:bottom w:val="nil"/>
              <w:right w:val="nil"/>
            </w:tcBorders>
            <w:shd w:val="clear" w:color="auto" w:fill="F2F2F2" w:themeFill="background1" w:themeFillShade="F2"/>
            <w:noWrap/>
            <w:vAlign w:val="bottom"/>
            <w:hideMark/>
          </w:tcPr>
          <w:p w14:paraId="4ABCB539" w14:textId="77777777" w:rsidR="007A669A" w:rsidRPr="005C7317" w:rsidRDefault="007A669A" w:rsidP="00A1600C">
            <w:pPr>
              <w:pStyle w:val="TableTextRight"/>
            </w:pPr>
            <w:r w:rsidRPr="005C7317">
              <w:t>527,762</w:t>
            </w:r>
          </w:p>
        </w:tc>
        <w:tc>
          <w:tcPr>
            <w:tcW w:w="739" w:type="pct"/>
            <w:tcBorders>
              <w:top w:val="nil"/>
              <w:left w:val="nil"/>
              <w:bottom w:val="nil"/>
              <w:right w:val="nil"/>
            </w:tcBorders>
            <w:shd w:val="clear" w:color="auto" w:fill="F2F2F2" w:themeFill="background1" w:themeFillShade="F2"/>
            <w:noWrap/>
            <w:vAlign w:val="bottom"/>
            <w:hideMark/>
          </w:tcPr>
          <w:p w14:paraId="448123AC" w14:textId="77777777" w:rsidR="007A669A" w:rsidRPr="005C7317" w:rsidRDefault="007A669A" w:rsidP="00A1600C">
            <w:pPr>
              <w:pStyle w:val="TableTextRight"/>
            </w:pPr>
            <w:r w:rsidRPr="005C7317">
              <w:t>2,019</w:t>
            </w:r>
          </w:p>
        </w:tc>
        <w:tc>
          <w:tcPr>
            <w:tcW w:w="736" w:type="pct"/>
            <w:tcBorders>
              <w:top w:val="nil"/>
              <w:left w:val="nil"/>
              <w:bottom w:val="nil"/>
              <w:right w:val="nil"/>
            </w:tcBorders>
            <w:shd w:val="clear" w:color="auto" w:fill="F2F2F2" w:themeFill="background1" w:themeFillShade="F2"/>
            <w:noWrap/>
            <w:vAlign w:val="bottom"/>
            <w:hideMark/>
          </w:tcPr>
          <w:p w14:paraId="294260C4" w14:textId="77777777" w:rsidR="007A669A" w:rsidRPr="005C7317" w:rsidRDefault="007A669A" w:rsidP="00A1600C">
            <w:pPr>
              <w:pStyle w:val="TableTextRight"/>
            </w:pPr>
            <w:r w:rsidRPr="005C7317">
              <w:t>2,040,078</w:t>
            </w:r>
          </w:p>
        </w:tc>
      </w:tr>
      <w:tr w:rsidR="00C90461" w:rsidRPr="005C7317" w14:paraId="1270A443" w14:textId="77777777" w:rsidTr="00C90461">
        <w:trPr>
          <w:trHeight w:val="255"/>
        </w:trPr>
        <w:tc>
          <w:tcPr>
            <w:tcW w:w="568" w:type="pct"/>
            <w:tcBorders>
              <w:top w:val="nil"/>
              <w:left w:val="nil"/>
              <w:bottom w:val="nil"/>
              <w:right w:val="nil"/>
            </w:tcBorders>
            <w:shd w:val="clear" w:color="000000" w:fill="FFFFFF"/>
            <w:noWrap/>
            <w:vAlign w:val="bottom"/>
            <w:hideMark/>
          </w:tcPr>
          <w:p w14:paraId="41F88244" w14:textId="39EFAA52" w:rsidR="007A669A" w:rsidRPr="005C7317" w:rsidRDefault="007A669A" w:rsidP="00A1600C">
            <w:pPr>
              <w:pStyle w:val="Tabletextcentred"/>
            </w:pPr>
            <w:r w:rsidRPr="008664C7">
              <w:t>20</w:t>
            </w:r>
            <w:r>
              <w:t>11-</w:t>
            </w:r>
            <w:r w:rsidRPr="008664C7">
              <w:t>12</w:t>
            </w:r>
          </w:p>
        </w:tc>
        <w:tc>
          <w:tcPr>
            <w:tcW w:w="739" w:type="pct"/>
            <w:tcBorders>
              <w:top w:val="nil"/>
              <w:left w:val="nil"/>
              <w:bottom w:val="nil"/>
              <w:right w:val="nil"/>
            </w:tcBorders>
            <w:shd w:val="clear" w:color="000000" w:fill="FFFFFF"/>
            <w:noWrap/>
            <w:vAlign w:val="bottom"/>
            <w:hideMark/>
          </w:tcPr>
          <w:p w14:paraId="75AA41D7" w14:textId="77777777" w:rsidR="007A669A" w:rsidRPr="005C7317" w:rsidRDefault="007A669A" w:rsidP="00A1600C">
            <w:pPr>
              <w:pStyle w:val="TableTextRight"/>
            </w:pPr>
            <w:r w:rsidRPr="005C7317">
              <w:t>111,234</w:t>
            </w:r>
          </w:p>
        </w:tc>
        <w:tc>
          <w:tcPr>
            <w:tcW w:w="739" w:type="pct"/>
            <w:tcBorders>
              <w:top w:val="nil"/>
              <w:left w:val="nil"/>
              <w:bottom w:val="nil"/>
              <w:right w:val="nil"/>
            </w:tcBorders>
            <w:shd w:val="clear" w:color="000000" w:fill="FFFFFF"/>
            <w:noWrap/>
            <w:vAlign w:val="bottom"/>
            <w:hideMark/>
          </w:tcPr>
          <w:p w14:paraId="1FACDED3" w14:textId="77777777" w:rsidR="007A669A" w:rsidRPr="005C7317" w:rsidRDefault="007A669A" w:rsidP="00A1600C">
            <w:pPr>
              <w:pStyle w:val="TableTextRight"/>
            </w:pPr>
            <w:r w:rsidRPr="005C7317">
              <w:t>226,273</w:t>
            </w:r>
          </w:p>
        </w:tc>
        <w:tc>
          <w:tcPr>
            <w:tcW w:w="739" w:type="pct"/>
            <w:tcBorders>
              <w:top w:val="nil"/>
              <w:left w:val="nil"/>
              <w:bottom w:val="nil"/>
              <w:right w:val="nil"/>
            </w:tcBorders>
            <w:shd w:val="clear" w:color="000000" w:fill="FFFFFF"/>
            <w:noWrap/>
            <w:vAlign w:val="bottom"/>
            <w:hideMark/>
          </w:tcPr>
          <w:p w14:paraId="45ED18F2" w14:textId="77777777" w:rsidR="007A669A" w:rsidRPr="005C7317" w:rsidRDefault="007A669A" w:rsidP="00A1600C">
            <w:pPr>
              <w:pStyle w:val="TableTextRight"/>
            </w:pPr>
            <w:r w:rsidRPr="005C7317">
              <w:t>501,979</w:t>
            </w:r>
          </w:p>
        </w:tc>
        <w:tc>
          <w:tcPr>
            <w:tcW w:w="739" w:type="pct"/>
            <w:tcBorders>
              <w:top w:val="nil"/>
              <w:left w:val="nil"/>
              <w:bottom w:val="nil"/>
              <w:right w:val="nil"/>
            </w:tcBorders>
            <w:shd w:val="clear" w:color="000000" w:fill="FFFFFF"/>
            <w:noWrap/>
            <w:vAlign w:val="bottom"/>
            <w:hideMark/>
          </w:tcPr>
          <w:p w14:paraId="33E2E304" w14:textId="77777777" w:rsidR="007A669A" w:rsidRPr="005C7317" w:rsidRDefault="007A669A" w:rsidP="00A1600C">
            <w:pPr>
              <w:pStyle w:val="TableTextRight"/>
            </w:pPr>
            <w:r w:rsidRPr="005C7317">
              <w:t>564,171</w:t>
            </w:r>
          </w:p>
        </w:tc>
        <w:tc>
          <w:tcPr>
            <w:tcW w:w="739" w:type="pct"/>
            <w:tcBorders>
              <w:top w:val="nil"/>
              <w:left w:val="nil"/>
              <w:bottom w:val="nil"/>
              <w:right w:val="nil"/>
            </w:tcBorders>
            <w:shd w:val="clear" w:color="000000" w:fill="FFFFFF"/>
            <w:noWrap/>
            <w:vAlign w:val="bottom"/>
            <w:hideMark/>
          </w:tcPr>
          <w:p w14:paraId="222BE7E6" w14:textId="77777777" w:rsidR="007A669A" w:rsidRPr="005C7317" w:rsidRDefault="007A669A" w:rsidP="00A1600C">
            <w:pPr>
              <w:pStyle w:val="TableTextRight"/>
            </w:pPr>
            <w:r w:rsidRPr="005C7317">
              <w:t>2,096</w:t>
            </w:r>
          </w:p>
        </w:tc>
        <w:tc>
          <w:tcPr>
            <w:tcW w:w="736" w:type="pct"/>
            <w:tcBorders>
              <w:top w:val="nil"/>
              <w:left w:val="nil"/>
              <w:bottom w:val="nil"/>
              <w:right w:val="nil"/>
            </w:tcBorders>
            <w:shd w:val="clear" w:color="000000" w:fill="FFFFFF"/>
            <w:noWrap/>
            <w:vAlign w:val="bottom"/>
            <w:hideMark/>
          </w:tcPr>
          <w:p w14:paraId="096C150F" w14:textId="77777777" w:rsidR="007A669A" w:rsidRPr="005C7317" w:rsidRDefault="007A669A" w:rsidP="00A1600C">
            <w:pPr>
              <w:pStyle w:val="TableTextRight"/>
            </w:pPr>
            <w:r w:rsidRPr="005C7317">
              <w:t>2,098,299</w:t>
            </w:r>
          </w:p>
        </w:tc>
      </w:tr>
      <w:tr w:rsidR="00C90461" w:rsidRPr="005C7317" w14:paraId="6674C4AD"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065A6095" w14:textId="6F138698" w:rsidR="007A669A" w:rsidRPr="005C7317" w:rsidRDefault="007A669A" w:rsidP="00A1600C">
            <w:pPr>
              <w:pStyle w:val="Tabletextcentred"/>
            </w:pPr>
            <w:r w:rsidRPr="008664C7">
              <w:t>20</w:t>
            </w:r>
            <w:r>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5437D71F" w14:textId="77777777" w:rsidR="007A669A" w:rsidRPr="005C7317" w:rsidRDefault="007A669A" w:rsidP="00A1600C">
            <w:pPr>
              <w:pStyle w:val="TableTextRight"/>
            </w:pPr>
            <w:r w:rsidRPr="005C7317">
              <w:t>110,404</w:t>
            </w:r>
          </w:p>
        </w:tc>
        <w:tc>
          <w:tcPr>
            <w:tcW w:w="739" w:type="pct"/>
            <w:tcBorders>
              <w:top w:val="nil"/>
              <w:left w:val="nil"/>
              <w:bottom w:val="nil"/>
              <w:right w:val="nil"/>
            </w:tcBorders>
            <w:shd w:val="clear" w:color="auto" w:fill="F2F2F2" w:themeFill="background1" w:themeFillShade="F2"/>
            <w:noWrap/>
            <w:vAlign w:val="bottom"/>
            <w:hideMark/>
          </w:tcPr>
          <w:p w14:paraId="7D44936E" w14:textId="77777777" w:rsidR="007A669A" w:rsidRPr="005C7317" w:rsidRDefault="007A669A" w:rsidP="00A1600C">
            <w:pPr>
              <w:pStyle w:val="TableTextRight"/>
            </w:pPr>
            <w:r w:rsidRPr="005C7317">
              <w:t>225,439</w:t>
            </w:r>
          </w:p>
        </w:tc>
        <w:tc>
          <w:tcPr>
            <w:tcW w:w="739" w:type="pct"/>
            <w:tcBorders>
              <w:top w:val="nil"/>
              <w:left w:val="nil"/>
              <w:bottom w:val="nil"/>
              <w:right w:val="nil"/>
            </w:tcBorders>
            <w:shd w:val="clear" w:color="auto" w:fill="F2F2F2" w:themeFill="background1" w:themeFillShade="F2"/>
            <w:noWrap/>
            <w:vAlign w:val="bottom"/>
            <w:hideMark/>
          </w:tcPr>
          <w:p w14:paraId="4AD8D4A0" w14:textId="77777777" w:rsidR="007A669A" w:rsidRPr="005C7317" w:rsidRDefault="007A669A" w:rsidP="00A1600C">
            <w:pPr>
              <w:pStyle w:val="TableTextRight"/>
            </w:pPr>
            <w:r w:rsidRPr="005C7317">
              <w:t>527,868</w:t>
            </w:r>
          </w:p>
        </w:tc>
        <w:tc>
          <w:tcPr>
            <w:tcW w:w="739" w:type="pct"/>
            <w:tcBorders>
              <w:top w:val="nil"/>
              <w:left w:val="nil"/>
              <w:bottom w:val="nil"/>
              <w:right w:val="nil"/>
            </w:tcBorders>
            <w:shd w:val="clear" w:color="auto" w:fill="F2F2F2" w:themeFill="background1" w:themeFillShade="F2"/>
            <w:noWrap/>
            <w:vAlign w:val="bottom"/>
            <w:hideMark/>
          </w:tcPr>
          <w:p w14:paraId="7B61ED17" w14:textId="77777777" w:rsidR="007A669A" w:rsidRPr="005C7317" w:rsidRDefault="007A669A" w:rsidP="00A1600C">
            <w:pPr>
              <w:pStyle w:val="TableTextRight"/>
            </w:pPr>
            <w:r w:rsidRPr="005C7317">
              <w:t>583,368</w:t>
            </w:r>
          </w:p>
        </w:tc>
        <w:tc>
          <w:tcPr>
            <w:tcW w:w="739" w:type="pct"/>
            <w:tcBorders>
              <w:top w:val="nil"/>
              <w:left w:val="nil"/>
              <w:bottom w:val="nil"/>
              <w:right w:val="nil"/>
            </w:tcBorders>
            <w:shd w:val="clear" w:color="auto" w:fill="F2F2F2" w:themeFill="background1" w:themeFillShade="F2"/>
            <w:noWrap/>
            <w:vAlign w:val="bottom"/>
            <w:hideMark/>
          </w:tcPr>
          <w:p w14:paraId="76D18BEE" w14:textId="77777777" w:rsidR="007A669A" w:rsidRPr="005C7317" w:rsidRDefault="007A669A" w:rsidP="00A1600C">
            <w:pPr>
              <w:pStyle w:val="TableTextRight"/>
            </w:pPr>
            <w:r w:rsidRPr="005C7317">
              <w:t>2,107</w:t>
            </w:r>
          </w:p>
        </w:tc>
        <w:tc>
          <w:tcPr>
            <w:tcW w:w="736" w:type="pct"/>
            <w:tcBorders>
              <w:top w:val="nil"/>
              <w:left w:val="nil"/>
              <w:bottom w:val="nil"/>
              <w:right w:val="nil"/>
            </w:tcBorders>
            <w:shd w:val="clear" w:color="auto" w:fill="F2F2F2" w:themeFill="background1" w:themeFillShade="F2"/>
            <w:noWrap/>
            <w:vAlign w:val="bottom"/>
            <w:hideMark/>
          </w:tcPr>
          <w:p w14:paraId="5FF21DF9" w14:textId="77777777" w:rsidR="007A669A" w:rsidRPr="005C7317" w:rsidRDefault="007A669A" w:rsidP="00A1600C">
            <w:pPr>
              <w:pStyle w:val="TableTextRight"/>
            </w:pPr>
            <w:r w:rsidRPr="005C7317">
              <w:t>2,508,020</w:t>
            </w:r>
          </w:p>
        </w:tc>
      </w:tr>
      <w:tr w:rsidR="00C90461" w:rsidRPr="005C7317" w14:paraId="7253E851" w14:textId="77777777" w:rsidTr="00C90461">
        <w:trPr>
          <w:trHeight w:val="255"/>
        </w:trPr>
        <w:tc>
          <w:tcPr>
            <w:tcW w:w="568" w:type="pct"/>
            <w:tcBorders>
              <w:top w:val="nil"/>
              <w:left w:val="nil"/>
              <w:bottom w:val="nil"/>
              <w:right w:val="nil"/>
            </w:tcBorders>
            <w:shd w:val="clear" w:color="000000" w:fill="FFFFFF"/>
            <w:noWrap/>
            <w:vAlign w:val="bottom"/>
            <w:hideMark/>
          </w:tcPr>
          <w:p w14:paraId="28AA1E48" w14:textId="5D95A843" w:rsidR="007A669A" w:rsidRPr="005C7317" w:rsidRDefault="007A669A" w:rsidP="00A1600C">
            <w:pPr>
              <w:pStyle w:val="Tabletextcentred"/>
            </w:pPr>
            <w:r w:rsidRPr="008664C7">
              <w:t>20</w:t>
            </w:r>
            <w:r>
              <w:t>13-</w:t>
            </w:r>
            <w:r w:rsidRPr="008664C7">
              <w:t>14</w:t>
            </w:r>
          </w:p>
        </w:tc>
        <w:tc>
          <w:tcPr>
            <w:tcW w:w="739" w:type="pct"/>
            <w:tcBorders>
              <w:top w:val="nil"/>
              <w:left w:val="nil"/>
              <w:bottom w:val="nil"/>
              <w:right w:val="nil"/>
            </w:tcBorders>
            <w:shd w:val="clear" w:color="000000" w:fill="FFFFFF"/>
            <w:noWrap/>
            <w:vAlign w:val="bottom"/>
            <w:hideMark/>
          </w:tcPr>
          <w:p w14:paraId="2158662F" w14:textId="77777777" w:rsidR="007A669A" w:rsidRPr="005C7317" w:rsidRDefault="007A669A" w:rsidP="00A1600C">
            <w:pPr>
              <w:pStyle w:val="TableTextRight"/>
            </w:pPr>
            <w:r w:rsidRPr="005C7317">
              <w:t>111,933</w:t>
            </w:r>
          </w:p>
        </w:tc>
        <w:tc>
          <w:tcPr>
            <w:tcW w:w="739" w:type="pct"/>
            <w:tcBorders>
              <w:top w:val="nil"/>
              <w:left w:val="nil"/>
              <w:bottom w:val="nil"/>
              <w:right w:val="nil"/>
            </w:tcBorders>
            <w:shd w:val="clear" w:color="000000" w:fill="FFFFFF"/>
            <w:noWrap/>
            <w:vAlign w:val="bottom"/>
            <w:hideMark/>
          </w:tcPr>
          <w:p w14:paraId="5754CB20" w14:textId="77777777" w:rsidR="007A669A" w:rsidRPr="005C7317" w:rsidRDefault="007A669A" w:rsidP="00A1600C">
            <w:pPr>
              <w:pStyle w:val="TableTextRight"/>
            </w:pPr>
            <w:r w:rsidRPr="005C7317">
              <w:t>241,448</w:t>
            </w:r>
          </w:p>
        </w:tc>
        <w:tc>
          <w:tcPr>
            <w:tcW w:w="739" w:type="pct"/>
            <w:tcBorders>
              <w:top w:val="nil"/>
              <w:left w:val="nil"/>
              <w:bottom w:val="nil"/>
              <w:right w:val="nil"/>
            </w:tcBorders>
            <w:shd w:val="clear" w:color="000000" w:fill="FFFFFF"/>
            <w:noWrap/>
            <w:vAlign w:val="bottom"/>
            <w:hideMark/>
          </w:tcPr>
          <w:p w14:paraId="6B017159" w14:textId="77777777" w:rsidR="007A669A" w:rsidRPr="005C7317" w:rsidRDefault="007A669A" w:rsidP="00A1600C">
            <w:pPr>
              <w:pStyle w:val="TableTextRight"/>
            </w:pPr>
            <w:r w:rsidRPr="005C7317">
              <w:t>552,194</w:t>
            </w:r>
          </w:p>
        </w:tc>
        <w:tc>
          <w:tcPr>
            <w:tcW w:w="739" w:type="pct"/>
            <w:tcBorders>
              <w:top w:val="nil"/>
              <w:left w:val="nil"/>
              <w:bottom w:val="nil"/>
              <w:right w:val="nil"/>
            </w:tcBorders>
            <w:shd w:val="clear" w:color="000000" w:fill="FFFFFF"/>
            <w:noWrap/>
            <w:vAlign w:val="bottom"/>
            <w:hideMark/>
          </w:tcPr>
          <w:p w14:paraId="316664A9" w14:textId="77777777" w:rsidR="007A669A" w:rsidRPr="005C7317" w:rsidRDefault="007A669A" w:rsidP="00A1600C">
            <w:pPr>
              <w:pStyle w:val="TableTextRight"/>
            </w:pPr>
            <w:r w:rsidRPr="005C7317">
              <w:t>591,827</w:t>
            </w:r>
          </w:p>
        </w:tc>
        <w:tc>
          <w:tcPr>
            <w:tcW w:w="739" w:type="pct"/>
            <w:tcBorders>
              <w:top w:val="nil"/>
              <w:left w:val="nil"/>
              <w:bottom w:val="nil"/>
              <w:right w:val="nil"/>
            </w:tcBorders>
            <w:shd w:val="clear" w:color="000000" w:fill="FFFFFF"/>
            <w:noWrap/>
            <w:vAlign w:val="bottom"/>
            <w:hideMark/>
          </w:tcPr>
          <w:p w14:paraId="40306E80" w14:textId="77777777" w:rsidR="007A669A" w:rsidRPr="005C7317" w:rsidRDefault="007A669A" w:rsidP="00A1600C">
            <w:pPr>
              <w:pStyle w:val="TableTextRight"/>
            </w:pPr>
            <w:r w:rsidRPr="005C7317">
              <w:t>2,006</w:t>
            </w:r>
          </w:p>
        </w:tc>
        <w:tc>
          <w:tcPr>
            <w:tcW w:w="736" w:type="pct"/>
            <w:tcBorders>
              <w:top w:val="nil"/>
              <w:left w:val="nil"/>
              <w:bottom w:val="nil"/>
              <w:right w:val="nil"/>
            </w:tcBorders>
            <w:shd w:val="clear" w:color="000000" w:fill="FFFFFF"/>
            <w:noWrap/>
            <w:vAlign w:val="bottom"/>
            <w:hideMark/>
          </w:tcPr>
          <w:p w14:paraId="1D0C0CCD" w14:textId="77777777" w:rsidR="007A669A" w:rsidRPr="005C7317" w:rsidRDefault="007A669A" w:rsidP="00A1600C">
            <w:pPr>
              <w:pStyle w:val="TableTextRight"/>
            </w:pPr>
            <w:r w:rsidRPr="005C7317">
              <w:t>2,160,064</w:t>
            </w:r>
          </w:p>
        </w:tc>
      </w:tr>
      <w:tr w:rsidR="00C90461" w:rsidRPr="005C7317" w14:paraId="12AF6BEB" w14:textId="77777777" w:rsidTr="00E80550">
        <w:trPr>
          <w:trHeight w:val="255"/>
        </w:trPr>
        <w:tc>
          <w:tcPr>
            <w:tcW w:w="568" w:type="pct"/>
            <w:tcBorders>
              <w:top w:val="nil"/>
              <w:left w:val="nil"/>
              <w:bottom w:val="single" w:sz="4" w:space="0" w:color="auto"/>
              <w:right w:val="nil"/>
            </w:tcBorders>
            <w:shd w:val="clear" w:color="auto" w:fill="F2F2F2" w:themeFill="background1" w:themeFillShade="F2"/>
            <w:noWrap/>
            <w:vAlign w:val="bottom"/>
            <w:hideMark/>
          </w:tcPr>
          <w:p w14:paraId="18044F15" w14:textId="27949495" w:rsidR="007A669A" w:rsidRPr="005C7317" w:rsidRDefault="007A669A" w:rsidP="00A1600C">
            <w:pPr>
              <w:pStyle w:val="Tabletextcentred"/>
            </w:pPr>
            <w:r w:rsidRPr="008664C7">
              <w:t>20</w:t>
            </w:r>
            <w:r>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785AA26E" w14:textId="77777777" w:rsidR="007A669A" w:rsidRPr="005C7317" w:rsidRDefault="007A669A" w:rsidP="00A1600C">
            <w:pPr>
              <w:pStyle w:val="TableTextRight"/>
            </w:pPr>
            <w:r w:rsidRPr="005C7317">
              <w:t>120,991</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481652F1" w14:textId="77777777" w:rsidR="007A669A" w:rsidRPr="005C7317" w:rsidRDefault="007A669A" w:rsidP="00A1600C">
            <w:pPr>
              <w:pStyle w:val="TableTextRight"/>
            </w:pPr>
            <w:r w:rsidRPr="005C7317">
              <w:t>257,573</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1B78C07E" w14:textId="77777777" w:rsidR="007A669A" w:rsidRPr="005C7317" w:rsidRDefault="007A669A" w:rsidP="00A1600C">
            <w:pPr>
              <w:pStyle w:val="TableTextRight"/>
            </w:pPr>
            <w:r w:rsidRPr="005C7317">
              <w:t>580,180</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27D6C8E" w14:textId="77777777" w:rsidR="007A669A" w:rsidRPr="005C7317" w:rsidRDefault="007A669A" w:rsidP="00A1600C">
            <w:pPr>
              <w:pStyle w:val="TableTextRight"/>
            </w:pPr>
            <w:r w:rsidRPr="005C7317">
              <w:t>621,739</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20BA41B4" w14:textId="77777777" w:rsidR="007A669A" w:rsidRPr="005C7317" w:rsidRDefault="007A669A" w:rsidP="00A1600C">
            <w:pPr>
              <w:pStyle w:val="TableTextRight"/>
            </w:pPr>
            <w:r w:rsidRPr="005C7317">
              <w:t>2,100</w:t>
            </w:r>
          </w:p>
        </w:tc>
        <w:tc>
          <w:tcPr>
            <w:tcW w:w="736" w:type="pct"/>
            <w:tcBorders>
              <w:top w:val="nil"/>
              <w:left w:val="nil"/>
              <w:bottom w:val="single" w:sz="4" w:space="0" w:color="auto"/>
              <w:right w:val="nil"/>
            </w:tcBorders>
            <w:shd w:val="clear" w:color="auto" w:fill="F2F2F2" w:themeFill="background1" w:themeFillShade="F2"/>
            <w:noWrap/>
            <w:vAlign w:val="bottom"/>
            <w:hideMark/>
          </w:tcPr>
          <w:p w14:paraId="24776020" w14:textId="77777777" w:rsidR="007A669A" w:rsidRPr="005C7317" w:rsidRDefault="007A669A" w:rsidP="00A1600C">
            <w:pPr>
              <w:pStyle w:val="TableTextRight"/>
            </w:pPr>
            <w:r w:rsidRPr="005C7317">
              <w:t>1,987,384</w:t>
            </w:r>
          </w:p>
        </w:tc>
      </w:tr>
    </w:tbl>
    <w:p w14:paraId="6ECBC400" w14:textId="2E6C54EF" w:rsidR="00877FE2" w:rsidRPr="00B71C23" w:rsidRDefault="00877FE2" w:rsidP="00E80550">
      <w:pPr>
        <w:pStyle w:val="ChartorTableNote"/>
        <w:spacing w:after="0"/>
      </w:pPr>
      <w:r w:rsidRPr="00B71C23">
        <w:t>Source: BLADE.</w:t>
      </w:r>
    </w:p>
    <w:p w14:paraId="616A6E7B" w14:textId="77777777" w:rsidR="00B0628F" w:rsidRDefault="00B0628F" w:rsidP="00E80550">
      <w:pPr>
        <w:pStyle w:val="SingleParagraph"/>
      </w:pPr>
    </w:p>
    <w:p w14:paraId="4B1D3DC6" w14:textId="77777777" w:rsidR="00B0628F" w:rsidRDefault="00B0628F" w:rsidP="00B0628F">
      <w:r>
        <w:br w:type="page"/>
      </w:r>
    </w:p>
    <w:p w14:paraId="25C5C804" w14:textId="1527570E" w:rsidR="0002527D" w:rsidRDefault="0002527D" w:rsidP="00F12EE0">
      <w:pPr>
        <w:pStyle w:val="TableMainHeading"/>
      </w:pPr>
      <w:r>
        <w:lastRenderedPageBreak/>
        <w:t>Table B3</w:t>
      </w:r>
      <w:r w:rsidRPr="00245719">
        <w:t>: Queensland</w:t>
      </w:r>
    </w:p>
    <w:tbl>
      <w:tblPr>
        <w:tblW w:w="4986" w:type="pct"/>
        <w:tblLook w:val="04A0" w:firstRow="1" w:lastRow="0" w:firstColumn="1" w:lastColumn="0" w:noHBand="0" w:noVBand="1"/>
      </w:tblPr>
      <w:tblGrid>
        <w:gridCol w:w="1079"/>
        <w:gridCol w:w="1403"/>
        <w:gridCol w:w="1403"/>
        <w:gridCol w:w="1403"/>
        <w:gridCol w:w="1402"/>
        <w:gridCol w:w="1402"/>
        <w:gridCol w:w="1395"/>
      </w:tblGrid>
      <w:tr w:rsidR="00877FE2" w:rsidRPr="00245719" w14:paraId="6B1F70FB" w14:textId="77777777" w:rsidTr="00E80550">
        <w:trPr>
          <w:trHeight w:val="255"/>
        </w:trPr>
        <w:tc>
          <w:tcPr>
            <w:tcW w:w="568" w:type="pct"/>
            <w:tcBorders>
              <w:top w:val="single" w:sz="4" w:space="0" w:color="auto"/>
              <w:left w:val="nil"/>
              <w:bottom w:val="single" w:sz="4" w:space="0" w:color="auto"/>
              <w:right w:val="nil"/>
            </w:tcBorders>
            <w:shd w:val="clear" w:color="auto" w:fill="C6D9F1" w:themeFill="text2" w:themeFillTint="33"/>
            <w:noWrap/>
            <w:vAlign w:val="bottom"/>
            <w:hideMark/>
          </w:tcPr>
          <w:p w14:paraId="68D5BC72" w14:textId="77777777" w:rsidR="00877FE2" w:rsidRPr="00245719" w:rsidRDefault="00877FE2" w:rsidP="00C90461">
            <w:pPr>
              <w:pStyle w:val="TableColumnHeadingCentred"/>
            </w:pPr>
            <w:r w:rsidRPr="00245719">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6AAB61C4" w14:textId="3298E176" w:rsidR="00877FE2" w:rsidRPr="00245719" w:rsidRDefault="00C90461" w:rsidP="00C90461">
            <w:pPr>
              <w:pStyle w:val="TableColumnHeadingRight"/>
            </w:pPr>
            <w:r>
              <w:t>25</w:t>
            </w:r>
            <w:r w:rsidRPr="00C90461">
              <w:rPr>
                <w:vertAlign w:val="superscript"/>
              </w:rPr>
              <w:t>th</w:t>
            </w:r>
            <w:r>
              <w:br/>
            </w:r>
            <w:r w:rsidR="00877FE2" w:rsidRPr="00245719">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BD27BD0" w14:textId="727E5A7A" w:rsidR="00877FE2" w:rsidRPr="00245719" w:rsidRDefault="00C90461" w:rsidP="00C90461">
            <w:pPr>
              <w:pStyle w:val="TableColumnHeadingRight"/>
            </w:pPr>
            <w:r>
              <w:t>M</w:t>
            </w:r>
            <w:r w:rsidR="00877FE2" w:rsidRPr="00245719">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64E4ABB5" w14:textId="6DA6BA7E" w:rsidR="00877FE2" w:rsidRPr="00245719" w:rsidRDefault="00877FE2" w:rsidP="00C90461">
            <w:pPr>
              <w:pStyle w:val="TableColumnHeadingRight"/>
            </w:pPr>
            <w:r w:rsidRPr="00245719">
              <w:t>75</w:t>
            </w:r>
            <w:r w:rsidRPr="00C90461">
              <w:rPr>
                <w:vertAlign w:val="superscript"/>
              </w:rPr>
              <w:t>th</w:t>
            </w:r>
            <w:r w:rsidR="00C90461">
              <w:br/>
            </w:r>
            <w:r w:rsidRPr="00245719">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339C3418" w14:textId="25C616D0" w:rsidR="00877FE2" w:rsidRPr="00245719" w:rsidRDefault="00C90461" w:rsidP="00C90461">
            <w:pPr>
              <w:pStyle w:val="TableColumnHeadingRight"/>
            </w:pPr>
            <w:r>
              <w:t>M</w:t>
            </w:r>
            <w:r w:rsidR="00877FE2" w:rsidRPr="00245719">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0A87416E" w14:textId="4EEEAE05" w:rsidR="00877FE2" w:rsidRPr="00245719" w:rsidRDefault="00877FE2" w:rsidP="00C90461">
            <w:pPr>
              <w:pStyle w:val="TableColumnHeadingRight"/>
            </w:pPr>
            <w:r>
              <w:t>T</w:t>
            </w:r>
            <w:r w:rsidRPr="00245719">
              <w:t>otal no.</w:t>
            </w:r>
            <w:r w:rsidR="00C90461">
              <w:br/>
            </w:r>
            <w:r w:rsidRPr="00245719">
              <w:t>of firms</w:t>
            </w:r>
          </w:p>
        </w:tc>
        <w:tc>
          <w:tcPr>
            <w:tcW w:w="735" w:type="pct"/>
            <w:tcBorders>
              <w:top w:val="single" w:sz="4" w:space="0" w:color="auto"/>
              <w:left w:val="nil"/>
              <w:bottom w:val="single" w:sz="4" w:space="0" w:color="auto"/>
              <w:right w:val="nil"/>
            </w:tcBorders>
            <w:shd w:val="clear" w:color="auto" w:fill="C6D9F1" w:themeFill="text2" w:themeFillTint="33"/>
            <w:noWrap/>
            <w:vAlign w:val="bottom"/>
            <w:hideMark/>
          </w:tcPr>
          <w:p w14:paraId="01E5E218" w14:textId="746A200E" w:rsidR="00877FE2" w:rsidRPr="00245719" w:rsidRDefault="00877FE2" w:rsidP="00C90461">
            <w:pPr>
              <w:pStyle w:val="TableColumnHeadingRight"/>
            </w:pPr>
            <w:r>
              <w:t>S</w:t>
            </w:r>
            <w:r w:rsidRPr="00245719">
              <w:t>tandard</w:t>
            </w:r>
            <w:r w:rsidR="00C90461">
              <w:br/>
            </w:r>
            <w:r w:rsidRPr="00245719">
              <w:t>deviation</w:t>
            </w:r>
          </w:p>
        </w:tc>
      </w:tr>
      <w:tr w:rsidR="007A669A" w:rsidRPr="00245719" w14:paraId="33780BE4" w14:textId="77777777" w:rsidTr="00C90461">
        <w:trPr>
          <w:trHeight w:val="255"/>
        </w:trPr>
        <w:tc>
          <w:tcPr>
            <w:tcW w:w="568" w:type="pct"/>
            <w:tcBorders>
              <w:top w:val="nil"/>
              <w:left w:val="nil"/>
              <w:bottom w:val="nil"/>
              <w:right w:val="nil"/>
            </w:tcBorders>
            <w:shd w:val="clear" w:color="000000" w:fill="FFFFFF"/>
            <w:noWrap/>
            <w:vAlign w:val="bottom"/>
            <w:hideMark/>
          </w:tcPr>
          <w:p w14:paraId="303E4B37" w14:textId="250F437D" w:rsidR="007A669A" w:rsidRPr="00245719" w:rsidRDefault="007A669A" w:rsidP="00A1600C">
            <w:pPr>
              <w:pStyle w:val="Tabletextcentred"/>
            </w:pPr>
            <w:r w:rsidRPr="008664C7">
              <w:t>200</w:t>
            </w:r>
            <w:r>
              <w:t>1-0</w:t>
            </w:r>
            <w:r w:rsidRPr="008664C7">
              <w:t>2</w:t>
            </w:r>
          </w:p>
        </w:tc>
        <w:tc>
          <w:tcPr>
            <w:tcW w:w="739" w:type="pct"/>
            <w:tcBorders>
              <w:top w:val="nil"/>
              <w:left w:val="nil"/>
              <w:bottom w:val="nil"/>
              <w:right w:val="nil"/>
            </w:tcBorders>
            <w:shd w:val="clear" w:color="000000" w:fill="FFFFFF"/>
            <w:noWrap/>
            <w:vAlign w:val="bottom"/>
            <w:hideMark/>
          </w:tcPr>
          <w:p w14:paraId="60D85B50" w14:textId="77777777" w:rsidR="007A669A" w:rsidRPr="00245719" w:rsidRDefault="007A669A" w:rsidP="00A1600C">
            <w:pPr>
              <w:pStyle w:val="TableTextRight"/>
            </w:pPr>
            <w:r w:rsidRPr="00245719">
              <w:t>80,179</w:t>
            </w:r>
          </w:p>
        </w:tc>
        <w:tc>
          <w:tcPr>
            <w:tcW w:w="739" w:type="pct"/>
            <w:tcBorders>
              <w:top w:val="nil"/>
              <w:left w:val="nil"/>
              <w:bottom w:val="nil"/>
              <w:right w:val="nil"/>
            </w:tcBorders>
            <w:shd w:val="clear" w:color="000000" w:fill="FFFFFF"/>
            <w:noWrap/>
            <w:vAlign w:val="bottom"/>
            <w:hideMark/>
          </w:tcPr>
          <w:p w14:paraId="67340033" w14:textId="77777777" w:rsidR="007A669A" w:rsidRPr="00245719" w:rsidRDefault="007A669A" w:rsidP="00A1600C">
            <w:pPr>
              <w:pStyle w:val="TableTextRight"/>
            </w:pPr>
            <w:r w:rsidRPr="00245719">
              <w:t>133,675</w:t>
            </w:r>
          </w:p>
        </w:tc>
        <w:tc>
          <w:tcPr>
            <w:tcW w:w="739" w:type="pct"/>
            <w:tcBorders>
              <w:top w:val="nil"/>
              <w:left w:val="nil"/>
              <w:bottom w:val="nil"/>
              <w:right w:val="nil"/>
            </w:tcBorders>
            <w:shd w:val="clear" w:color="000000" w:fill="FFFFFF"/>
            <w:noWrap/>
            <w:vAlign w:val="bottom"/>
            <w:hideMark/>
          </w:tcPr>
          <w:p w14:paraId="50F89332" w14:textId="77777777" w:rsidR="007A669A" w:rsidRPr="00245719" w:rsidRDefault="007A669A" w:rsidP="00A1600C">
            <w:pPr>
              <w:pStyle w:val="TableTextRight"/>
            </w:pPr>
            <w:r w:rsidRPr="00245719">
              <w:t>269,304</w:t>
            </w:r>
          </w:p>
        </w:tc>
        <w:tc>
          <w:tcPr>
            <w:tcW w:w="739" w:type="pct"/>
            <w:tcBorders>
              <w:top w:val="nil"/>
              <w:left w:val="nil"/>
              <w:bottom w:val="nil"/>
              <w:right w:val="nil"/>
            </w:tcBorders>
            <w:shd w:val="clear" w:color="000000" w:fill="FFFFFF"/>
            <w:noWrap/>
            <w:vAlign w:val="bottom"/>
            <w:hideMark/>
          </w:tcPr>
          <w:p w14:paraId="6B33C9DE" w14:textId="77777777" w:rsidR="007A669A" w:rsidRPr="00245719" w:rsidRDefault="007A669A" w:rsidP="00A1600C">
            <w:pPr>
              <w:pStyle w:val="TableTextRight"/>
            </w:pPr>
            <w:r w:rsidRPr="00245719">
              <w:t>314,023</w:t>
            </w:r>
          </w:p>
        </w:tc>
        <w:tc>
          <w:tcPr>
            <w:tcW w:w="739" w:type="pct"/>
            <w:tcBorders>
              <w:top w:val="nil"/>
              <w:left w:val="nil"/>
              <w:bottom w:val="nil"/>
              <w:right w:val="nil"/>
            </w:tcBorders>
            <w:shd w:val="clear" w:color="000000" w:fill="FFFFFF"/>
            <w:noWrap/>
            <w:vAlign w:val="bottom"/>
            <w:hideMark/>
          </w:tcPr>
          <w:p w14:paraId="3CD42849" w14:textId="77777777" w:rsidR="007A669A" w:rsidRPr="00245719" w:rsidRDefault="007A669A" w:rsidP="00A1600C">
            <w:pPr>
              <w:pStyle w:val="TableTextRight"/>
            </w:pPr>
            <w:r w:rsidRPr="00245719">
              <w:t>38,489</w:t>
            </w:r>
          </w:p>
        </w:tc>
        <w:tc>
          <w:tcPr>
            <w:tcW w:w="735" w:type="pct"/>
            <w:tcBorders>
              <w:top w:val="nil"/>
              <w:left w:val="nil"/>
              <w:bottom w:val="nil"/>
              <w:right w:val="nil"/>
            </w:tcBorders>
            <w:shd w:val="clear" w:color="000000" w:fill="FFFFFF"/>
            <w:noWrap/>
            <w:vAlign w:val="bottom"/>
            <w:hideMark/>
          </w:tcPr>
          <w:p w14:paraId="321A3BE2" w14:textId="77777777" w:rsidR="007A669A" w:rsidRPr="00245719" w:rsidRDefault="007A669A" w:rsidP="00A1600C">
            <w:pPr>
              <w:pStyle w:val="TableTextRight"/>
            </w:pPr>
            <w:r w:rsidRPr="00245719">
              <w:t>2,175,764</w:t>
            </w:r>
          </w:p>
        </w:tc>
      </w:tr>
      <w:tr w:rsidR="007A669A" w:rsidRPr="00245719" w14:paraId="0B3F8CFA"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1F6D0BE9" w14:textId="7D82630D" w:rsidR="007A669A" w:rsidRPr="00245719" w:rsidRDefault="007A669A" w:rsidP="00A1600C">
            <w:pPr>
              <w:pStyle w:val="Tabletextcentred"/>
            </w:pPr>
            <w:r w:rsidRPr="008664C7">
              <w:t>200</w:t>
            </w:r>
            <w:r>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356EBA91" w14:textId="77777777" w:rsidR="007A669A" w:rsidRPr="00245719" w:rsidRDefault="007A669A" w:rsidP="00A1600C">
            <w:pPr>
              <w:pStyle w:val="TableTextRight"/>
            </w:pPr>
            <w:r w:rsidRPr="00245719">
              <w:t>82,237</w:t>
            </w:r>
          </w:p>
        </w:tc>
        <w:tc>
          <w:tcPr>
            <w:tcW w:w="739" w:type="pct"/>
            <w:tcBorders>
              <w:top w:val="nil"/>
              <w:left w:val="nil"/>
              <w:bottom w:val="nil"/>
              <w:right w:val="nil"/>
            </w:tcBorders>
            <w:shd w:val="clear" w:color="auto" w:fill="F2F2F2" w:themeFill="background1" w:themeFillShade="F2"/>
            <w:noWrap/>
            <w:vAlign w:val="bottom"/>
            <w:hideMark/>
          </w:tcPr>
          <w:p w14:paraId="73F82D1B" w14:textId="77777777" w:rsidR="007A669A" w:rsidRPr="00245719" w:rsidRDefault="007A669A" w:rsidP="00A1600C">
            <w:pPr>
              <w:pStyle w:val="TableTextRight"/>
            </w:pPr>
            <w:r w:rsidRPr="00245719">
              <w:t>138,500</w:t>
            </w:r>
          </w:p>
        </w:tc>
        <w:tc>
          <w:tcPr>
            <w:tcW w:w="739" w:type="pct"/>
            <w:tcBorders>
              <w:top w:val="nil"/>
              <w:left w:val="nil"/>
              <w:bottom w:val="nil"/>
              <w:right w:val="nil"/>
            </w:tcBorders>
            <w:shd w:val="clear" w:color="auto" w:fill="F2F2F2" w:themeFill="background1" w:themeFillShade="F2"/>
            <w:noWrap/>
            <w:vAlign w:val="bottom"/>
            <w:hideMark/>
          </w:tcPr>
          <w:p w14:paraId="12E75C3F" w14:textId="77777777" w:rsidR="007A669A" w:rsidRPr="00245719" w:rsidRDefault="007A669A" w:rsidP="00A1600C">
            <w:pPr>
              <w:pStyle w:val="TableTextRight"/>
            </w:pPr>
            <w:r w:rsidRPr="00245719">
              <w:t>282,805</w:t>
            </w:r>
          </w:p>
        </w:tc>
        <w:tc>
          <w:tcPr>
            <w:tcW w:w="739" w:type="pct"/>
            <w:tcBorders>
              <w:top w:val="nil"/>
              <w:left w:val="nil"/>
              <w:bottom w:val="nil"/>
              <w:right w:val="nil"/>
            </w:tcBorders>
            <w:shd w:val="clear" w:color="auto" w:fill="F2F2F2" w:themeFill="background1" w:themeFillShade="F2"/>
            <w:noWrap/>
            <w:vAlign w:val="bottom"/>
            <w:hideMark/>
          </w:tcPr>
          <w:p w14:paraId="50CAA4E4" w14:textId="77777777" w:rsidR="007A669A" w:rsidRPr="00245719" w:rsidRDefault="007A669A" w:rsidP="00A1600C">
            <w:pPr>
              <w:pStyle w:val="TableTextRight"/>
            </w:pPr>
            <w:r w:rsidRPr="00245719">
              <w:t>337,597</w:t>
            </w:r>
          </w:p>
        </w:tc>
        <w:tc>
          <w:tcPr>
            <w:tcW w:w="739" w:type="pct"/>
            <w:tcBorders>
              <w:top w:val="nil"/>
              <w:left w:val="nil"/>
              <w:bottom w:val="nil"/>
              <w:right w:val="nil"/>
            </w:tcBorders>
            <w:shd w:val="clear" w:color="auto" w:fill="F2F2F2" w:themeFill="background1" w:themeFillShade="F2"/>
            <w:noWrap/>
            <w:vAlign w:val="bottom"/>
            <w:hideMark/>
          </w:tcPr>
          <w:p w14:paraId="0924AE06" w14:textId="77777777" w:rsidR="007A669A" w:rsidRPr="00245719" w:rsidRDefault="007A669A" w:rsidP="00A1600C">
            <w:pPr>
              <w:pStyle w:val="TableTextRight"/>
            </w:pPr>
            <w:r w:rsidRPr="00245719">
              <w:t>36,618</w:t>
            </w:r>
          </w:p>
        </w:tc>
        <w:tc>
          <w:tcPr>
            <w:tcW w:w="735" w:type="pct"/>
            <w:tcBorders>
              <w:top w:val="nil"/>
              <w:left w:val="nil"/>
              <w:bottom w:val="nil"/>
              <w:right w:val="nil"/>
            </w:tcBorders>
            <w:shd w:val="clear" w:color="auto" w:fill="F2F2F2" w:themeFill="background1" w:themeFillShade="F2"/>
            <w:noWrap/>
            <w:vAlign w:val="bottom"/>
            <w:hideMark/>
          </w:tcPr>
          <w:p w14:paraId="5F34E4EF" w14:textId="77777777" w:rsidR="007A669A" w:rsidRPr="00245719" w:rsidRDefault="007A669A" w:rsidP="00A1600C">
            <w:pPr>
              <w:pStyle w:val="TableTextRight"/>
            </w:pPr>
            <w:r w:rsidRPr="00245719">
              <w:t>2,307,389</w:t>
            </w:r>
          </w:p>
        </w:tc>
      </w:tr>
      <w:tr w:rsidR="007A669A" w:rsidRPr="00245719" w14:paraId="604250CC" w14:textId="77777777" w:rsidTr="00C90461">
        <w:trPr>
          <w:trHeight w:val="255"/>
        </w:trPr>
        <w:tc>
          <w:tcPr>
            <w:tcW w:w="568" w:type="pct"/>
            <w:tcBorders>
              <w:top w:val="nil"/>
              <w:left w:val="nil"/>
              <w:bottom w:val="nil"/>
              <w:right w:val="nil"/>
            </w:tcBorders>
            <w:shd w:val="clear" w:color="000000" w:fill="FFFFFF"/>
            <w:noWrap/>
            <w:vAlign w:val="bottom"/>
            <w:hideMark/>
          </w:tcPr>
          <w:p w14:paraId="201018BB" w14:textId="531AD99B" w:rsidR="007A669A" w:rsidRPr="00245719" w:rsidRDefault="007A669A" w:rsidP="00A1600C">
            <w:pPr>
              <w:pStyle w:val="Tabletextcentred"/>
            </w:pPr>
            <w:r w:rsidRPr="008664C7">
              <w:t>200</w:t>
            </w:r>
            <w:r>
              <w:t>3-0</w:t>
            </w:r>
            <w:r w:rsidRPr="008664C7">
              <w:t>4</w:t>
            </w:r>
          </w:p>
        </w:tc>
        <w:tc>
          <w:tcPr>
            <w:tcW w:w="739" w:type="pct"/>
            <w:tcBorders>
              <w:top w:val="nil"/>
              <w:left w:val="nil"/>
              <w:bottom w:val="nil"/>
              <w:right w:val="nil"/>
            </w:tcBorders>
            <w:shd w:val="clear" w:color="000000" w:fill="FFFFFF"/>
            <w:noWrap/>
            <w:vAlign w:val="bottom"/>
            <w:hideMark/>
          </w:tcPr>
          <w:p w14:paraId="24918378" w14:textId="77777777" w:rsidR="007A669A" w:rsidRPr="00245719" w:rsidRDefault="007A669A" w:rsidP="00A1600C">
            <w:pPr>
              <w:pStyle w:val="TableTextRight"/>
            </w:pPr>
            <w:r w:rsidRPr="00245719">
              <w:t>84,251</w:t>
            </w:r>
          </w:p>
        </w:tc>
        <w:tc>
          <w:tcPr>
            <w:tcW w:w="739" w:type="pct"/>
            <w:tcBorders>
              <w:top w:val="nil"/>
              <w:left w:val="nil"/>
              <w:bottom w:val="nil"/>
              <w:right w:val="nil"/>
            </w:tcBorders>
            <w:shd w:val="clear" w:color="000000" w:fill="FFFFFF"/>
            <w:noWrap/>
            <w:vAlign w:val="bottom"/>
            <w:hideMark/>
          </w:tcPr>
          <w:p w14:paraId="7D6D5BA5" w14:textId="77777777" w:rsidR="007A669A" w:rsidRPr="00245719" w:rsidRDefault="007A669A" w:rsidP="00A1600C">
            <w:pPr>
              <w:pStyle w:val="TableTextRight"/>
            </w:pPr>
            <w:r w:rsidRPr="00245719">
              <w:t>145,381</w:t>
            </w:r>
          </w:p>
        </w:tc>
        <w:tc>
          <w:tcPr>
            <w:tcW w:w="739" w:type="pct"/>
            <w:tcBorders>
              <w:top w:val="nil"/>
              <w:left w:val="nil"/>
              <w:bottom w:val="nil"/>
              <w:right w:val="nil"/>
            </w:tcBorders>
            <w:shd w:val="clear" w:color="000000" w:fill="FFFFFF"/>
            <w:noWrap/>
            <w:vAlign w:val="bottom"/>
            <w:hideMark/>
          </w:tcPr>
          <w:p w14:paraId="6761CCF7" w14:textId="77777777" w:rsidR="007A669A" w:rsidRPr="00245719" w:rsidRDefault="007A669A" w:rsidP="00A1600C">
            <w:pPr>
              <w:pStyle w:val="TableTextRight"/>
            </w:pPr>
            <w:r w:rsidRPr="00245719">
              <w:t>302,818</w:t>
            </w:r>
          </w:p>
        </w:tc>
        <w:tc>
          <w:tcPr>
            <w:tcW w:w="739" w:type="pct"/>
            <w:tcBorders>
              <w:top w:val="nil"/>
              <w:left w:val="nil"/>
              <w:bottom w:val="nil"/>
              <w:right w:val="nil"/>
            </w:tcBorders>
            <w:shd w:val="clear" w:color="000000" w:fill="FFFFFF"/>
            <w:noWrap/>
            <w:vAlign w:val="bottom"/>
            <w:hideMark/>
          </w:tcPr>
          <w:p w14:paraId="2E00FB85" w14:textId="77777777" w:rsidR="007A669A" w:rsidRPr="00245719" w:rsidRDefault="007A669A" w:rsidP="00A1600C">
            <w:pPr>
              <w:pStyle w:val="TableTextRight"/>
            </w:pPr>
            <w:r w:rsidRPr="00245719">
              <w:t>347,637</w:t>
            </w:r>
          </w:p>
        </w:tc>
        <w:tc>
          <w:tcPr>
            <w:tcW w:w="739" w:type="pct"/>
            <w:tcBorders>
              <w:top w:val="nil"/>
              <w:left w:val="nil"/>
              <w:bottom w:val="nil"/>
              <w:right w:val="nil"/>
            </w:tcBorders>
            <w:shd w:val="clear" w:color="000000" w:fill="FFFFFF"/>
            <w:noWrap/>
            <w:vAlign w:val="bottom"/>
            <w:hideMark/>
          </w:tcPr>
          <w:p w14:paraId="76BDE458" w14:textId="77777777" w:rsidR="007A669A" w:rsidRPr="00245719" w:rsidRDefault="007A669A" w:rsidP="00A1600C">
            <w:pPr>
              <w:pStyle w:val="TableTextRight"/>
            </w:pPr>
            <w:r w:rsidRPr="00245719">
              <w:t>36,311</w:t>
            </w:r>
          </w:p>
        </w:tc>
        <w:tc>
          <w:tcPr>
            <w:tcW w:w="735" w:type="pct"/>
            <w:tcBorders>
              <w:top w:val="nil"/>
              <w:left w:val="nil"/>
              <w:bottom w:val="nil"/>
              <w:right w:val="nil"/>
            </w:tcBorders>
            <w:shd w:val="clear" w:color="000000" w:fill="FFFFFF"/>
            <w:noWrap/>
            <w:vAlign w:val="bottom"/>
            <w:hideMark/>
          </w:tcPr>
          <w:p w14:paraId="6DEE0BA9" w14:textId="77777777" w:rsidR="007A669A" w:rsidRPr="00245719" w:rsidRDefault="007A669A" w:rsidP="00A1600C">
            <w:pPr>
              <w:pStyle w:val="TableTextRight"/>
            </w:pPr>
            <w:r w:rsidRPr="00245719">
              <w:t>2,319,420</w:t>
            </w:r>
          </w:p>
        </w:tc>
      </w:tr>
      <w:tr w:rsidR="007A669A" w:rsidRPr="00245719" w14:paraId="2DFCF06C"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6B228C6E" w14:textId="4B8EC70E" w:rsidR="007A669A" w:rsidRPr="00245719" w:rsidRDefault="007A669A" w:rsidP="00A1600C">
            <w:pPr>
              <w:pStyle w:val="Tabletextcentred"/>
            </w:pPr>
            <w:r w:rsidRPr="008664C7">
              <w:t>200</w:t>
            </w:r>
            <w:r>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27724E80" w14:textId="77777777" w:rsidR="007A669A" w:rsidRPr="00245719" w:rsidRDefault="007A669A" w:rsidP="00A1600C">
            <w:pPr>
              <w:pStyle w:val="TableTextRight"/>
            </w:pPr>
            <w:r w:rsidRPr="00245719">
              <w:t>86,334</w:t>
            </w:r>
          </w:p>
        </w:tc>
        <w:tc>
          <w:tcPr>
            <w:tcW w:w="739" w:type="pct"/>
            <w:tcBorders>
              <w:top w:val="nil"/>
              <w:left w:val="nil"/>
              <w:bottom w:val="nil"/>
              <w:right w:val="nil"/>
            </w:tcBorders>
            <w:shd w:val="clear" w:color="auto" w:fill="F2F2F2" w:themeFill="background1" w:themeFillShade="F2"/>
            <w:noWrap/>
            <w:vAlign w:val="bottom"/>
            <w:hideMark/>
          </w:tcPr>
          <w:p w14:paraId="673A459C" w14:textId="77777777" w:rsidR="007A669A" w:rsidRPr="00245719" w:rsidRDefault="007A669A" w:rsidP="00A1600C">
            <w:pPr>
              <w:pStyle w:val="TableTextRight"/>
            </w:pPr>
            <w:r w:rsidRPr="00245719">
              <w:t>150,552</w:t>
            </w:r>
          </w:p>
        </w:tc>
        <w:tc>
          <w:tcPr>
            <w:tcW w:w="739" w:type="pct"/>
            <w:tcBorders>
              <w:top w:val="nil"/>
              <w:left w:val="nil"/>
              <w:bottom w:val="nil"/>
              <w:right w:val="nil"/>
            </w:tcBorders>
            <w:shd w:val="clear" w:color="auto" w:fill="F2F2F2" w:themeFill="background1" w:themeFillShade="F2"/>
            <w:noWrap/>
            <w:vAlign w:val="bottom"/>
            <w:hideMark/>
          </w:tcPr>
          <w:p w14:paraId="418D6BF4" w14:textId="77777777" w:rsidR="007A669A" w:rsidRPr="00245719" w:rsidRDefault="007A669A" w:rsidP="00A1600C">
            <w:pPr>
              <w:pStyle w:val="TableTextRight"/>
            </w:pPr>
            <w:r w:rsidRPr="00245719">
              <w:t>309,609</w:t>
            </w:r>
          </w:p>
        </w:tc>
        <w:tc>
          <w:tcPr>
            <w:tcW w:w="739" w:type="pct"/>
            <w:tcBorders>
              <w:top w:val="nil"/>
              <w:left w:val="nil"/>
              <w:bottom w:val="nil"/>
              <w:right w:val="nil"/>
            </w:tcBorders>
            <w:shd w:val="clear" w:color="auto" w:fill="F2F2F2" w:themeFill="background1" w:themeFillShade="F2"/>
            <w:noWrap/>
            <w:vAlign w:val="bottom"/>
            <w:hideMark/>
          </w:tcPr>
          <w:p w14:paraId="69735A43" w14:textId="77777777" w:rsidR="007A669A" w:rsidRPr="00245719" w:rsidRDefault="007A669A" w:rsidP="00A1600C">
            <w:pPr>
              <w:pStyle w:val="TableTextRight"/>
            </w:pPr>
            <w:r w:rsidRPr="00245719">
              <w:t>366,096</w:t>
            </w:r>
          </w:p>
        </w:tc>
        <w:tc>
          <w:tcPr>
            <w:tcW w:w="739" w:type="pct"/>
            <w:tcBorders>
              <w:top w:val="nil"/>
              <w:left w:val="nil"/>
              <w:bottom w:val="nil"/>
              <w:right w:val="nil"/>
            </w:tcBorders>
            <w:shd w:val="clear" w:color="auto" w:fill="F2F2F2" w:themeFill="background1" w:themeFillShade="F2"/>
            <w:noWrap/>
            <w:vAlign w:val="bottom"/>
            <w:hideMark/>
          </w:tcPr>
          <w:p w14:paraId="095AA864" w14:textId="77777777" w:rsidR="007A669A" w:rsidRPr="00245719" w:rsidRDefault="007A669A" w:rsidP="00A1600C">
            <w:pPr>
              <w:pStyle w:val="TableTextRight"/>
            </w:pPr>
            <w:r w:rsidRPr="00245719">
              <w:t>46,647</w:t>
            </w:r>
          </w:p>
        </w:tc>
        <w:tc>
          <w:tcPr>
            <w:tcW w:w="735" w:type="pct"/>
            <w:tcBorders>
              <w:top w:val="nil"/>
              <w:left w:val="nil"/>
              <w:bottom w:val="nil"/>
              <w:right w:val="nil"/>
            </w:tcBorders>
            <w:shd w:val="clear" w:color="auto" w:fill="F2F2F2" w:themeFill="background1" w:themeFillShade="F2"/>
            <w:noWrap/>
            <w:vAlign w:val="bottom"/>
            <w:hideMark/>
          </w:tcPr>
          <w:p w14:paraId="75FAB4F4" w14:textId="77777777" w:rsidR="007A669A" w:rsidRPr="00245719" w:rsidRDefault="007A669A" w:rsidP="00A1600C">
            <w:pPr>
              <w:pStyle w:val="TableTextRight"/>
            </w:pPr>
            <w:r w:rsidRPr="00245719">
              <w:t>2,801,599</w:t>
            </w:r>
          </w:p>
        </w:tc>
      </w:tr>
      <w:tr w:rsidR="007A669A" w:rsidRPr="00245719" w14:paraId="72660A32" w14:textId="77777777" w:rsidTr="00C90461">
        <w:trPr>
          <w:trHeight w:val="255"/>
        </w:trPr>
        <w:tc>
          <w:tcPr>
            <w:tcW w:w="568" w:type="pct"/>
            <w:tcBorders>
              <w:top w:val="nil"/>
              <w:left w:val="nil"/>
              <w:bottom w:val="nil"/>
              <w:right w:val="nil"/>
            </w:tcBorders>
            <w:shd w:val="clear" w:color="000000" w:fill="FFFFFF"/>
            <w:noWrap/>
            <w:vAlign w:val="bottom"/>
            <w:hideMark/>
          </w:tcPr>
          <w:p w14:paraId="5BA03BC5" w14:textId="5B72EB92" w:rsidR="007A669A" w:rsidRPr="00245719" w:rsidRDefault="007A669A" w:rsidP="00A1600C">
            <w:pPr>
              <w:pStyle w:val="Tabletextcentred"/>
            </w:pPr>
            <w:r w:rsidRPr="008664C7">
              <w:t>200</w:t>
            </w:r>
            <w:r>
              <w:t>5-0</w:t>
            </w:r>
            <w:r w:rsidRPr="008664C7">
              <w:t>6</w:t>
            </w:r>
          </w:p>
        </w:tc>
        <w:tc>
          <w:tcPr>
            <w:tcW w:w="739" w:type="pct"/>
            <w:tcBorders>
              <w:top w:val="nil"/>
              <w:left w:val="nil"/>
              <w:bottom w:val="nil"/>
              <w:right w:val="nil"/>
            </w:tcBorders>
            <w:shd w:val="clear" w:color="000000" w:fill="FFFFFF"/>
            <w:noWrap/>
            <w:vAlign w:val="bottom"/>
            <w:hideMark/>
          </w:tcPr>
          <w:p w14:paraId="2D21DAEC" w14:textId="77777777" w:rsidR="007A669A" w:rsidRPr="00245719" w:rsidRDefault="007A669A" w:rsidP="00A1600C">
            <w:pPr>
              <w:pStyle w:val="TableTextRight"/>
            </w:pPr>
            <w:r w:rsidRPr="00245719">
              <w:t>88,778</w:t>
            </w:r>
          </w:p>
        </w:tc>
        <w:tc>
          <w:tcPr>
            <w:tcW w:w="739" w:type="pct"/>
            <w:tcBorders>
              <w:top w:val="nil"/>
              <w:left w:val="nil"/>
              <w:bottom w:val="nil"/>
              <w:right w:val="nil"/>
            </w:tcBorders>
            <w:shd w:val="clear" w:color="000000" w:fill="FFFFFF"/>
            <w:noWrap/>
            <w:vAlign w:val="bottom"/>
            <w:hideMark/>
          </w:tcPr>
          <w:p w14:paraId="06D847DC" w14:textId="77777777" w:rsidR="007A669A" w:rsidRPr="00245719" w:rsidRDefault="007A669A" w:rsidP="00A1600C">
            <w:pPr>
              <w:pStyle w:val="TableTextRight"/>
            </w:pPr>
            <w:r w:rsidRPr="00245719">
              <w:t>155,246</w:t>
            </w:r>
          </w:p>
        </w:tc>
        <w:tc>
          <w:tcPr>
            <w:tcW w:w="739" w:type="pct"/>
            <w:tcBorders>
              <w:top w:val="nil"/>
              <w:left w:val="nil"/>
              <w:bottom w:val="nil"/>
              <w:right w:val="nil"/>
            </w:tcBorders>
            <w:shd w:val="clear" w:color="000000" w:fill="FFFFFF"/>
            <w:noWrap/>
            <w:vAlign w:val="bottom"/>
            <w:hideMark/>
          </w:tcPr>
          <w:p w14:paraId="32497846" w14:textId="77777777" w:rsidR="007A669A" w:rsidRPr="00245719" w:rsidRDefault="007A669A" w:rsidP="00A1600C">
            <w:pPr>
              <w:pStyle w:val="TableTextRight"/>
            </w:pPr>
            <w:r w:rsidRPr="00245719">
              <w:t>325,124</w:t>
            </w:r>
          </w:p>
        </w:tc>
        <w:tc>
          <w:tcPr>
            <w:tcW w:w="739" w:type="pct"/>
            <w:tcBorders>
              <w:top w:val="nil"/>
              <w:left w:val="nil"/>
              <w:bottom w:val="nil"/>
              <w:right w:val="nil"/>
            </w:tcBorders>
            <w:shd w:val="clear" w:color="000000" w:fill="FFFFFF"/>
            <w:noWrap/>
            <w:vAlign w:val="bottom"/>
            <w:hideMark/>
          </w:tcPr>
          <w:p w14:paraId="4797D57E" w14:textId="77777777" w:rsidR="007A669A" w:rsidRPr="00245719" w:rsidRDefault="007A669A" w:rsidP="00A1600C">
            <w:pPr>
              <w:pStyle w:val="TableTextRight"/>
            </w:pPr>
            <w:r w:rsidRPr="00245719">
              <w:t>382,227</w:t>
            </w:r>
          </w:p>
        </w:tc>
        <w:tc>
          <w:tcPr>
            <w:tcW w:w="739" w:type="pct"/>
            <w:tcBorders>
              <w:top w:val="nil"/>
              <w:left w:val="nil"/>
              <w:bottom w:val="nil"/>
              <w:right w:val="nil"/>
            </w:tcBorders>
            <w:shd w:val="clear" w:color="000000" w:fill="FFFFFF"/>
            <w:noWrap/>
            <w:vAlign w:val="bottom"/>
            <w:hideMark/>
          </w:tcPr>
          <w:p w14:paraId="26E6283A" w14:textId="77777777" w:rsidR="007A669A" w:rsidRPr="00245719" w:rsidRDefault="007A669A" w:rsidP="00A1600C">
            <w:pPr>
              <w:pStyle w:val="TableTextRight"/>
            </w:pPr>
            <w:r w:rsidRPr="00245719">
              <w:t>54,740</w:t>
            </w:r>
          </w:p>
        </w:tc>
        <w:tc>
          <w:tcPr>
            <w:tcW w:w="735" w:type="pct"/>
            <w:tcBorders>
              <w:top w:val="nil"/>
              <w:left w:val="nil"/>
              <w:bottom w:val="nil"/>
              <w:right w:val="nil"/>
            </w:tcBorders>
            <w:shd w:val="clear" w:color="000000" w:fill="FFFFFF"/>
            <w:noWrap/>
            <w:vAlign w:val="bottom"/>
            <w:hideMark/>
          </w:tcPr>
          <w:p w14:paraId="66A210A9" w14:textId="77777777" w:rsidR="007A669A" w:rsidRPr="00245719" w:rsidRDefault="007A669A" w:rsidP="00A1600C">
            <w:pPr>
              <w:pStyle w:val="TableTextRight"/>
            </w:pPr>
            <w:r w:rsidRPr="00245719">
              <w:t>3,568,529</w:t>
            </w:r>
          </w:p>
        </w:tc>
      </w:tr>
      <w:tr w:rsidR="007A669A" w:rsidRPr="00245719" w14:paraId="6C02AEC5"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4FA20218" w14:textId="1BB69528" w:rsidR="007A669A" w:rsidRPr="00245719" w:rsidRDefault="007A669A" w:rsidP="00A1600C">
            <w:pPr>
              <w:pStyle w:val="Tabletextcentred"/>
            </w:pPr>
            <w:r w:rsidRPr="008664C7">
              <w:t>200</w:t>
            </w:r>
            <w:r>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15373C25" w14:textId="77777777" w:rsidR="007A669A" w:rsidRPr="00245719" w:rsidRDefault="007A669A" w:rsidP="00A1600C">
            <w:pPr>
              <w:pStyle w:val="TableTextRight"/>
            </w:pPr>
            <w:r w:rsidRPr="00245719">
              <w:t>91,261</w:t>
            </w:r>
          </w:p>
        </w:tc>
        <w:tc>
          <w:tcPr>
            <w:tcW w:w="739" w:type="pct"/>
            <w:tcBorders>
              <w:top w:val="nil"/>
              <w:left w:val="nil"/>
              <w:bottom w:val="nil"/>
              <w:right w:val="nil"/>
            </w:tcBorders>
            <w:shd w:val="clear" w:color="auto" w:fill="F2F2F2" w:themeFill="background1" w:themeFillShade="F2"/>
            <w:noWrap/>
            <w:vAlign w:val="bottom"/>
            <w:hideMark/>
          </w:tcPr>
          <w:p w14:paraId="030B20BA" w14:textId="77777777" w:rsidR="007A669A" w:rsidRPr="00245719" w:rsidRDefault="007A669A" w:rsidP="00A1600C">
            <w:pPr>
              <w:pStyle w:val="TableTextRight"/>
            </w:pPr>
            <w:r w:rsidRPr="00245719">
              <w:t>164,233</w:t>
            </w:r>
          </w:p>
        </w:tc>
        <w:tc>
          <w:tcPr>
            <w:tcW w:w="739" w:type="pct"/>
            <w:tcBorders>
              <w:top w:val="nil"/>
              <w:left w:val="nil"/>
              <w:bottom w:val="nil"/>
              <w:right w:val="nil"/>
            </w:tcBorders>
            <w:shd w:val="clear" w:color="auto" w:fill="F2F2F2" w:themeFill="background1" w:themeFillShade="F2"/>
            <w:noWrap/>
            <w:vAlign w:val="bottom"/>
            <w:hideMark/>
          </w:tcPr>
          <w:p w14:paraId="5CF32568" w14:textId="77777777" w:rsidR="007A669A" w:rsidRPr="00245719" w:rsidRDefault="007A669A" w:rsidP="00A1600C">
            <w:pPr>
              <w:pStyle w:val="TableTextRight"/>
            </w:pPr>
            <w:r w:rsidRPr="00245719">
              <w:t>348,506</w:t>
            </w:r>
          </w:p>
        </w:tc>
        <w:tc>
          <w:tcPr>
            <w:tcW w:w="739" w:type="pct"/>
            <w:tcBorders>
              <w:top w:val="nil"/>
              <w:left w:val="nil"/>
              <w:bottom w:val="nil"/>
              <w:right w:val="nil"/>
            </w:tcBorders>
            <w:shd w:val="clear" w:color="auto" w:fill="F2F2F2" w:themeFill="background1" w:themeFillShade="F2"/>
            <w:noWrap/>
            <w:vAlign w:val="bottom"/>
            <w:hideMark/>
          </w:tcPr>
          <w:p w14:paraId="76EEFC91" w14:textId="77777777" w:rsidR="007A669A" w:rsidRPr="00245719" w:rsidRDefault="007A669A" w:rsidP="00A1600C">
            <w:pPr>
              <w:pStyle w:val="TableTextRight"/>
            </w:pPr>
            <w:r w:rsidRPr="00245719">
              <w:t>412,413</w:t>
            </w:r>
          </w:p>
        </w:tc>
        <w:tc>
          <w:tcPr>
            <w:tcW w:w="739" w:type="pct"/>
            <w:tcBorders>
              <w:top w:val="nil"/>
              <w:left w:val="nil"/>
              <w:bottom w:val="nil"/>
              <w:right w:val="nil"/>
            </w:tcBorders>
            <w:shd w:val="clear" w:color="auto" w:fill="F2F2F2" w:themeFill="background1" w:themeFillShade="F2"/>
            <w:noWrap/>
            <w:vAlign w:val="bottom"/>
            <w:hideMark/>
          </w:tcPr>
          <w:p w14:paraId="495C4C33" w14:textId="77777777" w:rsidR="007A669A" w:rsidRPr="00245719" w:rsidRDefault="007A669A" w:rsidP="00A1600C">
            <w:pPr>
              <w:pStyle w:val="TableTextRight"/>
            </w:pPr>
            <w:r w:rsidRPr="00245719">
              <w:t>55,722</w:t>
            </w:r>
          </w:p>
        </w:tc>
        <w:tc>
          <w:tcPr>
            <w:tcW w:w="735" w:type="pct"/>
            <w:tcBorders>
              <w:top w:val="nil"/>
              <w:left w:val="nil"/>
              <w:bottom w:val="nil"/>
              <w:right w:val="nil"/>
            </w:tcBorders>
            <w:shd w:val="clear" w:color="auto" w:fill="F2F2F2" w:themeFill="background1" w:themeFillShade="F2"/>
            <w:noWrap/>
            <w:vAlign w:val="bottom"/>
            <w:hideMark/>
          </w:tcPr>
          <w:p w14:paraId="74E40E3A" w14:textId="77777777" w:rsidR="007A669A" w:rsidRPr="00245719" w:rsidRDefault="007A669A" w:rsidP="00A1600C">
            <w:pPr>
              <w:pStyle w:val="TableTextRight"/>
            </w:pPr>
            <w:r w:rsidRPr="00245719">
              <w:t>3,456,810</w:t>
            </w:r>
          </w:p>
        </w:tc>
      </w:tr>
      <w:tr w:rsidR="007A669A" w:rsidRPr="00245719" w14:paraId="434119CE" w14:textId="77777777" w:rsidTr="00C90461">
        <w:trPr>
          <w:trHeight w:val="255"/>
        </w:trPr>
        <w:tc>
          <w:tcPr>
            <w:tcW w:w="568" w:type="pct"/>
            <w:tcBorders>
              <w:top w:val="nil"/>
              <w:left w:val="nil"/>
              <w:bottom w:val="nil"/>
              <w:right w:val="nil"/>
            </w:tcBorders>
            <w:shd w:val="clear" w:color="000000" w:fill="FFFFFF"/>
            <w:noWrap/>
            <w:vAlign w:val="bottom"/>
            <w:hideMark/>
          </w:tcPr>
          <w:p w14:paraId="3DF7A464" w14:textId="74C475AD" w:rsidR="007A669A" w:rsidRPr="00245719" w:rsidRDefault="007A669A" w:rsidP="00A1600C">
            <w:pPr>
              <w:pStyle w:val="Tabletextcentred"/>
            </w:pPr>
            <w:r w:rsidRPr="008664C7">
              <w:t>200</w:t>
            </w:r>
            <w:r>
              <w:t>7-0</w:t>
            </w:r>
            <w:r w:rsidRPr="008664C7">
              <w:t>8</w:t>
            </w:r>
          </w:p>
        </w:tc>
        <w:tc>
          <w:tcPr>
            <w:tcW w:w="739" w:type="pct"/>
            <w:tcBorders>
              <w:top w:val="nil"/>
              <w:left w:val="nil"/>
              <w:bottom w:val="nil"/>
              <w:right w:val="nil"/>
            </w:tcBorders>
            <w:shd w:val="clear" w:color="000000" w:fill="FFFFFF"/>
            <w:noWrap/>
            <w:vAlign w:val="bottom"/>
            <w:hideMark/>
          </w:tcPr>
          <w:p w14:paraId="606A6EA9" w14:textId="77777777" w:rsidR="007A669A" w:rsidRPr="00245719" w:rsidRDefault="007A669A" w:rsidP="00A1600C">
            <w:pPr>
              <w:pStyle w:val="TableTextRight"/>
            </w:pPr>
            <w:r w:rsidRPr="00245719">
              <w:t>92,279</w:t>
            </w:r>
          </w:p>
        </w:tc>
        <w:tc>
          <w:tcPr>
            <w:tcW w:w="739" w:type="pct"/>
            <w:tcBorders>
              <w:top w:val="nil"/>
              <w:left w:val="nil"/>
              <w:bottom w:val="nil"/>
              <w:right w:val="nil"/>
            </w:tcBorders>
            <w:shd w:val="clear" w:color="000000" w:fill="FFFFFF"/>
            <w:noWrap/>
            <w:vAlign w:val="bottom"/>
            <w:hideMark/>
          </w:tcPr>
          <w:p w14:paraId="6E243D88" w14:textId="77777777" w:rsidR="007A669A" w:rsidRPr="00245719" w:rsidRDefault="007A669A" w:rsidP="00A1600C">
            <w:pPr>
              <w:pStyle w:val="TableTextRight"/>
            </w:pPr>
            <w:r w:rsidRPr="00245719">
              <w:t>167,870</w:t>
            </w:r>
          </w:p>
        </w:tc>
        <w:tc>
          <w:tcPr>
            <w:tcW w:w="739" w:type="pct"/>
            <w:tcBorders>
              <w:top w:val="nil"/>
              <w:left w:val="nil"/>
              <w:bottom w:val="nil"/>
              <w:right w:val="nil"/>
            </w:tcBorders>
            <w:shd w:val="clear" w:color="000000" w:fill="FFFFFF"/>
            <w:noWrap/>
            <w:vAlign w:val="bottom"/>
            <w:hideMark/>
          </w:tcPr>
          <w:p w14:paraId="7F597912" w14:textId="77777777" w:rsidR="007A669A" w:rsidRPr="00245719" w:rsidRDefault="007A669A" w:rsidP="00A1600C">
            <w:pPr>
              <w:pStyle w:val="TableTextRight"/>
            </w:pPr>
            <w:r w:rsidRPr="00245719">
              <w:t>367,007</w:t>
            </w:r>
          </w:p>
        </w:tc>
        <w:tc>
          <w:tcPr>
            <w:tcW w:w="739" w:type="pct"/>
            <w:tcBorders>
              <w:top w:val="nil"/>
              <w:left w:val="nil"/>
              <w:bottom w:val="nil"/>
              <w:right w:val="nil"/>
            </w:tcBorders>
            <w:shd w:val="clear" w:color="000000" w:fill="FFFFFF"/>
            <w:noWrap/>
            <w:vAlign w:val="bottom"/>
            <w:hideMark/>
          </w:tcPr>
          <w:p w14:paraId="2686B2AF" w14:textId="77777777" w:rsidR="007A669A" w:rsidRPr="00245719" w:rsidRDefault="007A669A" w:rsidP="00A1600C">
            <w:pPr>
              <w:pStyle w:val="TableTextRight"/>
            </w:pPr>
            <w:r w:rsidRPr="00245719">
              <w:t>453,577</w:t>
            </w:r>
          </w:p>
        </w:tc>
        <w:tc>
          <w:tcPr>
            <w:tcW w:w="739" w:type="pct"/>
            <w:tcBorders>
              <w:top w:val="nil"/>
              <w:left w:val="nil"/>
              <w:bottom w:val="nil"/>
              <w:right w:val="nil"/>
            </w:tcBorders>
            <w:shd w:val="clear" w:color="000000" w:fill="FFFFFF"/>
            <w:noWrap/>
            <w:vAlign w:val="bottom"/>
            <w:hideMark/>
          </w:tcPr>
          <w:p w14:paraId="1881A2E4" w14:textId="77777777" w:rsidR="007A669A" w:rsidRPr="00245719" w:rsidRDefault="007A669A" w:rsidP="00A1600C">
            <w:pPr>
              <w:pStyle w:val="TableTextRight"/>
            </w:pPr>
            <w:r w:rsidRPr="00245719">
              <w:t>45,419</w:t>
            </w:r>
          </w:p>
        </w:tc>
        <w:tc>
          <w:tcPr>
            <w:tcW w:w="735" w:type="pct"/>
            <w:tcBorders>
              <w:top w:val="nil"/>
              <w:left w:val="nil"/>
              <w:bottom w:val="nil"/>
              <w:right w:val="nil"/>
            </w:tcBorders>
            <w:shd w:val="clear" w:color="000000" w:fill="FFFFFF"/>
            <w:noWrap/>
            <w:vAlign w:val="bottom"/>
            <w:hideMark/>
          </w:tcPr>
          <w:p w14:paraId="4052CAF6" w14:textId="77777777" w:rsidR="007A669A" w:rsidRPr="00245719" w:rsidRDefault="007A669A" w:rsidP="00A1600C">
            <w:pPr>
              <w:pStyle w:val="TableTextRight"/>
            </w:pPr>
            <w:r w:rsidRPr="00245719">
              <w:t>4,683,080</w:t>
            </w:r>
          </w:p>
        </w:tc>
      </w:tr>
      <w:tr w:rsidR="007A669A" w:rsidRPr="00245719" w14:paraId="18948524"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3387D6E4" w14:textId="3F448576" w:rsidR="007A669A" w:rsidRPr="00245719" w:rsidRDefault="007A669A" w:rsidP="00A1600C">
            <w:pPr>
              <w:pStyle w:val="Tabletextcentred"/>
            </w:pPr>
            <w:r w:rsidRPr="008664C7">
              <w:t>200</w:t>
            </w:r>
            <w:r>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7D4BC79C" w14:textId="77777777" w:rsidR="007A669A" w:rsidRPr="00245719" w:rsidRDefault="007A669A" w:rsidP="00A1600C">
            <w:pPr>
              <w:pStyle w:val="TableTextRight"/>
            </w:pPr>
            <w:r w:rsidRPr="00245719">
              <w:t>94,414</w:t>
            </w:r>
          </w:p>
        </w:tc>
        <w:tc>
          <w:tcPr>
            <w:tcW w:w="739" w:type="pct"/>
            <w:tcBorders>
              <w:top w:val="nil"/>
              <w:left w:val="nil"/>
              <w:bottom w:val="nil"/>
              <w:right w:val="nil"/>
            </w:tcBorders>
            <w:shd w:val="clear" w:color="auto" w:fill="F2F2F2" w:themeFill="background1" w:themeFillShade="F2"/>
            <w:noWrap/>
            <w:vAlign w:val="bottom"/>
            <w:hideMark/>
          </w:tcPr>
          <w:p w14:paraId="5F35A341" w14:textId="77777777" w:rsidR="007A669A" w:rsidRPr="00245719" w:rsidRDefault="007A669A" w:rsidP="00A1600C">
            <w:pPr>
              <w:pStyle w:val="TableTextRight"/>
            </w:pPr>
            <w:r w:rsidRPr="00245719">
              <w:t>174,079</w:t>
            </w:r>
          </w:p>
        </w:tc>
        <w:tc>
          <w:tcPr>
            <w:tcW w:w="739" w:type="pct"/>
            <w:tcBorders>
              <w:top w:val="nil"/>
              <w:left w:val="nil"/>
              <w:bottom w:val="nil"/>
              <w:right w:val="nil"/>
            </w:tcBorders>
            <w:shd w:val="clear" w:color="auto" w:fill="F2F2F2" w:themeFill="background1" w:themeFillShade="F2"/>
            <w:noWrap/>
            <w:vAlign w:val="bottom"/>
            <w:hideMark/>
          </w:tcPr>
          <w:p w14:paraId="27C4F0EC" w14:textId="77777777" w:rsidR="007A669A" w:rsidRPr="00245719" w:rsidRDefault="007A669A" w:rsidP="00A1600C">
            <w:pPr>
              <w:pStyle w:val="TableTextRight"/>
            </w:pPr>
            <w:r w:rsidRPr="00245719">
              <w:t>373,233</w:t>
            </w:r>
          </w:p>
        </w:tc>
        <w:tc>
          <w:tcPr>
            <w:tcW w:w="739" w:type="pct"/>
            <w:tcBorders>
              <w:top w:val="nil"/>
              <w:left w:val="nil"/>
              <w:bottom w:val="nil"/>
              <w:right w:val="nil"/>
            </w:tcBorders>
            <w:shd w:val="clear" w:color="auto" w:fill="F2F2F2" w:themeFill="background1" w:themeFillShade="F2"/>
            <w:noWrap/>
            <w:vAlign w:val="bottom"/>
            <w:hideMark/>
          </w:tcPr>
          <w:p w14:paraId="495B4E53" w14:textId="77777777" w:rsidR="007A669A" w:rsidRPr="00245719" w:rsidRDefault="007A669A" w:rsidP="00A1600C">
            <w:pPr>
              <w:pStyle w:val="TableTextRight"/>
            </w:pPr>
            <w:r w:rsidRPr="00245719">
              <w:t>451,709</w:t>
            </w:r>
          </w:p>
        </w:tc>
        <w:tc>
          <w:tcPr>
            <w:tcW w:w="739" w:type="pct"/>
            <w:tcBorders>
              <w:top w:val="nil"/>
              <w:left w:val="nil"/>
              <w:bottom w:val="nil"/>
              <w:right w:val="nil"/>
            </w:tcBorders>
            <w:shd w:val="clear" w:color="auto" w:fill="F2F2F2" w:themeFill="background1" w:themeFillShade="F2"/>
            <w:noWrap/>
            <w:vAlign w:val="bottom"/>
            <w:hideMark/>
          </w:tcPr>
          <w:p w14:paraId="4ED88FA8" w14:textId="77777777" w:rsidR="007A669A" w:rsidRPr="00245719" w:rsidRDefault="007A669A" w:rsidP="00A1600C">
            <w:pPr>
              <w:pStyle w:val="TableTextRight"/>
            </w:pPr>
            <w:r w:rsidRPr="00245719">
              <w:t>56,434</w:t>
            </w:r>
          </w:p>
        </w:tc>
        <w:tc>
          <w:tcPr>
            <w:tcW w:w="735" w:type="pct"/>
            <w:tcBorders>
              <w:top w:val="nil"/>
              <w:left w:val="nil"/>
              <w:bottom w:val="nil"/>
              <w:right w:val="nil"/>
            </w:tcBorders>
            <w:shd w:val="clear" w:color="auto" w:fill="F2F2F2" w:themeFill="background1" w:themeFillShade="F2"/>
            <w:noWrap/>
            <w:vAlign w:val="bottom"/>
            <w:hideMark/>
          </w:tcPr>
          <w:p w14:paraId="650C0123" w14:textId="77777777" w:rsidR="007A669A" w:rsidRPr="00245719" w:rsidRDefault="007A669A" w:rsidP="00A1600C">
            <w:pPr>
              <w:pStyle w:val="TableTextRight"/>
            </w:pPr>
            <w:r w:rsidRPr="00245719">
              <w:t>4,582,787</w:t>
            </w:r>
          </w:p>
        </w:tc>
      </w:tr>
      <w:tr w:rsidR="007A669A" w:rsidRPr="00245719" w14:paraId="027418A1" w14:textId="77777777" w:rsidTr="00C90461">
        <w:trPr>
          <w:trHeight w:val="255"/>
        </w:trPr>
        <w:tc>
          <w:tcPr>
            <w:tcW w:w="568" w:type="pct"/>
            <w:tcBorders>
              <w:top w:val="nil"/>
              <w:left w:val="nil"/>
              <w:bottom w:val="nil"/>
              <w:right w:val="nil"/>
            </w:tcBorders>
            <w:shd w:val="clear" w:color="000000" w:fill="FFFFFF"/>
            <w:noWrap/>
            <w:vAlign w:val="bottom"/>
            <w:hideMark/>
          </w:tcPr>
          <w:p w14:paraId="14C47F5C" w14:textId="7A0B3654" w:rsidR="007A669A" w:rsidRPr="00245719" w:rsidRDefault="007A669A" w:rsidP="00A1600C">
            <w:pPr>
              <w:pStyle w:val="Tabletextcentred"/>
            </w:pPr>
            <w:r w:rsidRPr="008664C7">
              <w:t>20</w:t>
            </w:r>
            <w:r>
              <w:t>09-</w:t>
            </w:r>
            <w:r w:rsidRPr="008664C7">
              <w:t>10</w:t>
            </w:r>
          </w:p>
        </w:tc>
        <w:tc>
          <w:tcPr>
            <w:tcW w:w="739" w:type="pct"/>
            <w:tcBorders>
              <w:top w:val="nil"/>
              <w:left w:val="nil"/>
              <w:bottom w:val="nil"/>
              <w:right w:val="nil"/>
            </w:tcBorders>
            <w:shd w:val="clear" w:color="000000" w:fill="FFFFFF"/>
            <w:noWrap/>
            <w:vAlign w:val="bottom"/>
            <w:hideMark/>
          </w:tcPr>
          <w:p w14:paraId="5156B8A0" w14:textId="77777777" w:rsidR="007A669A" w:rsidRPr="00245719" w:rsidRDefault="007A669A" w:rsidP="00A1600C">
            <w:pPr>
              <w:pStyle w:val="TableTextRight"/>
            </w:pPr>
            <w:r w:rsidRPr="00245719">
              <w:t>92,187</w:t>
            </w:r>
          </w:p>
        </w:tc>
        <w:tc>
          <w:tcPr>
            <w:tcW w:w="739" w:type="pct"/>
            <w:tcBorders>
              <w:top w:val="nil"/>
              <w:left w:val="nil"/>
              <w:bottom w:val="nil"/>
              <w:right w:val="nil"/>
            </w:tcBorders>
            <w:shd w:val="clear" w:color="000000" w:fill="FFFFFF"/>
            <w:noWrap/>
            <w:vAlign w:val="bottom"/>
            <w:hideMark/>
          </w:tcPr>
          <w:p w14:paraId="06F5A18E" w14:textId="77777777" w:rsidR="007A669A" w:rsidRPr="00245719" w:rsidRDefault="007A669A" w:rsidP="00A1600C">
            <w:pPr>
              <w:pStyle w:val="TableTextRight"/>
            </w:pPr>
            <w:r w:rsidRPr="00245719">
              <w:t>168,662</w:t>
            </w:r>
          </w:p>
        </w:tc>
        <w:tc>
          <w:tcPr>
            <w:tcW w:w="739" w:type="pct"/>
            <w:tcBorders>
              <w:top w:val="nil"/>
              <w:left w:val="nil"/>
              <w:bottom w:val="nil"/>
              <w:right w:val="nil"/>
            </w:tcBorders>
            <w:shd w:val="clear" w:color="000000" w:fill="FFFFFF"/>
            <w:noWrap/>
            <w:vAlign w:val="bottom"/>
            <w:hideMark/>
          </w:tcPr>
          <w:p w14:paraId="18436662" w14:textId="77777777" w:rsidR="007A669A" w:rsidRPr="00245719" w:rsidRDefault="007A669A" w:rsidP="00A1600C">
            <w:pPr>
              <w:pStyle w:val="TableTextRight"/>
            </w:pPr>
            <w:r w:rsidRPr="00245719">
              <w:t>364,482</w:t>
            </w:r>
          </w:p>
        </w:tc>
        <w:tc>
          <w:tcPr>
            <w:tcW w:w="739" w:type="pct"/>
            <w:tcBorders>
              <w:top w:val="nil"/>
              <w:left w:val="nil"/>
              <w:bottom w:val="nil"/>
              <w:right w:val="nil"/>
            </w:tcBorders>
            <w:shd w:val="clear" w:color="000000" w:fill="FFFFFF"/>
            <w:noWrap/>
            <w:vAlign w:val="bottom"/>
            <w:hideMark/>
          </w:tcPr>
          <w:p w14:paraId="6CBB6E01" w14:textId="77777777" w:rsidR="007A669A" w:rsidRPr="00245719" w:rsidRDefault="007A669A" w:rsidP="00A1600C">
            <w:pPr>
              <w:pStyle w:val="TableTextRight"/>
            </w:pPr>
            <w:r w:rsidRPr="00245719">
              <w:t>436,478</w:t>
            </w:r>
          </w:p>
        </w:tc>
        <w:tc>
          <w:tcPr>
            <w:tcW w:w="739" w:type="pct"/>
            <w:tcBorders>
              <w:top w:val="nil"/>
              <w:left w:val="nil"/>
              <w:bottom w:val="nil"/>
              <w:right w:val="nil"/>
            </w:tcBorders>
            <w:shd w:val="clear" w:color="000000" w:fill="FFFFFF"/>
            <w:noWrap/>
            <w:vAlign w:val="bottom"/>
            <w:hideMark/>
          </w:tcPr>
          <w:p w14:paraId="6D78033D" w14:textId="77777777" w:rsidR="007A669A" w:rsidRPr="00245719" w:rsidRDefault="007A669A" w:rsidP="00A1600C">
            <w:pPr>
              <w:pStyle w:val="TableTextRight"/>
            </w:pPr>
            <w:r w:rsidRPr="00245719">
              <w:t>58,767</w:t>
            </w:r>
          </w:p>
        </w:tc>
        <w:tc>
          <w:tcPr>
            <w:tcW w:w="735" w:type="pct"/>
            <w:tcBorders>
              <w:top w:val="nil"/>
              <w:left w:val="nil"/>
              <w:bottom w:val="nil"/>
              <w:right w:val="nil"/>
            </w:tcBorders>
            <w:shd w:val="clear" w:color="000000" w:fill="FFFFFF"/>
            <w:noWrap/>
            <w:vAlign w:val="bottom"/>
            <w:hideMark/>
          </w:tcPr>
          <w:p w14:paraId="30212423" w14:textId="77777777" w:rsidR="007A669A" w:rsidRPr="00245719" w:rsidRDefault="007A669A" w:rsidP="00A1600C">
            <w:pPr>
              <w:pStyle w:val="TableTextRight"/>
            </w:pPr>
            <w:r w:rsidRPr="00245719">
              <w:t>4,299,503</w:t>
            </w:r>
          </w:p>
        </w:tc>
      </w:tr>
      <w:tr w:rsidR="007A669A" w:rsidRPr="00245719" w14:paraId="36CCE727"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3AE177A9" w14:textId="248B5B32" w:rsidR="007A669A" w:rsidRPr="00245719" w:rsidRDefault="007A669A" w:rsidP="00A1600C">
            <w:pPr>
              <w:pStyle w:val="Tabletextcentred"/>
            </w:pPr>
            <w:r w:rsidRPr="008664C7">
              <w:t>20</w:t>
            </w:r>
            <w:r>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76B85773" w14:textId="77777777" w:rsidR="007A669A" w:rsidRPr="00245719" w:rsidRDefault="007A669A" w:rsidP="00A1600C">
            <w:pPr>
              <w:pStyle w:val="TableTextRight"/>
            </w:pPr>
            <w:r w:rsidRPr="00245719">
              <w:t>93,462</w:t>
            </w:r>
          </w:p>
        </w:tc>
        <w:tc>
          <w:tcPr>
            <w:tcW w:w="739" w:type="pct"/>
            <w:tcBorders>
              <w:top w:val="nil"/>
              <w:left w:val="nil"/>
              <w:bottom w:val="nil"/>
              <w:right w:val="nil"/>
            </w:tcBorders>
            <w:shd w:val="clear" w:color="auto" w:fill="F2F2F2" w:themeFill="background1" w:themeFillShade="F2"/>
            <w:noWrap/>
            <w:vAlign w:val="bottom"/>
            <w:hideMark/>
          </w:tcPr>
          <w:p w14:paraId="18FFCB72" w14:textId="77777777" w:rsidR="007A669A" w:rsidRPr="00245719" w:rsidRDefault="007A669A" w:rsidP="00A1600C">
            <w:pPr>
              <w:pStyle w:val="TableTextRight"/>
            </w:pPr>
            <w:r w:rsidRPr="00245719">
              <w:t>173,087</w:t>
            </w:r>
          </w:p>
        </w:tc>
        <w:tc>
          <w:tcPr>
            <w:tcW w:w="739" w:type="pct"/>
            <w:tcBorders>
              <w:top w:val="nil"/>
              <w:left w:val="nil"/>
              <w:bottom w:val="nil"/>
              <w:right w:val="nil"/>
            </w:tcBorders>
            <w:shd w:val="clear" w:color="auto" w:fill="F2F2F2" w:themeFill="background1" w:themeFillShade="F2"/>
            <w:noWrap/>
            <w:vAlign w:val="bottom"/>
            <w:hideMark/>
          </w:tcPr>
          <w:p w14:paraId="282C80D9" w14:textId="77777777" w:rsidR="007A669A" w:rsidRPr="00245719" w:rsidRDefault="007A669A" w:rsidP="00A1600C">
            <w:pPr>
              <w:pStyle w:val="TableTextRight"/>
            </w:pPr>
            <w:r w:rsidRPr="00245719">
              <w:t>373,483</w:t>
            </w:r>
          </w:p>
        </w:tc>
        <w:tc>
          <w:tcPr>
            <w:tcW w:w="739" w:type="pct"/>
            <w:tcBorders>
              <w:top w:val="nil"/>
              <w:left w:val="nil"/>
              <w:bottom w:val="nil"/>
              <w:right w:val="nil"/>
            </w:tcBorders>
            <w:shd w:val="clear" w:color="auto" w:fill="F2F2F2" w:themeFill="background1" w:themeFillShade="F2"/>
            <w:noWrap/>
            <w:vAlign w:val="bottom"/>
            <w:hideMark/>
          </w:tcPr>
          <w:p w14:paraId="4E57D3A8" w14:textId="77777777" w:rsidR="007A669A" w:rsidRPr="00245719" w:rsidRDefault="007A669A" w:rsidP="00A1600C">
            <w:pPr>
              <w:pStyle w:val="TableTextRight"/>
            </w:pPr>
            <w:r w:rsidRPr="00245719">
              <w:t>470,778</w:t>
            </w:r>
          </w:p>
        </w:tc>
        <w:tc>
          <w:tcPr>
            <w:tcW w:w="739" w:type="pct"/>
            <w:tcBorders>
              <w:top w:val="nil"/>
              <w:left w:val="nil"/>
              <w:bottom w:val="nil"/>
              <w:right w:val="nil"/>
            </w:tcBorders>
            <w:shd w:val="clear" w:color="auto" w:fill="F2F2F2" w:themeFill="background1" w:themeFillShade="F2"/>
            <w:noWrap/>
            <w:vAlign w:val="bottom"/>
            <w:hideMark/>
          </w:tcPr>
          <w:p w14:paraId="1A5FB12B" w14:textId="77777777" w:rsidR="007A669A" w:rsidRPr="00245719" w:rsidRDefault="007A669A" w:rsidP="00A1600C">
            <w:pPr>
              <w:pStyle w:val="TableTextRight"/>
            </w:pPr>
            <w:r w:rsidRPr="00245719">
              <w:t>58,361</w:t>
            </w:r>
          </w:p>
        </w:tc>
        <w:tc>
          <w:tcPr>
            <w:tcW w:w="735" w:type="pct"/>
            <w:tcBorders>
              <w:top w:val="nil"/>
              <w:left w:val="nil"/>
              <w:bottom w:val="nil"/>
              <w:right w:val="nil"/>
            </w:tcBorders>
            <w:shd w:val="clear" w:color="auto" w:fill="F2F2F2" w:themeFill="background1" w:themeFillShade="F2"/>
            <w:noWrap/>
            <w:vAlign w:val="bottom"/>
            <w:hideMark/>
          </w:tcPr>
          <w:p w14:paraId="641C8FFE" w14:textId="77777777" w:rsidR="007A669A" w:rsidRPr="00245719" w:rsidRDefault="007A669A" w:rsidP="00A1600C">
            <w:pPr>
              <w:pStyle w:val="TableTextRight"/>
            </w:pPr>
            <w:r w:rsidRPr="00245719">
              <w:t>5,214,095</w:t>
            </w:r>
          </w:p>
        </w:tc>
      </w:tr>
      <w:tr w:rsidR="007A669A" w:rsidRPr="00245719" w14:paraId="2A8DD77B" w14:textId="77777777" w:rsidTr="00C90461">
        <w:trPr>
          <w:trHeight w:val="255"/>
        </w:trPr>
        <w:tc>
          <w:tcPr>
            <w:tcW w:w="568" w:type="pct"/>
            <w:tcBorders>
              <w:top w:val="nil"/>
              <w:left w:val="nil"/>
              <w:bottom w:val="nil"/>
              <w:right w:val="nil"/>
            </w:tcBorders>
            <w:shd w:val="clear" w:color="000000" w:fill="FFFFFF"/>
            <w:noWrap/>
            <w:vAlign w:val="bottom"/>
            <w:hideMark/>
          </w:tcPr>
          <w:p w14:paraId="6DCCA1E0" w14:textId="6EAA4814" w:rsidR="007A669A" w:rsidRPr="00245719" w:rsidRDefault="007A669A" w:rsidP="00A1600C">
            <w:pPr>
              <w:pStyle w:val="Tabletextcentred"/>
            </w:pPr>
            <w:r w:rsidRPr="008664C7">
              <w:t>20</w:t>
            </w:r>
            <w:r>
              <w:t>11-</w:t>
            </w:r>
            <w:r w:rsidRPr="008664C7">
              <w:t>12</w:t>
            </w:r>
          </w:p>
        </w:tc>
        <w:tc>
          <w:tcPr>
            <w:tcW w:w="739" w:type="pct"/>
            <w:tcBorders>
              <w:top w:val="nil"/>
              <w:left w:val="nil"/>
              <w:bottom w:val="nil"/>
              <w:right w:val="nil"/>
            </w:tcBorders>
            <w:shd w:val="clear" w:color="000000" w:fill="FFFFFF"/>
            <w:noWrap/>
            <w:vAlign w:val="bottom"/>
            <w:hideMark/>
          </w:tcPr>
          <w:p w14:paraId="5E6AFEFE" w14:textId="77777777" w:rsidR="007A669A" w:rsidRPr="00245719" w:rsidRDefault="007A669A" w:rsidP="00A1600C">
            <w:pPr>
              <w:pStyle w:val="TableTextRight"/>
            </w:pPr>
            <w:r w:rsidRPr="00245719">
              <w:t>95,200</w:t>
            </w:r>
          </w:p>
        </w:tc>
        <w:tc>
          <w:tcPr>
            <w:tcW w:w="739" w:type="pct"/>
            <w:tcBorders>
              <w:top w:val="nil"/>
              <w:left w:val="nil"/>
              <w:bottom w:val="nil"/>
              <w:right w:val="nil"/>
            </w:tcBorders>
            <w:shd w:val="clear" w:color="000000" w:fill="FFFFFF"/>
            <w:noWrap/>
            <w:vAlign w:val="bottom"/>
            <w:hideMark/>
          </w:tcPr>
          <w:p w14:paraId="49C53069" w14:textId="77777777" w:rsidR="007A669A" w:rsidRPr="00245719" w:rsidRDefault="007A669A" w:rsidP="00A1600C">
            <w:pPr>
              <w:pStyle w:val="TableTextRight"/>
            </w:pPr>
            <w:r w:rsidRPr="00245719">
              <w:t>176,947</w:t>
            </w:r>
          </w:p>
        </w:tc>
        <w:tc>
          <w:tcPr>
            <w:tcW w:w="739" w:type="pct"/>
            <w:tcBorders>
              <w:top w:val="nil"/>
              <w:left w:val="nil"/>
              <w:bottom w:val="nil"/>
              <w:right w:val="nil"/>
            </w:tcBorders>
            <w:shd w:val="clear" w:color="000000" w:fill="FFFFFF"/>
            <w:noWrap/>
            <w:vAlign w:val="bottom"/>
            <w:hideMark/>
          </w:tcPr>
          <w:p w14:paraId="2CDF19B1" w14:textId="77777777" w:rsidR="007A669A" w:rsidRPr="00245719" w:rsidRDefault="007A669A" w:rsidP="00A1600C">
            <w:pPr>
              <w:pStyle w:val="TableTextRight"/>
            </w:pPr>
            <w:r w:rsidRPr="00245719">
              <w:t>384,395</w:t>
            </w:r>
          </w:p>
        </w:tc>
        <w:tc>
          <w:tcPr>
            <w:tcW w:w="739" w:type="pct"/>
            <w:tcBorders>
              <w:top w:val="nil"/>
              <w:left w:val="nil"/>
              <w:bottom w:val="nil"/>
              <w:right w:val="nil"/>
            </w:tcBorders>
            <w:shd w:val="clear" w:color="000000" w:fill="FFFFFF"/>
            <w:noWrap/>
            <w:vAlign w:val="bottom"/>
            <w:hideMark/>
          </w:tcPr>
          <w:p w14:paraId="05E96436" w14:textId="77777777" w:rsidR="007A669A" w:rsidRPr="00245719" w:rsidRDefault="007A669A" w:rsidP="00A1600C">
            <w:pPr>
              <w:pStyle w:val="TableTextRight"/>
            </w:pPr>
            <w:r w:rsidRPr="00245719">
              <w:t>507,735</w:t>
            </w:r>
          </w:p>
        </w:tc>
        <w:tc>
          <w:tcPr>
            <w:tcW w:w="739" w:type="pct"/>
            <w:tcBorders>
              <w:top w:val="nil"/>
              <w:left w:val="nil"/>
              <w:bottom w:val="nil"/>
              <w:right w:val="nil"/>
            </w:tcBorders>
            <w:shd w:val="clear" w:color="000000" w:fill="FFFFFF"/>
            <w:noWrap/>
            <w:vAlign w:val="bottom"/>
            <w:hideMark/>
          </w:tcPr>
          <w:p w14:paraId="65B614FA" w14:textId="77777777" w:rsidR="007A669A" w:rsidRPr="00245719" w:rsidRDefault="007A669A" w:rsidP="00A1600C">
            <w:pPr>
              <w:pStyle w:val="TableTextRight"/>
            </w:pPr>
            <w:r w:rsidRPr="00245719">
              <w:t>59,839</w:t>
            </w:r>
          </w:p>
        </w:tc>
        <w:tc>
          <w:tcPr>
            <w:tcW w:w="735" w:type="pct"/>
            <w:tcBorders>
              <w:top w:val="nil"/>
              <w:left w:val="nil"/>
              <w:bottom w:val="nil"/>
              <w:right w:val="nil"/>
            </w:tcBorders>
            <w:shd w:val="clear" w:color="000000" w:fill="FFFFFF"/>
            <w:noWrap/>
            <w:vAlign w:val="bottom"/>
            <w:hideMark/>
          </w:tcPr>
          <w:p w14:paraId="154F9EDA" w14:textId="77777777" w:rsidR="007A669A" w:rsidRPr="00245719" w:rsidRDefault="007A669A" w:rsidP="00A1600C">
            <w:pPr>
              <w:pStyle w:val="TableTextRight"/>
            </w:pPr>
            <w:r w:rsidRPr="00245719">
              <w:t>6,128,413</w:t>
            </w:r>
          </w:p>
        </w:tc>
      </w:tr>
      <w:tr w:rsidR="007A669A" w:rsidRPr="00245719" w14:paraId="544C4DBE" w14:textId="77777777" w:rsidTr="00E80550">
        <w:trPr>
          <w:trHeight w:val="255"/>
        </w:trPr>
        <w:tc>
          <w:tcPr>
            <w:tcW w:w="568" w:type="pct"/>
            <w:tcBorders>
              <w:top w:val="nil"/>
              <w:left w:val="nil"/>
              <w:bottom w:val="nil"/>
              <w:right w:val="nil"/>
            </w:tcBorders>
            <w:shd w:val="clear" w:color="auto" w:fill="F2F2F2" w:themeFill="background1" w:themeFillShade="F2"/>
            <w:noWrap/>
            <w:vAlign w:val="bottom"/>
            <w:hideMark/>
          </w:tcPr>
          <w:p w14:paraId="1E904BB3" w14:textId="1DE8CEB7" w:rsidR="007A669A" w:rsidRPr="00245719" w:rsidRDefault="007A669A" w:rsidP="00A1600C">
            <w:pPr>
              <w:pStyle w:val="Tabletextcentred"/>
            </w:pPr>
            <w:r w:rsidRPr="008664C7">
              <w:t>20</w:t>
            </w:r>
            <w:r>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20B4C67B" w14:textId="77777777" w:rsidR="007A669A" w:rsidRPr="00245719" w:rsidRDefault="007A669A" w:rsidP="00A1600C">
            <w:pPr>
              <w:pStyle w:val="TableTextRight"/>
            </w:pPr>
            <w:r w:rsidRPr="00245719">
              <w:t>95,171</w:t>
            </w:r>
          </w:p>
        </w:tc>
        <w:tc>
          <w:tcPr>
            <w:tcW w:w="739" w:type="pct"/>
            <w:tcBorders>
              <w:top w:val="nil"/>
              <w:left w:val="nil"/>
              <w:bottom w:val="nil"/>
              <w:right w:val="nil"/>
            </w:tcBorders>
            <w:shd w:val="clear" w:color="auto" w:fill="F2F2F2" w:themeFill="background1" w:themeFillShade="F2"/>
            <w:noWrap/>
            <w:vAlign w:val="bottom"/>
            <w:hideMark/>
          </w:tcPr>
          <w:p w14:paraId="522F15DA" w14:textId="77777777" w:rsidR="007A669A" w:rsidRPr="00245719" w:rsidRDefault="007A669A" w:rsidP="00A1600C">
            <w:pPr>
              <w:pStyle w:val="TableTextRight"/>
            </w:pPr>
            <w:r w:rsidRPr="00245719">
              <w:t>178,842</w:t>
            </w:r>
          </w:p>
        </w:tc>
        <w:tc>
          <w:tcPr>
            <w:tcW w:w="739" w:type="pct"/>
            <w:tcBorders>
              <w:top w:val="nil"/>
              <w:left w:val="nil"/>
              <w:bottom w:val="nil"/>
              <w:right w:val="nil"/>
            </w:tcBorders>
            <w:shd w:val="clear" w:color="auto" w:fill="F2F2F2" w:themeFill="background1" w:themeFillShade="F2"/>
            <w:noWrap/>
            <w:vAlign w:val="bottom"/>
            <w:hideMark/>
          </w:tcPr>
          <w:p w14:paraId="73663CBC" w14:textId="77777777" w:rsidR="007A669A" w:rsidRPr="00245719" w:rsidRDefault="007A669A" w:rsidP="00A1600C">
            <w:pPr>
              <w:pStyle w:val="TableTextRight"/>
            </w:pPr>
            <w:r w:rsidRPr="00245719">
              <w:t>389,151</w:t>
            </w:r>
          </w:p>
        </w:tc>
        <w:tc>
          <w:tcPr>
            <w:tcW w:w="739" w:type="pct"/>
            <w:tcBorders>
              <w:top w:val="nil"/>
              <w:left w:val="nil"/>
              <w:bottom w:val="nil"/>
              <w:right w:val="nil"/>
            </w:tcBorders>
            <w:shd w:val="clear" w:color="auto" w:fill="F2F2F2" w:themeFill="background1" w:themeFillShade="F2"/>
            <w:noWrap/>
            <w:vAlign w:val="bottom"/>
            <w:hideMark/>
          </w:tcPr>
          <w:p w14:paraId="3434F1C2" w14:textId="77777777" w:rsidR="007A669A" w:rsidRPr="00245719" w:rsidRDefault="007A669A" w:rsidP="00A1600C">
            <w:pPr>
              <w:pStyle w:val="TableTextRight"/>
            </w:pPr>
            <w:r w:rsidRPr="00245719">
              <w:t>517,000</w:t>
            </w:r>
          </w:p>
        </w:tc>
        <w:tc>
          <w:tcPr>
            <w:tcW w:w="739" w:type="pct"/>
            <w:tcBorders>
              <w:top w:val="nil"/>
              <w:left w:val="nil"/>
              <w:bottom w:val="nil"/>
              <w:right w:val="nil"/>
            </w:tcBorders>
            <w:shd w:val="clear" w:color="auto" w:fill="F2F2F2" w:themeFill="background1" w:themeFillShade="F2"/>
            <w:noWrap/>
            <w:vAlign w:val="bottom"/>
            <w:hideMark/>
          </w:tcPr>
          <w:p w14:paraId="6E2B63E2" w14:textId="77777777" w:rsidR="007A669A" w:rsidRPr="00245719" w:rsidRDefault="007A669A" w:rsidP="00A1600C">
            <w:pPr>
              <w:pStyle w:val="TableTextRight"/>
            </w:pPr>
            <w:r w:rsidRPr="00245719">
              <w:t>57,871</w:t>
            </w:r>
          </w:p>
        </w:tc>
        <w:tc>
          <w:tcPr>
            <w:tcW w:w="735" w:type="pct"/>
            <w:tcBorders>
              <w:top w:val="nil"/>
              <w:left w:val="nil"/>
              <w:bottom w:val="nil"/>
              <w:right w:val="nil"/>
            </w:tcBorders>
            <w:shd w:val="clear" w:color="auto" w:fill="F2F2F2" w:themeFill="background1" w:themeFillShade="F2"/>
            <w:noWrap/>
            <w:vAlign w:val="bottom"/>
            <w:hideMark/>
          </w:tcPr>
          <w:p w14:paraId="11A3CF17" w14:textId="77777777" w:rsidR="007A669A" w:rsidRPr="00245719" w:rsidRDefault="007A669A" w:rsidP="00A1600C">
            <w:pPr>
              <w:pStyle w:val="TableTextRight"/>
            </w:pPr>
            <w:r w:rsidRPr="00245719">
              <w:t>5,115,059</w:t>
            </w:r>
          </w:p>
        </w:tc>
      </w:tr>
      <w:tr w:rsidR="007A669A" w:rsidRPr="00245719" w14:paraId="77A6D081" w14:textId="77777777" w:rsidTr="00C90461">
        <w:trPr>
          <w:trHeight w:val="255"/>
        </w:trPr>
        <w:tc>
          <w:tcPr>
            <w:tcW w:w="568" w:type="pct"/>
            <w:tcBorders>
              <w:top w:val="nil"/>
              <w:left w:val="nil"/>
              <w:bottom w:val="nil"/>
              <w:right w:val="nil"/>
            </w:tcBorders>
            <w:shd w:val="clear" w:color="000000" w:fill="FFFFFF"/>
            <w:noWrap/>
            <w:vAlign w:val="bottom"/>
            <w:hideMark/>
          </w:tcPr>
          <w:p w14:paraId="0E4F4832" w14:textId="7C77DB93" w:rsidR="007A669A" w:rsidRPr="00245719" w:rsidRDefault="007A669A" w:rsidP="00A1600C">
            <w:pPr>
              <w:pStyle w:val="Tabletextcentred"/>
            </w:pPr>
            <w:r w:rsidRPr="008664C7">
              <w:t>20</w:t>
            </w:r>
            <w:r>
              <w:t>13-</w:t>
            </w:r>
            <w:r w:rsidRPr="008664C7">
              <w:t>14</w:t>
            </w:r>
          </w:p>
        </w:tc>
        <w:tc>
          <w:tcPr>
            <w:tcW w:w="739" w:type="pct"/>
            <w:tcBorders>
              <w:top w:val="nil"/>
              <w:left w:val="nil"/>
              <w:bottom w:val="nil"/>
              <w:right w:val="nil"/>
            </w:tcBorders>
            <w:shd w:val="clear" w:color="000000" w:fill="FFFFFF"/>
            <w:noWrap/>
            <w:vAlign w:val="bottom"/>
            <w:hideMark/>
          </w:tcPr>
          <w:p w14:paraId="1291554C" w14:textId="77777777" w:rsidR="007A669A" w:rsidRPr="00245719" w:rsidRDefault="007A669A" w:rsidP="00A1600C">
            <w:pPr>
              <w:pStyle w:val="TableTextRight"/>
            </w:pPr>
            <w:r w:rsidRPr="00245719">
              <w:t>96,597</w:t>
            </w:r>
          </w:p>
        </w:tc>
        <w:tc>
          <w:tcPr>
            <w:tcW w:w="739" w:type="pct"/>
            <w:tcBorders>
              <w:top w:val="nil"/>
              <w:left w:val="nil"/>
              <w:bottom w:val="nil"/>
              <w:right w:val="nil"/>
            </w:tcBorders>
            <w:shd w:val="clear" w:color="000000" w:fill="FFFFFF"/>
            <w:noWrap/>
            <w:vAlign w:val="bottom"/>
            <w:hideMark/>
          </w:tcPr>
          <w:p w14:paraId="6C8201C0" w14:textId="77777777" w:rsidR="007A669A" w:rsidRPr="00245719" w:rsidRDefault="007A669A" w:rsidP="00A1600C">
            <w:pPr>
              <w:pStyle w:val="TableTextRight"/>
            </w:pPr>
            <w:r w:rsidRPr="00245719">
              <w:t>181,628</w:t>
            </w:r>
          </w:p>
        </w:tc>
        <w:tc>
          <w:tcPr>
            <w:tcW w:w="739" w:type="pct"/>
            <w:tcBorders>
              <w:top w:val="nil"/>
              <w:left w:val="nil"/>
              <w:bottom w:val="nil"/>
              <w:right w:val="nil"/>
            </w:tcBorders>
            <w:shd w:val="clear" w:color="000000" w:fill="FFFFFF"/>
            <w:noWrap/>
            <w:vAlign w:val="bottom"/>
            <w:hideMark/>
          </w:tcPr>
          <w:p w14:paraId="528A04FB" w14:textId="77777777" w:rsidR="007A669A" w:rsidRPr="00245719" w:rsidRDefault="007A669A" w:rsidP="00A1600C">
            <w:pPr>
              <w:pStyle w:val="TableTextRight"/>
            </w:pPr>
            <w:r w:rsidRPr="00245719">
              <w:t>400,197</w:t>
            </w:r>
          </w:p>
        </w:tc>
        <w:tc>
          <w:tcPr>
            <w:tcW w:w="739" w:type="pct"/>
            <w:tcBorders>
              <w:top w:val="nil"/>
              <w:left w:val="nil"/>
              <w:bottom w:val="nil"/>
              <w:right w:val="nil"/>
            </w:tcBorders>
            <w:shd w:val="clear" w:color="000000" w:fill="FFFFFF"/>
            <w:noWrap/>
            <w:vAlign w:val="bottom"/>
            <w:hideMark/>
          </w:tcPr>
          <w:p w14:paraId="13EDF01F" w14:textId="77777777" w:rsidR="007A669A" w:rsidRPr="00245719" w:rsidRDefault="007A669A" w:rsidP="00A1600C">
            <w:pPr>
              <w:pStyle w:val="TableTextRight"/>
            </w:pPr>
            <w:r w:rsidRPr="00245719">
              <w:t>531,212</w:t>
            </w:r>
          </w:p>
        </w:tc>
        <w:tc>
          <w:tcPr>
            <w:tcW w:w="739" w:type="pct"/>
            <w:tcBorders>
              <w:top w:val="nil"/>
              <w:left w:val="nil"/>
              <w:bottom w:val="nil"/>
              <w:right w:val="nil"/>
            </w:tcBorders>
            <w:shd w:val="clear" w:color="000000" w:fill="FFFFFF"/>
            <w:noWrap/>
            <w:vAlign w:val="bottom"/>
            <w:hideMark/>
          </w:tcPr>
          <w:p w14:paraId="2A218E0F" w14:textId="77777777" w:rsidR="007A669A" w:rsidRPr="00245719" w:rsidRDefault="007A669A" w:rsidP="00A1600C">
            <w:pPr>
              <w:pStyle w:val="TableTextRight"/>
            </w:pPr>
            <w:r w:rsidRPr="00245719">
              <w:t>54,557</w:t>
            </w:r>
          </w:p>
        </w:tc>
        <w:tc>
          <w:tcPr>
            <w:tcW w:w="735" w:type="pct"/>
            <w:tcBorders>
              <w:top w:val="nil"/>
              <w:left w:val="nil"/>
              <w:bottom w:val="nil"/>
              <w:right w:val="nil"/>
            </w:tcBorders>
            <w:shd w:val="clear" w:color="000000" w:fill="FFFFFF"/>
            <w:noWrap/>
            <w:vAlign w:val="bottom"/>
            <w:hideMark/>
          </w:tcPr>
          <w:p w14:paraId="6453A326" w14:textId="77777777" w:rsidR="007A669A" w:rsidRPr="00245719" w:rsidRDefault="007A669A" w:rsidP="00A1600C">
            <w:pPr>
              <w:pStyle w:val="TableTextRight"/>
            </w:pPr>
            <w:r w:rsidRPr="00245719">
              <w:t>5,842,520</w:t>
            </w:r>
          </w:p>
        </w:tc>
      </w:tr>
      <w:tr w:rsidR="007A669A" w:rsidRPr="00245719" w14:paraId="06CF804C" w14:textId="77777777" w:rsidTr="00E80550">
        <w:trPr>
          <w:trHeight w:val="255"/>
        </w:trPr>
        <w:tc>
          <w:tcPr>
            <w:tcW w:w="568" w:type="pct"/>
            <w:tcBorders>
              <w:top w:val="nil"/>
              <w:left w:val="nil"/>
              <w:bottom w:val="single" w:sz="4" w:space="0" w:color="auto"/>
              <w:right w:val="nil"/>
            </w:tcBorders>
            <w:shd w:val="clear" w:color="auto" w:fill="F2F2F2" w:themeFill="background1" w:themeFillShade="F2"/>
            <w:noWrap/>
            <w:vAlign w:val="bottom"/>
            <w:hideMark/>
          </w:tcPr>
          <w:p w14:paraId="5599CDB0" w14:textId="474C977D" w:rsidR="007A669A" w:rsidRPr="00245719" w:rsidRDefault="007A669A" w:rsidP="00A1600C">
            <w:pPr>
              <w:pStyle w:val="Tabletextcentred"/>
            </w:pPr>
            <w:r w:rsidRPr="008664C7">
              <w:t>20</w:t>
            </w:r>
            <w:r>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874B747" w14:textId="77777777" w:rsidR="007A669A" w:rsidRPr="00245719" w:rsidRDefault="007A669A" w:rsidP="00A1600C">
            <w:pPr>
              <w:pStyle w:val="TableTextRight"/>
            </w:pPr>
            <w:r w:rsidRPr="00245719">
              <w:t>97,882</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0A7C636" w14:textId="77777777" w:rsidR="007A669A" w:rsidRPr="00245719" w:rsidRDefault="007A669A" w:rsidP="00A1600C">
            <w:pPr>
              <w:pStyle w:val="TableTextRight"/>
            </w:pPr>
            <w:r w:rsidRPr="00245719">
              <w:t>183,827</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3F6BA78F" w14:textId="77777777" w:rsidR="007A669A" w:rsidRPr="00245719" w:rsidRDefault="007A669A" w:rsidP="00A1600C">
            <w:pPr>
              <w:pStyle w:val="TableTextRight"/>
            </w:pPr>
            <w:r w:rsidRPr="00245719">
              <w:t>408,919</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2007FDA8" w14:textId="77777777" w:rsidR="007A669A" w:rsidRPr="00245719" w:rsidRDefault="007A669A" w:rsidP="00A1600C">
            <w:pPr>
              <w:pStyle w:val="TableTextRight"/>
            </w:pPr>
            <w:r w:rsidRPr="00245719">
              <w:t>535,946</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6D9AD9C4" w14:textId="77777777" w:rsidR="007A669A" w:rsidRPr="00245719" w:rsidRDefault="007A669A" w:rsidP="00A1600C">
            <w:pPr>
              <w:pStyle w:val="TableTextRight"/>
            </w:pPr>
            <w:r w:rsidRPr="00245719">
              <w:t>57,647</w:t>
            </w:r>
          </w:p>
        </w:tc>
        <w:tc>
          <w:tcPr>
            <w:tcW w:w="735" w:type="pct"/>
            <w:tcBorders>
              <w:top w:val="nil"/>
              <w:left w:val="nil"/>
              <w:bottom w:val="single" w:sz="4" w:space="0" w:color="auto"/>
              <w:right w:val="nil"/>
            </w:tcBorders>
            <w:shd w:val="clear" w:color="auto" w:fill="F2F2F2" w:themeFill="background1" w:themeFillShade="F2"/>
            <w:noWrap/>
            <w:vAlign w:val="bottom"/>
            <w:hideMark/>
          </w:tcPr>
          <w:p w14:paraId="68A115D5" w14:textId="77777777" w:rsidR="007A669A" w:rsidRPr="00245719" w:rsidRDefault="007A669A" w:rsidP="00A1600C">
            <w:pPr>
              <w:pStyle w:val="TableTextRight"/>
            </w:pPr>
            <w:r w:rsidRPr="00245719">
              <w:t>5,529,760</w:t>
            </w:r>
          </w:p>
        </w:tc>
      </w:tr>
    </w:tbl>
    <w:p w14:paraId="61799702" w14:textId="5AACB36D" w:rsidR="00877FE2" w:rsidRPr="00E80550" w:rsidRDefault="00877FE2" w:rsidP="00E80550">
      <w:pPr>
        <w:pStyle w:val="ChartorTableNote"/>
        <w:spacing w:after="0"/>
      </w:pPr>
      <w:r w:rsidRPr="00E80550">
        <w:t>Source: BLADE.</w:t>
      </w:r>
    </w:p>
    <w:p w14:paraId="3E8EE198" w14:textId="77777777" w:rsidR="00E80550" w:rsidRPr="00E80550" w:rsidRDefault="00E80550" w:rsidP="00E80550">
      <w:pPr>
        <w:pStyle w:val="SingleParagraph"/>
        <w:rPr>
          <w:lang w:eastAsia="en-AU"/>
        </w:rPr>
      </w:pPr>
    </w:p>
    <w:p w14:paraId="09633A6D" w14:textId="1E8F7F7C" w:rsidR="0002527D" w:rsidRDefault="0002527D" w:rsidP="00F12EE0">
      <w:pPr>
        <w:pStyle w:val="TableMainHeading"/>
        <w:spacing w:before="240"/>
      </w:pPr>
      <w:r>
        <w:t>Table B4</w:t>
      </w:r>
      <w:r w:rsidRPr="00245719">
        <w:t xml:space="preserve">: </w:t>
      </w:r>
      <w:r>
        <w:t>South Australia</w:t>
      </w:r>
    </w:p>
    <w:tbl>
      <w:tblPr>
        <w:tblW w:w="4976" w:type="pct"/>
        <w:tblLook w:val="04A0" w:firstRow="1" w:lastRow="0" w:firstColumn="1" w:lastColumn="0" w:noHBand="0" w:noVBand="1"/>
      </w:tblPr>
      <w:tblGrid>
        <w:gridCol w:w="1078"/>
        <w:gridCol w:w="1400"/>
        <w:gridCol w:w="1400"/>
        <w:gridCol w:w="1400"/>
        <w:gridCol w:w="1399"/>
        <w:gridCol w:w="1399"/>
        <w:gridCol w:w="1392"/>
      </w:tblGrid>
      <w:tr w:rsidR="00C90461" w:rsidRPr="005C7317" w14:paraId="08B37D42" w14:textId="77777777" w:rsidTr="00E80550">
        <w:trPr>
          <w:trHeight w:val="255"/>
        </w:trPr>
        <w:tc>
          <w:tcPr>
            <w:tcW w:w="569" w:type="pct"/>
            <w:tcBorders>
              <w:top w:val="single" w:sz="4" w:space="0" w:color="auto"/>
              <w:left w:val="nil"/>
              <w:bottom w:val="single" w:sz="4" w:space="0" w:color="auto"/>
              <w:right w:val="nil"/>
            </w:tcBorders>
            <w:shd w:val="clear" w:color="auto" w:fill="C6D9F1" w:themeFill="text2" w:themeFillTint="33"/>
            <w:noWrap/>
            <w:vAlign w:val="bottom"/>
            <w:hideMark/>
          </w:tcPr>
          <w:p w14:paraId="78B1EA2A" w14:textId="77777777" w:rsidR="00877FE2" w:rsidRPr="005C7317" w:rsidRDefault="00877FE2" w:rsidP="00C90461">
            <w:pPr>
              <w:pStyle w:val="TableColumnHeadingCentred"/>
            </w:pPr>
            <w:r w:rsidRPr="005C7317">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5C714B23" w14:textId="4DBBC360" w:rsidR="00877FE2" w:rsidRPr="005C7317" w:rsidRDefault="00877FE2" w:rsidP="00C90461">
            <w:pPr>
              <w:pStyle w:val="TableColumnHeadingRight"/>
            </w:pPr>
            <w:r w:rsidRPr="005C7317">
              <w:t>25</w:t>
            </w:r>
            <w:r w:rsidRPr="00C90461">
              <w:rPr>
                <w:vertAlign w:val="superscript"/>
              </w:rPr>
              <w:t>th</w:t>
            </w:r>
            <w:r w:rsidR="00C90461">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015C5D8D" w14:textId="225290EC" w:rsidR="00877FE2" w:rsidRPr="005C7317" w:rsidRDefault="00C90461" w:rsidP="00C90461">
            <w:pPr>
              <w:pStyle w:val="TableColumnHeadingRight"/>
            </w:pPr>
            <w:r>
              <w:t>M</w:t>
            </w:r>
            <w:r w:rsidR="00877FE2" w:rsidRPr="005C7317">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F7DA9E9" w14:textId="799813B8" w:rsidR="00877FE2" w:rsidRPr="005C7317" w:rsidRDefault="00877FE2" w:rsidP="00C90461">
            <w:pPr>
              <w:pStyle w:val="TableColumnHeadingRight"/>
            </w:pPr>
            <w:r w:rsidRPr="005C7317">
              <w:t>75</w:t>
            </w:r>
            <w:r w:rsidRPr="00C90461">
              <w:rPr>
                <w:vertAlign w:val="superscript"/>
              </w:rPr>
              <w:t>th</w:t>
            </w:r>
            <w:r w:rsidR="00C90461">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22EC389F" w14:textId="69F7D0EF" w:rsidR="00877FE2" w:rsidRPr="005C7317" w:rsidRDefault="00C90461" w:rsidP="00C90461">
            <w:pPr>
              <w:pStyle w:val="TableColumnHeadingRight"/>
            </w:pPr>
            <w:r>
              <w:t>M</w:t>
            </w:r>
            <w:r w:rsidR="00877FE2" w:rsidRPr="005C7317">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5B44FD0F" w14:textId="1173CC6B" w:rsidR="00877FE2" w:rsidRPr="005C7317" w:rsidRDefault="00877FE2" w:rsidP="00C90461">
            <w:pPr>
              <w:pStyle w:val="TableColumnHeadingRight"/>
            </w:pPr>
            <w:r>
              <w:t>T</w:t>
            </w:r>
            <w:r w:rsidRPr="005C7317">
              <w:t>otal no.</w:t>
            </w:r>
            <w:r w:rsidR="00C90461">
              <w:br/>
            </w:r>
            <w:r w:rsidRPr="005C7317">
              <w:t>of firms</w:t>
            </w:r>
          </w:p>
        </w:tc>
        <w:tc>
          <w:tcPr>
            <w:tcW w:w="735" w:type="pct"/>
            <w:tcBorders>
              <w:top w:val="single" w:sz="4" w:space="0" w:color="auto"/>
              <w:left w:val="nil"/>
              <w:bottom w:val="single" w:sz="4" w:space="0" w:color="auto"/>
              <w:right w:val="nil"/>
            </w:tcBorders>
            <w:shd w:val="clear" w:color="auto" w:fill="C6D9F1" w:themeFill="text2" w:themeFillTint="33"/>
            <w:noWrap/>
            <w:vAlign w:val="bottom"/>
            <w:hideMark/>
          </w:tcPr>
          <w:p w14:paraId="00AD055D" w14:textId="1F8EEDC5" w:rsidR="00877FE2" w:rsidRPr="005C7317" w:rsidRDefault="00877FE2" w:rsidP="00C90461">
            <w:pPr>
              <w:pStyle w:val="TableColumnHeadingRight"/>
            </w:pPr>
            <w:r>
              <w:t>S</w:t>
            </w:r>
            <w:r w:rsidRPr="005C7317">
              <w:t>tandard</w:t>
            </w:r>
            <w:r w:rsidR="00C90461">
              <w:br/>
            </w:r>
            <w:r w:rsidRPr="005C7317">
              <w:t>deviation</w:t>
            </w:r>
          </w:p>
        </w:tc>
      </w:tr>
      <w:tr w:rsidR="00C90461" w:rsidRPr="005C7317" w14:paraId="35FA7B77" w14:textId="77777777" w:rsidTr="00C90461">
        <w:trPr>
          <w:trHeight w:val="255"/>
        </w:trPr>
        <w:tc>
          <w:tcPr>
            <w:tcW w:w="569" w:type="pct"/>
            <w:tcBorders>
              <w:top w:val="nil"/>
              <w:left w:val="nil"/>
              <w:bottom w:val="nil"/>
              <w:right w:val="nil"/>
            </w:tcBorders>
            <w:shd w:val="clear" w:color="000000" w:fill="FFFFFF"/>
            <w:noWrap/>
            <w:vAlign w:val="bottom"/>
            <w:hideMark/>
          </w:tcPr>
          <w:p w14:paraId="68D8F07E" w14:textId="7C95D511" w:rsidR="007A669A" w:rsidRPr="005C7317" w:rsidRDefault="007A669A" w:rsidP="00A1600C">
            <w:pPr>
              <w:pStyle w:val="Tabletextcentred"/>
            </w:pPr>
            <w:r w:rsidRPr="008664C7">
              <w:t>200</w:t>
            </w:r>
            <w:r>
              <w:t>1-0</w:t>
            </w:r>
            <w:r w:rsidRPr="008664C7">
              <w:t>2</w:t>
            </w:r>
          </w:p>
        </w:tc>
        <w:tc>
          <w:tcPr>
            <w:tcW w:w="739" w:type="pct"/>
            <w:tcBorders>
              <w:top w:val="nil"/>
              <w:left w:val="nil"/>
              <w:bottom w:val="nil"/>
              <w:right w:val="nil"/>
            </w:tcBorders>
            <w:shd w:val="clear" w:color="000000" w:fill="FFFFFF"/>
            <w:noWrap/>
            <w:vAlign w:val="bottom"/>
            <w:hideMark/>
          </w:tcPr>
          <w:p w14:paraId="658EFADC" w14:textId="77777777" w:rsidR="007A669A" w:rsidRPr="005C7317" w:rsidRDefault="007A669A" w:rsidP="00A1600C">
            <w:pPr>
              <w:pStyle w:val="TableTextRight"/>
            </w:pPr>
            <w:r w:rsidRPr="005C7317">
              <w:t>83,825</w:t>
            </w:r>
          </w:p>
        </w:tc>
        <w:tc>
          <w:tcPr>
            <w:tcW w:w="739" w:type="pct"/>
            <w:tcBorders>
              <w:top w:val="nil"/>
              <w:left w:val="nil"/>
              <w:bottom w:val="nil"/>
              <w:right w:val="nil"/>
            </w:tcBorders>
            <w:shd w:val="clear" w:color="000000" w:fill="FFFFFF"/>
            <w:noWrap/>
            <w:vAlign w:val="bottom"/>
            <w:hideMark/>
          </w:tcPr>
          <w:p w14:paraId="393AAD6D" w14:textId="77777777" w:rsidR="007A669A" w:rsidRPr="005C7317" w:rsidRDefault="007A669A" w:rsidP="00A1600C">
            <w:pPr>
              <w:pStyle w:val="TableTextRight"/>
            </w:pPr>
            <w:r w:rsidRPr="005C7317">
              <w:t>145,223</w:t>
            </w:r>
          </w:p>
        </w:tc>
        <w:tc>
          <w:tcPr>
            <w:tcW w:w="739" w:type="pct"/>
            <w:tcBorders>
              <w:top w:val="nil"/>
              <w:left w:val="nil"/>
              <w:bottom w:val="nil"/>
              <w:right w:val="nil"/>
            </w:tcBorders>
            <w:shd w:val="clear" w:color="000000" w:fill="FFFFFF"/>
            <w:noWrap/>
            <w:vAlign w:val="bottom"/>
            <w:hideMark/>
          </w:tcPr>
          <w:p w14:paraId="1B1C10D5" w14:textId="77777777" w:rsidR="007A669A" w:rsidRPr="005C7317" w:rsidRDefault="007A669A" w:rsidP="00A1600C">
            <w:pPr>
              <w:pStyle w:val="TableTextRight"/>
            </w:pPr>
            <w:r w:rsidRPr="005C7317">
              <w:t>296,684</w:t>
            </w:r>
          </w:p>
        </w:tc>
        <w:tc>
          <w:tcPr>
            <w:tcW w:w="739" w:type="pct"/>
            <w:tcBorders>
              <w:top w:val="nil"/>
              <w:left w:val="nil"/>
              <w:bottom w:val="nil"/>
              <w:right w:val="nil"/>
            </w:tcBorders>
            <w:shd w:val="clear" w:color="000000" w:fill="FFFFFF"/>
            <w:noWrap/>
            <w:vAlign w:val="bottom"/>
            <w:hideMark/>
          </w:tcPr>
          <w:p w14:paraId="1EBE73E1" w14:textId="77777777" w:rsidR="007A669A" w:rsidRPr="005C7317" w:rsidRDefault="007A669A" w:rsidP="00A1600C">
            <w:pPr>
              <w:pStyle w:val="TableTextRight"/>
            </w:pPr>
            <w:r w:rsidRPr="005C7317">
              <w:t>324,560</w:t>
            </w:r>
          </w:p>
        </w:tc>
        <w:tc>
          <w:tcPr>
            <w:tcW w:w="739" w:type="pct"/>
            <w:tcBorders>
              <w:top w:val="nil"/>
              <w:left w:val="nil"/>
              <w:bottom w:val="nil"/>
              <w:right w:val="nil"/>
            </w:tcBorders>
            <w:shd w:val="clear" w:color="000000" w:fill="FFFFFF"/>
            <w:noWrap/>
            <w:vAlign w:val="bottom"/>
            <w:hideMark/>
          </w:tcPr>
          <w:p w14:paraId="0B703092" w14:textId="77777777" w:rsidR="007A669A" w:rsidRPr="005C7317" w:rsidRDefault="007A669A" w:rsidP="00A1600C">
            <w:pPr>
              <w:pStyle w:val="TableTextRight"/>
            </w:pPr>
            <w:r w:rsidRPr="005C7317">
              <w:t>15,028</w:t>
            </w:r>
          </w:p>
        </w:tc>
        <w:tc>
          <w:tcPr>
            <w:tcW w:w="735" w:type="pct"/>
            <w:tcBorders>
              <w:top w:val="nil"/>
              <w:left w:val="nil"/>
              <w:bottom w:val="nil"/>
              <w:right w:val="nil"/>
            </w:tcBorders>
            <w:shd w:val="clear" w:color="000000" w:fill="FFFFFF"/>
            <w:noWrap/>
            <w:vAlign w:val="bottom"/>
            <w:hideMark/>
          </w:tcPr>
          <w:p w14:paraId="6A03FC7F" w14:textId="77777777" w:rsidR="007A669A" w:rsidRPr="005C7317" w:rsidRDefault="007A669A" w:rsidP="00A1600C">
            <w:pPr>
              <w:pStyle w:val="TableTextRight"/>
            </w:pPr>
            <w:r w:rsidRPr="005C7317">
              <w:t>1,237,595</w:t>
            </w:r>
          </w:p>
        </w:tc>
      </w:tr>
      <w:tr w:rsidR="00C90461" w:rsidRPr="005C7317" w14:paraId="50907242"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655F4A36" w14:textId="1909D870" w:rsidR="007A669A" w:rsidRPr="005C7317" w:rsidRDefault="007A669A" w:rsidP="00A1600C">
            <w:pPr>
              <w:pStyle w:val="Tabletextcentred"/>
            </w:pPr>
            <w:r w:rsidRPr="008664C7">
              <w:t>200</w:t>
            </w:r>
            <w:r>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13AEEC7C" w14:textId="77777777" w:rsidR="007A669A" w:rsidRPr="005C7317" w:rsidRDefault="007A669A" w:rsidP="00A1600C">
            <w:pPr>
              <w:pStyle w:val="TableTextRight"/>
            </w:pPr>
            <w:r w:rsidRPr="005C7317">
              <w:t>85,584</w:t>
            </w:r>
          </w:p>
        </w:tc>
        <w:tc>
          <w:tcPr>
            <w:tcW w:w="739" w:type="pct"/>
            <w:tcBorders>
              <w:top w:val="nil"/>
              <w:left w:val="nil"/>
              <w:bottom w:val="nil"/>
              <w:right w:val="nil"/>
            </w:tcBorders>
            <w:shd w:val="clear" w:color="auto" w:fill="F2F2F2" w:themeFill="background1" w:themeFillShade="F2"/>
            <w:noWrap/>
            <w:vAlign w:val="bottom"/>
            <w:hideMark/>
          </w:tcPr>
          <w:p w14:paraId="38B315FB" w14:textId="77777777" w:rsidR="007A669A" w:rsidRPr="005C7317" w:rsidRDefault="007A669A" w:rsidP="00A1600C">
            <w:pPr>
              <w:pStyle w:val="TableTextRight"/>
            </w:pPr>
            <w:r w:rsidRPr="005C7317">
              <w:t>152,996</w:t>
            </w:r>
          </w:p>
        </w:tc>
        <w:tc>
          <w:tcPr>
            <w:tcW w:w="739" w:type="pct"/>
            <w:tcBorders>
              <w:top w:val="nil"/>
              <w:left w:val="nil"/>
              <w:bottom w:val="nil"/>
              <w:right w:val="nil"/>
            </w:tcBorders>
            <w:shd w:val="clear" w:color="auto" w:fill="F2F2F2" w:themeFill="background1" w:themeFillShade="F2"/>
            <w:noWrap/>
            <w:vAlign w:val="bottom"/>
            <w:hideMark/>
          </w:tcPr>
          <w:p w14:paraId="495F1C38" w14:textId="77777777" w:rsidR="007A669A" w:rsidRPr="005C7317" w:rsidRDefault="007A669A" w:rsidP="00A1600C">
            <w:pPr>
              <w:pStyle w:val="TableTextRight"/>
            </w:pPr>
            <w:r w:rsidRPr="005C7317">
              <w:t>321,974</w:t>
            </w:r>
          </w:p>
        </w:tc>
        <w:tc>
          <w:tcPr>
            <w:tcW w:w="739" w:type="pct"/>
            <w:tcBorders>
              <w:top w:val="nil"/>
              <w:left w:val="nil"/>
              <w:bottom w:val="nil"/>
              <w:right w:val="nil"/>
            </w:tcBorders>
            <w:shd w:val="clear" w:color="auto" w:fill="F2F2F2" w:themeFill="background1" w:themeFillShade="F2"/>
            <w:noWrap/>
            <w:vAlign w:val="bottom"/>
            <w:hideMark/>
          </w:tcPr>
          <w:p w14:paraId="60CA689C" w14:textId="77777777" w:rsidR="007A669A" w:rsidRPr="005C7317" w:rsidRDefault="007A669A" w:rsidP="00A1600C">
            <w:pPr>
              <w:pStyle w:val="TableTextRight"/>
            </w:pPr>
            <w:r w:rsidRPr="005C7317">
              <w:t>351,375</w:t>
            </w:r>
          </w:p>
        </w:tc>
        <w:tc>
          <w:tcPr>
            <w:tcW w:w="739" w:type="pct"/>
            <w:tcBorders>
              <w:top w:val="nil"/>
              <w:left w:val="nil"/>
              <w:bottom w:val="nil"/>
              <w:right w:val="nil"/>
            </w:tcBorders>
            <w:shd w:val="clear" w:color="auto" w:fill="F2F2F2" w:themeFill="background1" w:themeFillShade="F2"/>
            <w:noWrap/>
            <w:vAlign w:val="bottom"/>
            <w:hideMark/>
          </w:tcPr>
          <w:p w14:paraId="501C0176" w14:textId="77777777" w:rsidR="007A669A" w:rsidRPr="005C7317" w:rsidRDefault="007A669A" w:rsidP="00A1600C">
            <w:pPr>
              <w:pStyle w:val="TableTextRight"/>
            </w:pPr>
            <w:r w:rsidRPr="005C7317">
              <w:t>13,552</w:t>
            </w:r>
          </w:p>
        </w:tc>
        <w:tc>
          <w:tcPr>
            <w:tcW w:w="735" w:type="pct"/>
            <w:tcBorders>
              <w:top w:val="nil"/>
              <w:left w:val="nil"/>
              <w:bottom w:val="nil"/>
              <w:right w:val="nil"/>
            </w:tcBorders>
            <w:shd w:val="clear" w:color="auto" w:fill="F2F2F2" w:themeFill="background1" w:themeFillShade="F2"/>
            <w:noWrap/>
            <w:vAlign w:val="bottom"/>
            <w:hideMark/>
          </w:tcPr>
          <w:p w14:paraId="5D70EF12" w14:textId="77777777" w:rsidR="007A669A" w:rsidRPr="005C7317" w:rsidRDefault="007A669A" w:rsidP="00A1600C">
            <w:pPr>
              <w:pStyle w:val="TableTextRight"/>
            </w:pPr>
            <w:r w:rsidRPr="005C7317">
              <w:t>1,366,116</w:t>
            </w:r>
          </w:p>
        </w:tc>
      </w:tr>
      <w:tr w:rsidR="00C90461" w:rsidRPr="005C7317" w14:paraId="4C7BCD7B" w14:textId="77777777" w:rsidTr="00C90461">
        <w:trPr>
          <w:trHeight w:val="255"/>
        </w:trPr>
        <w:tc>
          <w:tcPr>
            <w:tcW w:w="569" w:type="pct"/>
            <w:tcBorders>
              <w:top w:val="nil"/>
              <w:left w:val="nil"/>
              <w:bottom w:val="nil"/>
              <w:right w:val="nil"/>
            </w:tcBorders>
            <w:shd w:val="clear" w:color="000000" w:fill="FFFFFF"/>
            <w:noWrap/>
            <w:vAlign w:val="bottom"/>
            <w:hideMark/>
          </w:tcPr>
          <w:p w14:paraId="507C3D52" w14:textId="6EB0AF65" w:rsidR="007A669A" w:rsidRPr="005C7317" w:rsidRDefault="007A669A" w:rsidP="00A1600C">
            <w:pPr>
              <w:pStyle w:val="Tabletextcentred"/>
            </w:pPr>
            <w:r w:rsidRPr="008664C7">
              <w:t>200</w:t>
            </w:r>
            <w:r>
              <w:t>3-0</w:t>
            </w:r>
            <w:r w:rsidRPr="008664C7">
              <w:t>4</w:t>
            </w:r>
          </w:p>
        </w:tc>
        <w:tc>
          <w:tcPr>
            <w:tcW w:w="739" w:type="pct"/>
            <w:tcBorders>
              <w:top w:val="nil"/>
              <w:left w:val="nil"/>
              <w:bottom w:val="nil"/>
              <w:right w:val="nil"/>
            </w:tcBorders>
            <w:shd w:val="clear" w:color="000000" w:fill="FFFFFF"/>
            <w:noWrap/>
            <w:vAlign w:val="bottom"/>
            <w:hideMark/>
          </w:tcPr>
          <w:p w14:paraId="4949497B" w14:textId="77777777" w:rsidR="007A669A" w:rsidRPr="005C7317" w:rsidRDefault="007A669A" w:rsidP="00A1600C">
            <w:pPr>
              <w:pStyle w:val="TableTextRight"/>
            </w:pPr>
            <w:r w:rsidRPr="005C7317">
              <w:t>87,704</w:t>
            </w:r>
          </w:p>
        </w:tc>
        <w:tc>
          <w:tcPr>
            <w:tcW w:w="739" w:type="pct"/>
            <w:tcBorders>
              <w:top w:val="nil"/>
              <w:left w:val="nil"/>
              <w:bottom w:val="nil"/>
              <w:right w:val="nil"/>
            </w:tcBorders>
            <w:shd w:val="clear" w:color="000000" w:fill="FFFFFF"/>
            <w:noWrap/>
            <w:vAlign w:val="bottom"/>
            <w:hideMark/>
          </w:tcPr>
          <w:p w14:paraId="1B94D398" w14:textId="77777777" w:rsidR="007A669A" w:rsidRPr="005C7317" w:rsidRDefault="007A669A" w:rsidP="00A1600C">
            <w:pPr>
              <w:pStyle w:val="TableTextRight"/>
            </w:pPr>
            <w:r w:rsidRPr="005C7317">
              <w:t>159,021</w:t>
            </w:r>
          </w:p>
        </w:tc>
        <w:tc>
          <w:tcPr>
            <w:tcW w:w="739" w:type="pct"/>
            <w:tcBorders>
              <w:top w:val="nil"/>
              <w:left w:val="nil"/>
              <w:bottom w:val="nil"/>
              <w:right w:val="nil"/>
            </w:tcBorders>
            <w:shd w:val="clear" w:color="000000" w:fill="FFFFFF"/>
            <w:noWrap/>
            <w:vAlign w:val="bottom"/>
            <w:hideMark/>
          </w:tcPr>
          <w:p w14:paraId="378634E1" w14:textId="77777777" w:rsidR="007A669A" w:rsidRPr="005C7317" w:rsidRDefault="007A669A" w:rsidP="00A1600C">
            <w:pPr>
              <w:pStyle w:val="TableTextRight"/>
            </w:pPr>
            <w:r w:rsidRPr="005C7317">
              <w:t>336,853</w:t>
            </w:r>
          </w:p>
        </w:tc>
        <w:tc>
          <w:tcPr>
            <w:tcW w:w="739" w:type="pct"/>
            <w:tcBorders>
              <w:top w:val="nil"/>
              <w:left w:val="nil"/>
              <w:bottom w:val="nil"/>
              <w:right w:val="nil"/>
            </w:tcBorders>
            <w:shd w:val="clear" w:color="000000" w:fill="FFFFFF"/>
            <w:noWrap/>
            <w:vAlign w:val="bottom"/>
            <w:hideMark/>
          </w:tcPr>
          <w:p w14:paraId="32A75A3B" w14:textId="77777777" w:rsidR="007A669A" w:rsidRPr="005C7317" w:rsidRDefault="007A669A" w:rsidP="00A1600C">
            <w:pPr>
              <w:pStyle w:val="TableTextRight"/>
            </w:pPr>
            <w:r w:rsidRPr="005C7317">
              <w:t>367,870</w:t>
            </w:r>
          </w:p>
        </w:tc>
        <w:tc>
          <w:tcPr>
            <w:tcW w:w="739" w:type="pct"/>
            <w:tcBorders>
              <w:top w:val="nil"/>
              <w:left w:val="nil"/>
              <w:bottom w:val="nil"/>
              <w:right w:val="nil"/>
            </w:tcBorders>
            <w:shd w:val="clear" w:color="000000" w:fill="FFFFFF"/>
            <w:noWrap/>
            <w:vAlign w:val="bottom"/>
            <w:hideMark/>
          </w:tcPr>
          <w:p w14:paraId="593D4FA4" w14:textId="77777777" w:rsidR="007A669A" w:rsidRPr="005C7317" w:rsidRDefault="007A669A" w:rsidP="00A1600C">
            <w:pPr>
              <w:pStyle w:val="TableTextRight"/>
            </w:pPr>
            <w:r w:rsidRPr="005C7317">
              <w:t>13,379</w:t>
            </w:r>
          </w:p>
        </w:tc>
        <w:tc>
          <w:tcPr>
            <w:tcW w:w="735" w:type="pct"/>
            <w:tcBorders>
              <w:top w:val="nil"/>
              <w:left w:val="nil"/>
              <w:bottom w:val="nil"/>
              <w:right w:val="nil"/>
            </w:tcBorders>
            <w:shd w:val="clear" w:color="000000" w:fill="FFFFFF"/>
            <w:noWrap/>
            <w:vAlign w:val="bottom"/>
            <w:hideMark/>
          </w:tcPr>
          <w:p w14:paraId="202527FD" w14:textId="77777777" w:rsidR="007A669A" w:rsidRPr="005C7317" w:rsidRDefault="007A669A" w:rsidP="00A1600C">
            <w:pPr>
              <w:pStyle w:val="TableTextRight"/>
            </w:pPr>
            <w:r w:rsidRPr="005C7317">
              <w:t>1,377,370</w:t>
            </w:r>
          </w:p>
        </w:tc>
      </w:tr>
      <w:tr w:rsidR="00C90461" w:rsidRPr="005C7317" w14:paraId="11AB4BF7"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4486C6D8" w14:textId="0B7CCE15" w:rsidR="007A669A" w:rsidRPr="005C7317" w:rsidRDefault="007A669A" w:rsidP="00A1600C">
            <w:pPr>
              <w:pStyle w:val="Tabletextcentred"/>
            </w:pPr>
            <w:r w:rsidRPr="008664C7">
              <w:t>200</w:t>
            </w:r>
            <w:r>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01871A2C" w14:textId="77777777" w:rsidR="007A669A" w:rsidRPr="005C7317" w:rsidRDefault="007A669A" w:rsidP="00A1600C">
            <w:pPr>
              <w:pStyle w:val="TableTextRight"/>
            </w:pPr>
            <w:r w:rsidRPr="005C7317">
              <w:t>89,498</w:t>
            </w:r>
          </w:p>
        </w:tc>
        <w:tc>
          <w:tcPr>
            <w:tcW w:w="739" w:type="pct"/>
            <w:tcBorders>
              <w:top w:val="nil"/>
              <w:left w:val="nil"/>
              <w:bottom w:val="nil"/>
              <w:right w:val="nil"/>
            </w:tcBorders>
            <w:shd w:val="clear" w:color="auto" w:fill="F2F2F2" w:themeFill="background1" w:themeFillShade="F2"/>
            <w:noWrap/>
            <w:vAlign w:val="bottom"/>
            <w:hideMark/>
          </w:tcPr>
          <w:p w14:paraId="3703CB53" w14:textId="77777777" w:rsidR="007A669A" w:rsidRPr="005C7317" w:rsidRDefault="007A669A" w:rsidP="00A1600C">
            <w:pPr>
              <w:pStyle w:val="TableTextRight"/>
            </w:pPr>
            <w:r w:rsidRPr="005C7317">
              <w:t>160,312</w:t>
            </w:r>
          </w:p>
        </w:tc>
        <w:tc>
          <w:tcPr>
            <w:tcW w:w="739" w:type="pct"/>
            <w:tcBorders>
              <w:top w:val="nil"/>
              <w:left w:val="nil"/>
              <w:bottom w:val="nil"/>
              <w:right w:val="nil"/>
            </w:tcBorders>
            <w:shd w:val="clear" w:color="auto" w:fill="F2F2F2" w:themeFill="background1" w:themeFillShade="F2"/>
            <w:noWrap/>
            <w:vAlign w:val="bottom"/>
            <w:hideMark/>
          </w:tcPr>
          <w:p w14:paraId="279BF19E" w14:textId="77777777" w:rsidR="007A669A" w:rsidRPr="005C7317" w:rsidRDefault="007A669A" w:rsidP="00A1600C">
            <w:pPr>
              <w:pStyle w:val="TableTextRight"/>
            </w:pPr>
            <w:r w:rsidRPr="005C7317">
              <w:t>331,745</w:t>
            </w:r>
          </w:p>
        </w:tc>
        <w:tc>
          <w:tcPr>
            <w:tcW w:w="739" w:type="pct"/>
            <w:tcBorders>
              <w:top w:val="nil"/>
              <w:left w:val="nil"/>
              <w:bottom w:val="nil"/>
              <w:right w:val="nil"/>
            </w:tcBorders>
            <w:shd w:val="clear" w:color="auto" w:fill="F2F2F2" w:themeFill="background1" w:themeFillShade="F2"/>
            <w:noWrap/>
            <w:vAlign w:val="bottom"/>
            <w:hideMark/>
          </w:tcPr>
          <w:p w14:paraId="2490FDC3" w14:textId="77777777" w:rsidR="007A669A" w:rsidRPr="005C7317" w:rsidRDefault="007A669A" w:rsidP="00A1600C">
            <w:pPr>
              <w:pStyle w:val="TableTextRight"/>
            </w:pPr>
            <w:r w:rsidRPr="005C7317">
              <w:t>365,308</w:t>
            </w:r>
          </w:p>
        </w:tc>
        <w:tc>
          <w:tcPr>
            <w:tcW w:w="739" w:type="pct"/>
            <w:tcBorders>
              <w:top w:val="nil"/>
              <w:left w:val="nil"/>
              <w:bottom w:val="nil"/>
              <w:right w:val="nil"/>
            </w:tcBorders>
            <w:shd w:val="clear" w:color="auto" w:fill="F2F2F2" w:themeFill="background1" w:themeFillShade="F2"/>
            <w:noWrap/>
            <w:vAlign w:val="bottom"/>
            <w:hideMark/>
          </w:tcPr>
          <w:p w14:paraId="6963E0A1" w14:textId="77777777" w:rsidR="007A669A" w:rsidRPr="005C7317" w:rsidRDefault="007A669A" w:rsidP="00A1600C">
            <w:pPr>
              <w:pStyle w:val="TableTextRight"/>
            </w:pPr>
            <w:r w:rsidRPr="005C7317">
              <w:t>16,980</w:t>
            </w:r>
          </w:p>
        </w:tc>
        <w:tc>
          <w:tcPr>
            <w:tcW w:w="735" w:type="pct"/>
            <w:tcBorders>
              <w:top w:val="nil"/>
              <w:left w:val="nil"/>
              <w:bottom w:val="nil"/>
              <w:right w:val="nil"/>
            </w:tcBorders>
            <w:shd w:val="clear" w:color="auto" w:fill="F2F2F2" w:themeFill="background1" w:themeFillShade="F2"/>
            <w:noWrap/>
            <w:vAlign w:val="bottom"/>
            <w:hideMark/>
          </w:tcPr>
          <w:p w14:paraId="37AD6292" w14:textId="77777777" w:rsidR="007A669A" w:rsidRPr="005C7317" w:rsidRDefault="007A669A" w:rsidP="00A1600C">
            <w:pPr>
              <w:pStyle w:val="TableTextRight"/>
            </w:pPr>
            <w:r w:rsidRPr="005C7317">
              <w:t>1,392,617</w:t>
            </w:r>
          </w:p>
        </w:tc>
      </w:tr>
      <w:tr w:rsidR="00C90461" w:rsidRPr="005C7317" w14:paraId="391A473C" w14:textId="77777777" w:rsidTr="00C90461">
        <w:trPr>
          <w:trHeight w:val="255"/>
        </w:trPr>
        <w:tc>
          <w:tcPr>
            <w:tcW w:w="569" w:type="pct"/>
            <w:tcBorders>
              <w:top w:val="nil"/>
              <w:left w:val="nil"/>
              <w:bottom w:val="nil"/>
              <w:right w:val="nil"/>
            </w:tcBorders>
            <w:shd w:val="clear" w:color="000000" w:fill="FFFFFF"/>
            <w:noWrap/>
            <w:vAlign w:val="bottom"/>
            <w:hideMark/>
          </w:tcPr>
          <w:p w14:paraId="738DFCCC" w14:textId="27D6F10E" w:rsidR="007A669A" w:rsidRPr="005C7317" w:rsidRDefault="007A669A" w:rsidP="00A1600C">
            <w:pPr>
              <w:pStyle w:val="Tabletextcentred"/>
            </w:pPr>
            <w:r w:rsidRPr="008664C7">
              <w:t>200</w:t>
            </w:r>
            <w:r>
              <w:t>5-0</w:t>
            </w:r>
            <w:r w:rsidRPr="008664C7">
              <w:t>6</w:t>
            </w:r>
          </w:p>
        </w:tc>
        <w:tc>
          <w:tcPr>
            <w:tcW w:w="739" w:type="pct"/>
            <w:tcBorders>
              <w:top w:val="nil"/>
              <w:left w:val="nil"/>
              <w:bottom w:val="nil"/>
              <w:right w:val="nil"/>
            </w:tcBorders>
            <w:shd w:val="clear" w:color="000000" w:fill="FFFFFF"/>
            <w:noWrap/>
            <w:vAlign w:val="bottom"/>
            <w:hideMark/>
          </w:tcPr>
          <w:p w14:paraId="2928158C" w14:textId="77777777" w:rsidR="007A669A" w:rsidRPr="005C7317" w:rsidRDefault="007A669A" w:rsidP="00A1600C">
            <w:pPr>
              <w:pStyle w:val="TableTextRight"/>
            </w:pPr>
            <w:r w:rsidRPr="005C7317">
              <w:t>90,948</w:t>
            </w:r>
          </w:p>
        </w:tc>
        <w:tc>
          <w:tcPr>
            <w:tcW w:w="739" w:type="pct"/>
            <w:tcBorders>
              <w:top w:val="nil"/>
              <w:left w:val="nil"/>
              <w:bottom w:val="nil"/>
              <w:right w:val="nil"/>
            </w:tcBorders>
            <w:shd w:val="clear" w:color="000000" w:fill="FFFFFF"/>
            <w:noWrap/>
            <w:vAlign w:val="bottom"/>
            <w:hideMark/>
          </w:tcPr>
          <w:p w14:paraId="01CF63DF" w14:textId="77777777" w:rsidR="007A669A" w:rsidRPr="005C7317" w:rsidRDefault="007A669A" w:rsidP="00A1600C">
            <w:pPr>
              <w:pStyle w:val="TableTextRight"/>
            </w:pPr>
            <w:r w:rsidRPr="005C7317">
              <w:t>163,025</w:t>
            </w:r>
          </w:p>
        </w:tc>
        <w:tc>
          <w:tcPr>
            <w:tcW w:w="739" w:type="pct"/>
            <w:tcBorders>
              <w:top w:val="nil"/>
              <w:left w:val="nil"/>
              <w:bottom w:val="nil"/>
              <w:right w:val="nil"/>
            </w:tcBorders>
            <w:shd w:val="clear" w:color="000000" w:fill="FFFFFF"/>
            <w:noWrap/>
            <w:vAlign w:val="bottom"/>
            <w:hideMark/>
          </w:tcPr>
          <w:p w14:paraId="0C37047B" w14:textId="77777777" w:rsidR="007A669A" w:rsidRPr="005C7317" w:rsidRDefault="007A669A" w:rsidP="00A1600C">
            <w:pPr>
              <w:pStyle w:val="TableTextRight"/>
            </w:pPr>
            <w:r w:rsidRPr="005C7317">
              <w:t>345,752</w:t>
            </w:r>
          </w:p>
        </w:tc>
        <w:tc>
          <w:tcPr>
            <w:tcW w:w="739" w:type="pct"/>
            <w:tcBorders>
              <w:top w:val="nil"/>
              <w:left w:val="nil"/>
              <w:bottom w:val="nil"/>
              <w:right w:val="nil"/>
            </w:tcBorders>
            <w:shd w:val="clear" w:color="000000" w:fill="FFFFFF"/>
            <w:noWrap/>
            <w:vAlign w:val="bottom"/>
            <w:hideMark/>
          </w:tcPr>
          <w:p w14:paraId="35B3AB71" w14:textId="77777777" w:rsidR="007A669A" w:rsidRPr="005C7317" w:rsidRDefault="007A669A" w:rsidP="00A1600C">
            <w:pPr>
              <w:pStyle w:val="TableTextRight"/>
            </w:pPr>
            <w:r w:rsidRPr="005C7317">
              <w:t>384,744</w:t>
            </w:r>
          </w:p>
        </w:tc>
        <w:tc>
          <w:tcPr>
            <w:tcW w:w="739" w:type="pct"/>
            <w:tcBorders>
              <w:top w:val="nil"/>
              <w:left w:val="nil"/>
              <w:bottom w:val="nil"/>
              <w:right w:val="nil"/>
            </w:tcBorders>
            <w:shd w:val="clear" w:color="000000" w:fill="FFFFFF"/>
            <w:noWrap/>
            <w:vAlign w:val="bottom"/>
            <w:hideMark/>
          </w:tcPr>
          <w:p w14:paraId="48C4E6D5" w14:textId="77777777" w:rsidR="007A669A" w:rsidRPr="005C7317" w:rsidRDefault="007A669A" w:rsidP="00A1600C">
            <w:pPr>
              <w:pStyle w:val="TableTextRight"/>
            </w:pPr>
            <w:r w:rsidRPr="005C7317">
              <w:t>19,173</w:t>
            </w:r>
          </w:p>
        </w:tc>
        <w:tc>
          <w:tcPr>
            <w:tcW w:w="735" w:type="pct"/>
            <w:tcBorders>
              <w:top w:val="nil"/>
              <w:left w:val="nil"/>
              <w:bottom w:val="nil"/>
              <w:right w:val="nil"/>
            </w:tcBorders>
            <w:shd w:val="clear" w:color="000000" w:fill="FFFFFF"/>
            <w:noWrap/>
            <w:vAlign w:val="bottom"/>
            <w:hideMark/>
          </w:tcPr>
          <w:p w14:paraId="44D84D4C" w14:textId="77777777" w:rsidR="007A669A" w:rsidRPr="005C7317" w:rsidRDefault="007A669A" w:rsidP="00A1600C">
            <w:pPr>
              <w:pStyle w:val="TableTextRight"/>
            </w:pPr>
            <w:r w:rsidRPr="005C7317">
              <w:t>2,102,531</w:t>
            </w:r>
          </w:p>
        </w:tc>
      </w:tr>
      <w:tr w:rsidR="00C90461" w:rsidRPr="005C7317" w14:paraId="21BC1D77"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402B8E7B" w14:textId="6D90E066" w:rsidR="007A669A" w:rsidRPr="005C7317" w:rsidRDefault="007A669A" w:rsidP="00A1600C">
            <w:pPr>
              <w:pStyle w:val="Tabletextcentred"/>
            </w:pPr>
            <w:r w:rsidRPr="008664C7">
              <w:t>200</w:t>
            </w:r>
            <w:r>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6205DBAC" w14:textId="77777777" w:rsidR="007A669A" w:rsidRPr="005C7317" w:rsidRDefault="007A669A" w:rsidP="00A1600C">
            <w:pPr>
              <w:pStyle w:val="TableTextRight"/>
            </w:pPr>
            <w:r w:rsidRPr="005C7317">
              <w:t>92,736</w:t>
            </w:r>
          </w:p>
        </w:tc>
        <w:tc>
          <w:tcPr>
            <w:tcW w:w="739" w:type="pct"/>
            <w:tcBorders>
              <w:top w:val="nil"/>
              <w:left w:val="nil"/>
              <w:bottom w:val="nil"/>
              <w:right w:val="nil"/>
            </w:tcBorders>
            <w:shd w:val="clear" w:color="auto" w:fill="F2F2F2" w:themeFill="background1" w:themeFillShade="F2"/>
            <w:noWrap/>
            <w:vAlign w:val="bottom"/>
            <w:hideMark/>
          </w:tcPr>
          <w:p w14:paraId="15C95145" w14:textId="77777777" w:rsidR="007A669A" w:rsidRPr="005C7317" w:rsidRDefault="007A669A" w:rsidP="00A1600C">
            <w:pPr>
              <w:pStyle w:val="TableTextRight"/>
            </w:pPr>
            <w:r w:rsidRPr="005C7317">
              <w:t>169,330</w:t>
            </w:r>
          </w:p>
        </w:tc>
        <w:tc>
          <w:tcPr>
            <w:tcW w:w="739" w:type="pct"/>
            <w:tcBorders>
              <w:top w:val="nil"/>
              <w:left w:val="nil"/>
              <w:bottom w:val="nil"/>
              <w:right w:val="nil"/>
            </w:tcBorders>
            <w:shd w:val="clear" w:color="auto" w:fill="F2F2F2" w:themeFill="background1" w:themeFillShade="F2"/>
            <w:noWrap/>
            <w:vAlign w:val="bottom"/>
            <w:hideMark/>
          </w:tcPr>
          <w:p w14:paraId="673F7A3D" w14:textId="77777777" w:rsidR="007A669A" w:rsidRPr="005C7317" w:rsidRDefault="007A669A" w:rsidP="00A1600C">
            <w:pPr>
              <w:pStyle w:val="TableTextRight"/>
            </w:pPr>
            <w:r w:rsidRPr="005C7317">
              <w:t>364,689</w:t>
            </w:r>
          </w:p>
        </w:tc>
        <w:tc>
          <w:tcPr>
            <w:tcW w:w="739" w:type="pct"/>
            <w:tcBorders>
              <w:top w:val="nil"/>
              <w:left w:val="nil"/>
              <w:bottom w:val="nil"/>
              <w:right w:val="nil"/>
            </w:tcBorders>
            <w:shd w:val="clear" w:color="auto" w:fill="F2F2F2" w:themeFill="background1" w:themeFillShade="F2"/>
            <w:noWrap/>
            <w:vAlign w:val="bottom"/>
            <w:hideMark/>
          </w:tcPr>
          <w:p w14:paraId="09415C84" w14:textId="77777777" w:rsidR="007A669A" w:rsidRPr="005C7317" w:rsidRDefault="007A669A" w:rsidP="00A1600C">
            <w:pPr>
              <w:pStyle w:val="TableTextRight"/>
            </w:pPr>
            <w:r w:rsidRPr="005C7317">
              <w:t>407,002</w:t>
            </w:r>
          </w:p>
        </w:tc>
        <w:tc>
          <w:tcPr>
            <w:tcW w:w="739" w:type="pct"/>
            <w:tcBorders>
              <w:top w:val="nil"/>
              <w:left w:val="nil"/>
              <w:bottom w:val="nil"/>
              <w:right w:val="nil"/>
            </w:tcBorders>
            <w:shd w:val="clear" w:color="auto" w:fill="F2F2F2" w:themeFill="background1" w:themeFillShade="F2"/>
            <w:noWrap/>
            <w:vAlign w:val="bottom"/>
            <w:hideMark/>
          </w:tcPr>
          <w:p w14:paraId="2B86EC13" w14:textId="77777777" w:rsidR="007A669A" w:rsidRPr="005C7317" w:rsidRDefault="007A669A" w:rsidP="00A1600C">
            <w:pPr>
              <w:pStyle w:val="TableTextRight"/>
            </w:pPr>
            <w:r w:rsidRPr="005C7317">
              <w:t>18,843</w:t>
            </w:r>
          </w:p>
        </w:tc>
        <w:tc>
          <w:tcPr>
            <w:tcW w:w="735" w:type="pct"/>
            <w:tcBorders>
              <w:top w:val="nil"/>
              <w:left w:val="nil"/>
              <w:bottom w:val="nil"/>
              <w:right w:val="nil"/>
            </w:tcBorders>
            <w:shd w:val="clear" w:color="auto" w:fill="F2F2F2" w:themeFill="background1" w:themeFillShade="F2"/>
            <w:noWrap/>
            <w:vAlign w:val="bottom"/>
            <w:hideMark/>
          </w:tcPr>
          <w:p w14:paraId="721B709D" w14:textId="77777777" w:rsidR="007A669A" w:rsidRPr="005C7317" w:rsidRDefault="007A669A" w:rsidP="00A1600C">
            <w:pPr>
              <w:pStyle w:val="TableTextRight"/>
            </w:pPr>
            <w:r w:rsidRPr="005C7317">
              <w:t>2,209,386</w:t>
            </w:r>
          </w:p>
        </w:tc>
      </w:tr>
      <w:tr w:rsidR="00C90461" w:rsidRPr="005C7317" w14:paraId="12B10331" w14:textId="77777777" w:rsidTr="00C90461">
        <w:trPr>
          <w:trHeight w:val="255"/>
        </w:trPr>
        <w:tc>
          <w:tcPr>
            <w:tcW w:w="569" w:type="pct"/>
            <w:tcBorders>
              <w:top w:val="nil"/>
              <w:left w:val="nil"/>
              <w:bottom w:val="nil"/>
              <w:right w:val="nil"/>
            </w:tcBorders>
            <w:shd w:val="clear" w:color="000000" w:fill="FFFFFF"/>
            <w:noWrap/>
            <w:vAlign w:val="bottom"/>
            <w:hideMark/>
          </w:tcPr>
          <w:p w14:paraId="48C31D65" w14:textId="3F764736" w:rsidR="007A669A" w:rsidRPr="005C7317" w:rsidRDefault="007A669A" w:rsidP="00A1600C">
            <w:pPr>
              <w:pStyle w:val="Tabletextcentred"/>
            </w:pPr>
            <w:r w:rsidRPr="008664C7">
              <w:t>200</w:t>
            </w:r>
            <w:r>
              <w:t>7-0</w:t>
            </w:r>
            <w:r w:rsidRPr="008664C7">
              <w:t>8</w:t>
            </w:r>
          </w:p>
        </w:tc>
        <w:tc>
          <w:tcPr>
            <w:tcW w:w="739" w:type="pct"/>
            <w:tcBorders>
              <w:top w:val="nil"/>
              <w:left w:val="nil"/>
              <w:bottom w:val="nil"/>
              <w:right w:val="nil"/>
            </w:tcBorders>
            <w:shd w:val="clear" w:color="000000" w:fill="FFFFFF"/>
            <w:noWrap/>
            <w:vAlign w:val="bottom"/>
            <w:hideMark/>
          </w:tcPr>
          <w:p w14:paraId="004B8A41" w14:textId="77777777" w:rsidR="007A669A" w:rsidRPr="005C7317" w:rsidRDefault="007A669A" w:rsidP="00A1600C">
            <w:pPr>
              <w:pStyle w:val="TableTextRight"/>
            </w:pPr>
            <w:r w:rsidRPr="005C7317">
              <w:t>93,850</w:t>
            </w:r>
          </w:p>
        </w:tc>
        <w:tc>
          <w:tcPr>
            <w:tcW w:w="739" w:type="pct"/>
            <w:tcBorders>
              <w:top w:val="nil"/>
              <w:left w:val="nil"/>
              <w:bottom w:val="nil"/>
              <w:right w:val="nil"/>
            </w:tcBorders>
            <w:shd w:val="clear" w:color="000000" w:fill="FFFFFF"/>
            <w:noWrap/>
            <w:vAlign w:val="bottom"/>
            <w:hideMark/>
          </w:tcPr>
          <w:p w14:paraId="6D039BEE" w14:textId="77777777" w:rsidR="007A669A" w:rsidRPr="005C7317" w:rsidRDefault="007A669A" w:rsidP="00A1600C">
            <w:pPr>
              <w:pStyle w:val="TableTextRight"/>
            </w:pPr>
            <w:r w:rsidRPr="005C7317">
              <w:t>176,580</w:t>
            </w:r>
          </w:p>
        </w:tc>
        <w:tc>
          <w:tcPr>
            <w:tcW w:w="739" w:type="pct"/>
            <w:tcBorders>
              <w:top w:val="nil"/>
              <w:left w:val="nil"/>
              <w:bottom w:val="nil"/>
              <w:right w:val="nil"/>
            </w:tcBorders>
            <w:shd w:val="clear" w:color="000000" w:fill="FFFFFF"/>
            <w:noWrap/>
            <w:vAlign w:val="bottom"/>
            <w:hideMark/>
          </w:tcPr>
          <w:p w14:paraId="3E81DBC5" w14:textId="77777777" w:rsidR="007A669A" w:rsidRPr="005C7317" w:rsidRDefault="007A669A" w:rsidP="00A1600C">
            <w:pPr>
              <w:pStyle w:val="TableTextRight"/>
            </w:pPr>
            <w:r w:rsidRPr="005C7317">
              <w:t>396,537</w:t>
            </w:r>
          </w:p>
        </w:tc>
        <w:tc>
          <w:tcPr>
            <w:tcW w:w="739" w:type="pct"/>
            <w:tcBorders>
              <w:top w:val="nil"/>
              <w:left w:val="nil"/>
              <w:bottom w:val="nil"/>
              <w:right w:val="nil"/>
            </w:tcBorders>
            <w:shd w:val="clear" w:color="000000" w:fill="FFFFFF"/>
            <w:noWrap/>
            <w:vAlign w:val="bottom"/>
            <w:hideMark/>
          </w:tcPr>
          <w:p w14:paraId="16D8E26B" w14:textId="77777777" w:rsidR="007A669A" w:rsidRPr="005C7317" w:rsidRDefault="007A669A" w:rsidP="00A1600C">
            <w:pPr>
              <w:pStyle w:val="TableTextRight"/>
            </w:pPr>
            <w:r w:rsidRPr="005C7317">
              <w:t>461,242</w:t>
            </w:r>
          </w:p>
        </w:tc>
        <w:tc>
          <w:tcPr>
            <w:tcW w:w="739" w:type="pct"/>
            <w:tcBorders>
              <w:top w:val="nil"/>
              <w:left w:val="nil"/>
              <w:bottom w:val="nil"/>
              <w:right w:val="nil"/>
            </w:tcBorders>
            <w:shd w:val="clear" w:color="000000" w:fill="FFFFFF"/>
            <w:noWrap/>
            <w:vAlign w:val="bottom"/>
            <w:hideMark/>
          </w:tcPr>
          <w:p w14:paraId="1972F226" w14:textId="77777777" w:rsidR="007A669A" w:rsidRPr="005C7317" w:rsidRDefault="007A669A" w:rsidP="00A1600C">
            <w:pPr>
              <w:pStyle w:val="TableTextRight"/>
            </w:pPr>
            <w:r w:rsidRPr="005C7317">
              <w:t>14,918</w:t>
            </w:r>
          </w:p>
        </w:tc>
        <w:tc>
          <w:tcPr>
            <w:tcW w:w="735" w:type="pct"/>
            <w:tcBorders>
              <w:top w:val="nil"/>
              <w:left w:val="nil"/>
              <w:bottom w:val="nil"/>
              <w:right w:val="nil"/>
            </w:tcBorders>
            <w:shd w:val="clear" w:color="000000" w:fill="FFFFFF"/>
            <w:noWrap/>
            <w:vAlign w:val="bottom"/>
            <w:hideMark/>
          </w:tcPr>
          <w:p w14:paraId="69C05606" w14:textId="77777777" w:rsidR="007A669A" w:rsidRPr="005C7317" w:rsidRDefault="007A669A" w:rsidP="00A1600C">
            <w:pPr>
              <w:pStyle w:val="TableTextRight"/>
            </w:pPr>
            <w:r w:rsidRPr="005C7317">
              <w:t>3,108,497</w:t>
            </w:r>
          </w:p>
        </w:tc>
      </w:tr>
      <w:tr w:rsidR="00C90461" w:rsidRPr="005C7317" w14:paraId="0175ADB3"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2BD42E91" w14:textId="2D7DBE08" w:rsidR="007A669A" w:rsidRPr="005C7317" w:rsidRDefault="007A669A" w:rsidP="00A1600C">
            <w:pPr>
              <w:pStyle w:val="Tabletextcentred"/>
            </w:pPr>
            <w:r w:rsidRPr="008664C7">
              <w:t>200</w:t>
            </w:r>
            <w:r>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060B3A42" w14:textId="77777777" w:rsidR="007A669A" w:rsidRPr="005C7317" w:rsidRDefault="007A669A" w:rsidP="00A1600C">
            <w:pPr>
              <w:pStyle w:val="TableTextRight"/>
            </w:pPr>
            <w:r w:rsidRPr="005C7317">
              <w:t>97,125</w:t>
            </w:r>
          </w:p>
        </w:tc>
        <w:tc>
          <w:tcPr>
            <w:tcW w:w="739" w:type="pct"/>
            <w:tcBorders>
              <w:top w:val="nil"/>
              <w:left w:val="nil"/>
              <w:bottom w:val="nil"/>
              <w:right w:val="nil"/>
            </w:tcBorders>
            <w:shd w:val="clear" w:color="auto" w:fill="F2F2F2" w:themeFill="background1" w:themeFillShade="F2"/>
            <w:noWrap/>
            <w:vAlign w:val="bottom"/>
            <w:hideMark/>
          </w:tcPr>
          <w:p w14:paraId="77C6B7B0" w14:textId="77777777" w:rsidR="007A669A" w:rsidRPr="005C7317" w:rsidRDefault="007A669A" w:rsidP="00A1600C">
            <w:pPr>
              <w:pStyle w:val="TableTextRight"/>
            </w:pPr>
            <w:r w:rsidRPr="005C7317">
              <w:t>181,537</w:t>
            </w:r>
          </w:p>
        </w:tc>
        <w:tc>
          <w:tcPr>
            <w:tcW w:w="739" w:type="pct"/>
            <w:tcBorders>
              <w:top w:val="nil"/>
              <w:left w:val="nil"/>
              <w:bottom w:val="nil"/>
              <w:right w:val="nil"/>
            </w:tcBorders>
            <w:shd w:val="clear" w:color="auto" w:fill="F2F2F2" w:themeFill="background1" w:themeFillShade="F2"/>
            <w:noWrap/>
            <w:vAlign w:val="bottom"/>
            <w:hideMark/>
          </w:tcPr>
          <w:p w14:paraId="1D81C03E" w14:textId="77777777" w:rsidR="007A669A" w:rsidRPr="005C7317" w:rsidRDefault="007A669A" w:rsidP="00A1600C">
            <w:pPr>
              <w:pStyle w:val="TableTextRight"/>
            </w:pPr>
            <w:r w:rsidRPr="005C7317">
              <w:t>401,495</w:t>
            </w:r>
          </w:p>
        </w:tc>
        <w:tc>
          <w:tcPr>
            <w:tcW w:w="739" w:type="pct"/>
            <w:tcBorders>
              <w:top w:val="nil"/>
              <w:left w:val="nil"/>
              <w:bottom w:val="nil"/>
              <w:right w:val="nil"/>
            </w:tcBorders>
            <w:shd w:val="clear" w:color="auto" w:fill="F2F2F2" w:themeFill="background1" w:themeFillShade="F2"/>
            <w:noWrap/>
            <w:vAlign w:val="bottom"/>
            <w:hideMark/>
          </w:tcPr>
          <w:p w14:paraId="15B8D42E" w14:textId="77777777" w:rsidR="007A669A" w:rsidRPr="005C7317" w:rsidRDefault="007A669A" w:rsidP="00A1600C">
            <w:pPr>
              <w:pStyle w:val="TableTextRight"/>
            </w:pPr>
            <w:r w:rsidRPr="005C7317">
              <w:t>457,694</w:t>
            </w:r>
          </w:p>
        </w:tc>
        <w:tc>
          <w:tcPr>
            <w:tcW w:w="739" w:type="pct"/>
            <w:tcBorders>
              <w:top w:val="nil"/>
              <w:left w:val="nil"/>
              <w:bottom w:val="nil"/>
              <w:right w:val="nil"/>
            </w:tcBorders>
            <w:shd w:val="clear" w:color="auto" w:fill="F2F2F2" w:themeFill="background1" w:themeFillShade="F2"/>
            <w:noWrap/>
            <w:vAlign w:val="bottom"/>
            <w:hideMark/>
          </w:tcPr>
          <w:p w14:paraId="6EB0B164" w14:textId="77777777" w:rsidR="007A669A" w:rsidRPr="005C7317" w:rsidRDefault="007A669A" w:rsidP="00A1600C">
            <w:pPr>
              <w:pStyle w:val="TableTextRight"/>
            </w:pPr>
            <w:r w:rsidRPr="005C7317">
              <w:t>18,910</w:t>
            </w:r>
          </w:p>
        </w:tc>
        <w:tc>
          <w:tcPr>
            <w:tcW w:w="735" w:type="pct"/>
            <w:tcBorders>
              <w:top w:val="nil"/>
              <w:left w:val="nil"/>
              <w:bottom w:val="nil"/>
              <w:right w:val="nil"/>
            </w:tcBorders>
            <w:shd w:val="clear" w:color="auto" w:fill="F2F2F2" w:themeFill="background1" w:themeFillShade="F2"/>
            <w:noWrap/>
            <w:vAlign w:val="bottom"/>
            <w:hideMark/>
          </w:tcPr>
          <w:p w14:paraId="0B922A83" w14:textId="77777777" w:rsidR="007A669A" w:rsidRPr="005C7317" w:rsidRDefault="007A669A" w:rsidP="00A1600C">
            <w:pPr>
              <w:pStyle w:val="TableTextRight"/>
            </w:pPr>
            <w:r w:rsidRPr="005C7317">
              <w:t>3,039,142</w:t>
            </w:r>
          </w:p>
        </w:tc>
      </w:tr>
      <w:tr w:rsidR="00C90461" w:rsidRPr="005C7317" w14:paraId="402978FA" w14:textId="77777777" w:rsidTr="00C90461">
        <w:trPr>
          <w:trHeight w:val="255"/>
        </w:trPr>
        <w:tc>
          <w:tcPr>
            <w:tcW w:w="569" w:type="pct"/>
            <w:tcBorders>
              <w:top w:val="nil"/>
              <w:left w:val="nil"/>
              <w:bottom w:val="nil"/>
              <w:right w:val="nil"/>
            </w:tcBorders>
            <w:shd w:val="clear" w:color="000000" w:fill="FFFFFF"/>
            <w:noWrap/>
            <w:vAlign w:val="bottom"/>
            <w:hideMark/>
          </w:tcPr>
          <w:p w14:paraId="1A9551CB" w14:textId="4F910EA9" w:rsidR="007A669A" w:rsidRPr="005C7317" w:rsidRDefault="007A669A" w:rsidP="00A1600C">
            <w:pPr>
              <w:pStyle w:val="Tabletextcentred"/>
            </w:pPr>
            <w:r w:rsidRPr="008664C7">
              <w:t>20</w:t>
            </w:r>
            <w:r>
              <w:t>09-</w:t>
            </w:r>
            <w:r w:rsidRPr="008664C7">
              <w:t>10</w:t>
            </w:r>
          </w:p>
        </w:tc>
        <w:tc>
          <w:tcPr>
            <w:tcW w:w="739" w:type="pct"/>
            <w:tcBorders>
              <w:top w:val="nil"/>
              <w:left w:val="nil"/>
              <w:bottom w:val="nil"/>
              <w:right w:val="nil"/>
            </w:tcBorders>
            <w:shd w:val="clear" w:color="000000" w:fill="FFFFFF"/>
            <w:noWrap/>
            <w:vAlign w:val="bottom"/>
            <w:hideMark/>
          </w:tcPr>
          <w:p w14:paraId="6D6FA133" w14:textId="77777777" w:rsidR="007A669A" w:rsidRPr="005C7317" w:rsidRDefault="007A669A" w:rsidP="00A1600C">
            <w:pPr>
              <w:pStyle w:val="TableTextRight"/>
            </w:pPr>
            <w:r w:rsidRPr="005C7317">
              <w:t>94,689</w:t>
            </w:r>
          </w:p>
        </w:tc>
        <w:tc>
          <w:tcPr>
            <w:tcW w:w="739" w:type="pct"/>
            <w:tcBorders>
              <w:top w:val="nil"/>
              <w:left w:val="nil"/>
              <w:bottom w:val="nil"/>
              <w:right w:val="nil"/>
            </w:tcBorders>
            <w:shd w:val="clear" w:color="000000" w:fill="FFFFFF"/>
            <w:noWrap/>
            <w:vAlign w:val="bottom"/>
            <w:hideMark/>
          </w:tcPr>
          <w:p w14:paraId="6E881FAB" w14:textId="77777777" w:rsidR="007A669A" w:rsidRPr="005C7317" w:rsidRDefault="007A669A" w:rsidP="00A1600C">
            <w:pPr>
              <w:pStyle w:val="TableTextRight"/>
            </w:pPr>
            <w:r w:rsidRPr="005C7317">
              <w:t>180,389</w:t>
            </w:r>
          </w:p>
        </w:tc>
        <w:tc>
          <w:tcPr>
            <w:tcW w:w="739" w:type="pct"/>
            <w:tcBorders>
              <w:top w:val="nil"/>
              <w:left w:val="nil"/>
              <w:bottom w:val="nil"/>
              <w:right w:val="nil"/>
            </w:tcBorders>
            <w:shd w:val="clear" w:color="000000" w:fill="FFFFFF"/>
            <w:noWrap/>
            <w:vAlign w:val="bottom"/>
            <w:hideMark/>
          </w:tcPr>
          <w:p w14:paraId="7733C832" w14:textId="77777777" w:rsidR="007A669A" w:rsidRPr="005C7317" w:rsidRDefault="007A669A" w:rsidP="00A1600C">
            <w:pPr>
              <w:pStyle w:val="TableTextRight"/>
            </w:pPr>
            <w:r w:rsidRPr="005C7317">
              <w:t>391,365</w:t>
            </w:r>
          </w:p>
        </w:tc>
        <w:tc>
          <w:tcPr>
            <w:tcW w:w="739" w:type="pct"/>
            <w:tcBorders>
              <w:top w:val="nil"/>
              <w:left w:val="nil"/>
              <w:bottom w:val="nil"/>
              <w:right w:val="nil"/>
            </w:tcBorders>
            <w:shd w:val="clear" w:color="000000" w:fill="FFFFFF"/>
            <w:noWrap/>
            <w:vAlign w:val="bottom"/>
            <w:hideMark/>
          </w:tcPr>
          <w:p w14:paraId="189427B8" w14:textId="77777777" w:rsidR="007A669A" w:rsidRPr="005C7317" w:rsidRDefault="007A669A" w:rsidP="00A1600C">
            <w:pPr>
              <w:pStyle w:val="TableTextRight"/>
            </w:pPr>
            <w:r w:rsidRPr="005C7317">
              <w:t>451,140</w:t>
            </w:r>
          </w:p>
        </w:tc>
        <w:tc>
          <w:tcPr>
            <w:tcW w:w="739" w:type="pct"/>
            <w:tcBorders>
              <w:top w:val="nil"/>
              <w:left w:val="nil"/>
              <w:bottom w:val="nil"/>
              <w:right w:val="nil"/>
            </w:tcBorders>
            <w:shd w:val="clear" w:color="000000" w:fill="FFFFFF"/>
            <w:noWrap/>
            <w:vAlign w:val="bottom"/>
            <w:hideMark/>
          </w:tcPr>
          <w:p w14:paraId="06C47392" w14:textId="77777777" w:rsidR="007A669A" w:rsidRPr="005C7317" w:rsidRDefault="007A669A" w:rsidP="00A1600C">
            <w:pPr>
              <w:pStyle w:val="TableTextRight"/>
            </w:pPr>
            <w:r w:rsidRPr="005C7317">
              <w:t>20,059</w:t>
            </w:r>
          </w:p>
        </w:tc>
        <w:tc>
          <w:tcPr>
            <w:tcW w:w="735" w:type="pct"/>
            <w:tcBorders>
              <w:top w:val="nil"/>
              <w:left w:val="nil"/>
              <w:bottom w:val="nil"/>
              <w:right w:val="nil"/>
            </w:tcBorders>
            <w:shd w:val="clear" w:color="000000" w:fill="FFFFFF"/>
            <w:noWrap/>
            <w:vAlign w:val="bottom"/>
            <w:hideMark/>
          </w:tcPr>
          <w:p w14:paraId="39926495" w14:textId="77777777" w:rsidR="007A669A" w:rsidRPr="005C7317" w:rsidRDefault="007A669A" w:rsidP="00A1600C">
            <w:pPr>
              <w:pStyle w:val="TableTextRight"/>
            </w:pPr>
            <w:r w:rsidRPr="005C7317">
              <w:t>2,914,316</w:t>
            </w:r>
          </w:p>
        </w:tc>
      </w:tr>
      <w:tr w:rsidR="00C90461" w:rsidRPr="005C7317" w14:paraId="197B09A8"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1212E84A" w14:textId="23FED06E" w:rsidR="007A669A" w:rsidRPr="005C7317" w:rsidRDefault="007A669A" w:rsidP="00A1600C">
            <w:pPr>
              <w:pStyle w:val="Tabletextcentred"/>
            </w:pPr>
            <w:r w:rsidRPr="008664C7">
              <w:t>20</w:t>
            </w:r>
            <w:r>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7A660DB6" w14:textId="77777777" w:rsidR="007A669A" w:rsidRPr="005C7317" w:rsidRDefault="007A669A" w:rsidP="00A1600C">
            <w:pPr>
              <w:pStyle w:val="TableTextRight"/>
            </w:pPr>
            <w:r w:rsidRPr="005C7317">
              <w:t>95,999</w:t>
            </w:r>
          </w:p>
        </w:tc>
        <w:tc>
          <w:tcPr>
            <w:tcW w:w="739" w:type="pct"/>
            <w:tcBorders>
              <w:top w:val="nil"/>
              <w:left w:val="nil"/>
              <w:bottom w:val="nil"/>
              <w:right w:val="nil"/>
            </w:tcBorders>
            <w:shd w:val="clear" w:color="auto" w:fill="F2F2F2" w:themeFill="background1" w:themeFillShade="F2"/>
            <w:noWrap/>
            <w:vAlign w:val="bottom"/>
            <w:hideMark/>
          </w:tcPr>
          <w:p w14:paraId="3828ED1D" w14:textId="77777777" w:rsidR="007A669A" w:rsidRPr="005C7317" w:rsidRDefault="007A669A" w:rsidP="00A1600C">
            <w:pPr>
              <w:pStyle w:val="TableTextRight"/>
            </w:pPr>
            <w:r w:rsidRPr="005C7317">
              <w:t>183,137</w:t>
            </w:r>
          </w:p>
        </w:tc>
        <w:tc>
          <w:tcPr>
            <w:tcW w:w="739" w:type="pct"/>
            <w:tcBorders>
              <w:top w:val="nil"/>
              <w:left w:val="nil"/>
              <w:bottom w:val="nil"/>
              <w:right w:val="nil"/>
            </w:tcBorders>
            <w:shd w:val="clear" w:color="auto" w:fill="F2F2F2" w:themeFill="background1" w:themeFillShade="F2"/>
            <w:noWrap/>
            <w:vAlign w:val="bottom"/>
            <w:hideMark/>
          </w:tcPr>
          <w:p w14:paraId="151D3DE4" w14:textId="77777777" w:rsidR="007A669A" w:rsidRPr="005C7317" w:rsidRDefault="007A669A" w:rsidP="00A1600C">
            <w:pPr>
              <w:pStyle w:val="TableTextRight"/>
            </w:pPr>
            <w:r w:rsidRPr="005C7317">
              <w:t>406,723</w:t>
            </w:r>
          </w:p>
        </w:tc>
        <w:tc>
          <w:tcPr>
            <w:tcW w:w="739" w:type="pct"/>
            <w:tcBorders>
              <w:top w:val="nil"/>
              <w:left w:val="nil"/>
              <w:bottom w:val="nil"/>
              <w:right w:val="nil"/>
            </w:tcBorders>
            <w:shd w:val="clear" w:color="auto" w:fill="F2F2F2" w:themeFill="background1" w:themeFillShade="F2"/>
            <w:noWrap/>
            <w:vAlign w:val="bottom"/>
            <w:hideMark/>
          </w:tcPr>
          <w:p w14:paraId="1DDC0AD4" w14:textId="77777777" w:rsidR="007A669A" w:rsidRPr="005C7317" w:rsidRDefault="007A669A" w:rsidP="00A1600C">
            <w:pPr>
              <w:pStyle w:val="TableTextRight"/>
            </w:pPr>
            <w:r w:rsidRPr="005C7317">
              <w:t>483,722</w:t>
            </w:r>
          </w:p>
        </w:tc>
        <w:tc>
          <w:tcPr>
            <w:tcW w:w="739" w:type="pct"/>
            <w:tcBorders>
              <w:top w:val="nil"/>
              <w:left w:val="nil"/>
              <w:bottom w:val="nil"/>
              <w:right w:val="nil"/>
            </w:tcBorders>
            <w:shd w:val="clear" w:color="auto" w:fill="F2F2F2" w:themeFill="background1" w:themeFillShade="F2"/>
            <w:noWrap/>
            <w:vAlign w:val="bottom"/>
            <w:hideMark/>
          </w:tcPr>
          <w:p w14:paraId="1D9826EF" w14:textId="77777777" w:rsidR="007A669A" w:rsidRPr="005C7317" w:rsidRDefault="007A669A" w:rsidP="00A1600C">
            <w:pPr>
              <w:pStyle w:val="TableTextRight"/>
            </w:pPr>
            <w:r w:rsidRPr="005C7317">
              <w:t>20,065</w:t>
            </w:r>
          </w:p>
        </w:tc>
        <w:tc>
          <w:tcPr>
            <w:tcW w:w="735" w:type="pct"/>
            <w:tcBorders>
              <w:top w:val="nil"/>
              <w:left w:val="nil"/>
              <w:bottom w:val="nil"/>
              <w:right w:val="nil"/>
            </w:tcBorders>
            <w:shd w:val="clear" w:color="auto" w:fill="F2F2F2" w:themeFill="background1" w:themeFillShade="F2"/>
            <w:noWrap/>
            <w:vAlign w:val="bottom"/>
            <w:hideMark/>
          </w:tcPr>
          <w:p w14:paraId="711A4FF9" w14:textId="77777777" w:rsidR="007A669A" w:rsidRPr="005C7317" w:rsidRDefault="007A669A" w:rsidP="00A1600C">
            <w:pPr>
              <w:pStyle w:val="TableTextRight"/>
            </w:pPr>
            <w:r w:rsidRPr="005C7317">
              <w:t>3,368,839</w:t>
            </w:r>
          </w:p>
        </w:tc>
      </w:tr>
      <w:tr w:rsidR="00C90461" w:rsidRPr="005C7317" w14:paraId="64572688" w14:textId="77777777" w:rsidTr="00C90461">
        <w:trPr>
          <w:trHeight w:val="255"/>
        </w:trPr>
        <w:tc>
          <w:tcPr>
            <w:tcW w:w="569" w:type="pct"/>
            <w:tcBorders>
              <w:top w:val="nil"/>
              <w:left w:val="nil"/>
              <w:bottom w:val="nil"/>
              <w:right w:val="nil"/>
            </w:tcBorders>
            <w:shd w:val="clear" w:color="000000" w:fill="FFFFFF"/>
            <w:noWrap/>
            <w:vAlign w:val="bottom"/>
            <w:hideMark/>
          </w:tcPr>
          <w:p w14:paraId="202E31CC" w14:textId="5DD14C28" w:rsidR="007A669A" w:rsidRPr="005C7317" w:rsidRDefault="007A669A" w:rsidP="00A1600C">
            <w:pPr>
              <w:pStyle w:val="Tabletextcentred"/>
            </w:pPr>
            <w:r w:rsidRPr="008664C7">
              <w:t>20</w:t>
            </w:r>
            <w:r>
              <w:t>11-</w:t>
            </w:r>
            <w:r w:rsidRPr="008664C7">
              <w:t>12</w:t>
            </w:r>
          </w:p>
        </w:tc>
        <w:tc>
          <w:tcPr>
            <w:tcW w:w="739" w:type="pct"/>
            <w:tcBorders>
              <w:top w:val="nil"/>
              <w:left w:val="nil"/>
              <w:bottom w:val="nil"/>
              <w:right w:val="nil"/>
            </w:tcBorders>
            <w:shd w:val="clear" w:color="000000" w:fill="FFFFFF"/>
            <w:noWrap/>
            <w:vAlign w:val="bottom"/>
            <w:hideMark/>
          </w:tcPr>
          <w:p w14:paraId="273928B1" w14:textId="77777777" w:rsidR="007A669A" w:rsidRPr="005C7317" w:rsidRDefault="007A669A" w:rsidP="00A1600C">
            <w:pPr>
              <w:pStyle w:val="TableTextRight"/>
            </w:pPr>
            <w:r w:rsidRPr="005C7317">
              <w:t>95,629</w:t>
            </w:r>
          </w:p>
        </w:tc>
        <w:tc>
          <w:tcPr>
            <w:tcW w:w="739" w:type="pct"/>
            <w:tcBorders>
              <w:top w:val="nil"/>
              <w:left w:val="nil"/>
              <w:bottom w:val="nil"/>
              <w:right w:val="nil"/>
            </w:tcBorders>
            <w:shd w:val="clear" w:color="000000" w:fill="FFFFFF"/>
            <w:noWrap/>
            <w:vAlign w:val="bottom"/>
            <w:hideMark/>
          </w:tcPr>
          <w:p w14:paraId="56DAD003" w14:textId="77777777" w:rsidR="007A669A" w:rsidRPr="005C7317" w:rsidRDefault="007A669A" w:rsidP="00A1600C">
            <w:pPr>
              <w:pStyle w:val="TableTextRight"/>
            </w:pPr>
            <w:r w:rsidRPr="005C7317">
              <w:t>183,670</w:t>
            </w:r>
          </w:p>
        </w:tc>
        <w:tc>
          <w:tcPr>
            <w:tcW w:w="739" w:type="pct"/>
            <w:tcBorders>
              <w:top w:val="nil"/>
              <w:left w:val="nil"/>
              <w:bottom w:val="nil"/>
              <w:right w:val="nil"/>
            </w:tcBorders>
            <w:shd w:val="clear" w:color="000000" w:fill="FFFFFF"/>
            <w:noWrap/>
            <w:vAlign w:val="bottom"/>
            <w:hideMark/>
          </w:tcPr>
          <w:p w14:paraId="236AE865" w14:textId="77777777" w:rsidR="007A669A" w:rsidRPr="005C7317" w:rsidRDefault="007A669A" w:rsidP="00A1600C">
            <w:pPr>
              <w:pStyle w:val="TableTextRight"/>
            </w:pPr>
            <w:r w:rsidRPr="005C7317">
              <w:t>408,602</w:t>
            </w:r>
          </w:p>
        </w:tc>
        <w:tc>
          <w:tcPr>
            <w:tcW w:w="739" w:type="pct"/>
            <w:tcBorders>
              <w:top w:val="nil"/>
              <w:left w:val="nil"/>
              <w:bottom w:val="nil"/>
              <w:right w:val="nil"/>
            </w:tcBorders>
            <w:shd w:val="clear" w:color="000000" w:fill="FFFFFF"/>
            <w:noWrap/>
            <w:vAlign w:val="bottom"/>
            <w:hideMark/>
          </w:tcPr>
          <w:p w14:paraId="57623458" w14:textId="77777777" w:rsidR="007A669A" w:rsidRPr="005C7317" w:rsidRDefault="007A669A" w:rsidP="00A1600C">
            <w:pPr>
              <w:pStyle w:val="TableTextRight"/>
            </w:pPr>
            <w:r w:rsidRPr="005C7317">
              <w:t>482,459</w:t>
            </w:r>
          </w:p>
        </w:tc>
        <w:tc>
          <w:tcPr>
            <w:tcW w:w="739" w:type="pct"/>
            <w:tcBorders>
              <w:top w:val="nil"/>
              <w:left w:val="nil"/>
              <w:bottom w:val="nil"/>
              <w:right w:val="nil"/>
            </w:tcBorders>
            <w:shd w:val="clear" w:color="000000" w:fill="FFFFFF"/>
            <w:noWrap/>
            <w:vAlign w:val="bottom"/>
            <w:hideMark/>
          </w:tcPr>
          <w:p w14:paraId="6D7F0303" w14:textId="77777777" w:rsidR="007A669A" w:rsidRPr="005C7317" w:rsidRDefault="007A669A" w:rsidP="00A1600C">
            <w:pPr>
              <w:pStyle w:val="TableTextRight"/>
            </w:pPr>
            <w:r w:rsidRPr="005C7317">
              <w:t>20,382</w:t>
            </w:r>
          </w:p>
        </w:tc>
        <w:tc>
          <w:tcPr>
            <w:tcW w:w="735" w:type="pct"/>
            <w:tcBorders>
              <w:top w:val="nil"/>
              <w:left w:val="nil"/>
              <w:bottom w:val="nil"/>
              <w:right w:val="nil"/>
            </w:tcBorders>
            <w:shd w:val="clear" w:color="000000" w:fill="FFFFFF"/>
            <w:noWrap/>
            <w:vAlign w:val="bottom"/>
            <w:hideMark/>
          </w:tcPr>
          <w:p w14:paraId="3CA36B46" w14:textId="77777777" w:rsidR="007A669A" w:rsidRPr="005C7317" w:rsidRDefault="007A669A" w:rsidP="00A1600C">
            <w:pPr>
              <w:pStyle w:val="TableTextRight"/>
            </w:pPr>
            <w:r w:rsidRPr="005C7317">
              <w:t>3,846,431</w:t>
            </w:r>
          </w:p>
        </w:tc>
      </w:tr>
      <w:tr w:rsidR="00C90461" w:rsidRPr="005C7317" w14:paraId="23DCDF2F" w14:textId="77777777" w:rsidTr="00E80550">
        <w:trPr>
          <w:trHeight w:val="255"/>
        </w:trPr>
        <w:tc>
          <w:tcPr>
            <w:tcW w:w="569" w:type="pct"/>
            <w:tcBorders>
              <w:top w:val="nil"/>
              <w:left w:val="nil"/>
              <w:bottom w:val="nil"/>
              <w:right w:val="nil"/>
            </w:tcBorders>
            <w:shd w:val="clear" w:color="auto" w:fill="F2F2F2" w:themeFill="background1" w:themeFillShade="F2"/>
            <w:noWrap/>
            <w:vAlign w:val="bottom"/>
            <w:hideMark/>
          </w:tcPr>
          <w:p w14:paraId="7E6E21E5" w14:textId="237C2F39" w:rsidR="007A669A" w:rsidRPr="005C7317" w:rsidRDefault="007A669A" w:rsidP="00A1600C">
            <w:pPr>
              <w:pStyle w:val="Tabletextcentred"/>
            </w:pPr>
            <w:r w:rsidRPr="008664C7">
              <w:t>20</w:t>
            </w:r>
            <w:r>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62173D02" w14:textId="77777777" w:rsidR="007A669A" w:rsidRPr="005C7317" w:rsidRDefault="007A669A" w:rsidP="00A1600C">
            <w:pPr>
              <w:pStyle w:val="TableTextRight"/>
            </w:pPr>
            <w:r w:rsidRPr="005C7317">
              <w:t>95,561</w:t>
            </w:r>
          </w:p>
        </w:tc>
        <w:tc>
          <w:tcPr>
            <w:tcW w:w="739" w:type="pct"/>
            <w:tcBorders>
              <w:top w:val="nil"/>
              <w:left w:val="nil"/>
              <w:bottom w:val="nil"/>
              <w:right w:val="nil"/>
            </w:tcBorders>
            <w:shd w:val="clear" w:color="auto" w:fill="F2F2F2" w:themeFill="background1" w:themeFillShade="F2"/>
            <w:noWrap/>
            <w:vAlign w:val="bottom"/>
            <w:hideMark/>
          </w:tcPr>
          <w:p w14:paraId="308C6871" w14:textId="77777777" w:rsidR="007A669A" w:rsidRPr="005C7317" w:rsidRDefault="007A669A" w:rsidP="00A1600C">
            <w:pPr>
              <w:pStyle w:val="TableTextRight"/>
            </w:pPr>
            <w:r w:rsidRPr="005C7317">
              <w:t>185,720</w:t>
            </w:r>
          </w:p>
        </w:tc>
        <w:tc>
          <w:tcPr>
            <w:tcW w:w="739" w:type="pct"/>
            <w:tcBorders>
              <w:top w:val="nil"/>
              <w:left w:val="nil"/>
              <w:bottom w:val="nil"/>
              <w:right w:val="nil"/>
            </w:tcBorders>
            <w:shd w:val="clear" w:color="auto" w:fill="F2F2F2" w:themeFill="background1" w:themeFillShade="F2"/>
            <w:noWrap/>
            <w:vAlign w:val="bottom"/>
            <w:hideMark/>
          </w:tcPr>
          <w:p w14:paraId="158F946A" w14:textId="77777777" w:rsidR="007A669A" w:rsidRPr="005C7317" w:rsidRDefault="007A669A" w:rsidP="00A1600C">
            <w:pPr>
              <w:pStyle w:val="TableTextRight"/>
            </w:pPr>
            <w:r w:rsidRPr="005C7317">
              <w:t>413,198</w:t>
            </w:r>
          </w:p>
        </w:tc>
        <w:tc>
          <w:tcPr>
            <w:tcW w:w="739" w:type="pct"/>
            <w:tcBorders>
              <w:top w:val="nil"/>
              <w:left w:val="nil"/>
              <w:bottom w:val="nil"/>
              <w:right w:val="nil"/>
            </w:tcBorders>
            <w:shd w:val="clear" w:color="auto" w:fill="F2F2F2" w:themeFill="background1" w:themeFillShade="F2"/>
            <w:noWrap/>
            <w:vAlign w:val="bottom"/>
            <w:hideMark/>
          </w:tcPr>
          <w:p w14:paraId="403D666C" w14:textId="77777777" w:rsidR="007A669A" w:rsidRPr="005C7317" w:rsidRDefault="007A669A" w:rsidP="00A1600C">
            <w:pPr>
              <w:pStyle w:val="TableTextRight"/>
            </w:pPr>
            <w:r w:rsidRPr="005C7317">
              <w:t>489,554</w:t>
            </w:r>
          </w:p>
        </w:tc>
        <w:tc>
          <w:tcPr>
            <w:tcW w:w="739" w:type="pct"/>
            <w:tcBorders>
              <w:top w:val="nil"/>
              <w:left w:val="nil"/>
              <w:bottom w:val="nil"/>
              <w:right w:val="nil"/>
            </w:tcBorders>
            <w:shd w:val="clear" w:color="auto" w:fill="F2F2F2" w:themeFill="background1" w:themeFillShade="F2"/>
            <w:noWrap/>
            <w:vAlign w:val="bottom"/>
            <w:hideMark/>
          </w:tcPr>
          <w:p w14:paraId="0E8F14C1" w14:textId="77777777" w:rsidR="007A669A" w:rsidRPr="005C7317" w:rsidRDefault="007A669A" w:rsidP="00A1600C">
            <w:pPr>
              <w:pStyle w:val="TableTextRight"/>
            </w:pPr>
            <w:r w:rsidRPr="005C7317">
              <w:t>18,612</w:t>
            </w:r>
          </w:p>
        </w:tc>
        <w:tc>
          <w:tcPr>
            <w:tcW w:w="735" w:type="pct"/>
            <w:tcBorders>
              <w:top w:val="nil"/>
              <w:left w:val="nil"/>
              <w:bottom w:val="nil"/>
              <w:right w:val="nil"/>
            </w:tcBorders>
            <w:shd w:val="clear" w:color="auto" w:fill="F2F2F2" w:themeFill="background1" w:themeFillShade="F2"/>
            <w:noWrap/>
            <w:vAlign w:val="bottom"/>
            <w:hideMark/>
          </w:tcPr>
          <w:p w14:paraId="221BE996" w14:textId="77777777" w:rsidR="007A669A" w:rsidRPr="005C7317" w:rsidRDefault="007A669A" w:rsidP="00A1600C">
            <w:pPr>
              <w:pStyle w:val="TableTextRight"/>
            </w:pPr>
            <w:r w:rsidRPr="005C7317">
              <w:t>3,181,309</w:t>
            </w:r>
          </w:p>
        </w:tc>
      </w:tr>
      <w:tr w:rsidR="00C90461" w:rsidRPr="005C7317" w14:paraId="37EBDACF" w14:textId="77777777" w:rsidTr="00C90461">
        <w:trPr>
          <w:trHeight w:val="255"/>
        </w:trPr>
        <w:tc>
          <w:tcPr>
            <w:tcW w:w="569" w:type="pct"/>
            <w:tcBorders>
              <w:top w:val="nil"/>
              <w:left w:val="nil"/>
              <w:bottom w:val="nil"/>
              <w:right w:val="nil"/>
            </w:tcBorders>
            <w:shd w:val="clear" w:color="000000" w:fill="FFFFFF"/>
            <w:noWrap/>
            <w:vAlign w:val="bottom"/>
            <w:hideMark/>
          </w:tcPr>
          <w:p w14:paraId="6B6AD0AF" w14:textId="366F7B85" w:rsidR="007A669A" w:rsidRPr="005C7317" w:rsidRDefault="007A669A" w:rsidP="00A1600C">
            <w:pPr>
              <w:pStyle w:val="Tabletextcentred"/>
            </w:pPr>
            <w:r w:rsidRPr="008664C7">
              <w:t>20</w:t>
            </w:r>
            <w:r>
              <w:t>13-</w:t>
            </w:r>
            <w:r w:rsidRPr="008664C7">
              <w:t>14</w:t>
            </w:r>
          </w:p>
        </w:tc>
        <w:tc>
          <w:tcPr>
            <w:tcW w:w="739" w:type="pct"/>
            <w:tcBorders>
              <w:top w:val="nil"/>
              <w:left w:val="nil"/>
              <w:bottom w:val="nil"/>
              <w:right w:val="nil"/>
            </w:tcBorders>
            <w:shd w:val="clear" w:color="000000" w:fill="FFFFFF"/>
            <w:noWrap/>
            <w:vAlign w:val="bottom"/>
            <w:hideMark/>
          </w:tcPr>
          <w:p w14:paraId="7BD4B5C4" w14:textId="77777777" w:rsidR="007A669A" w:rsidRPr="005C7317" w:rsidRDefault="007A669A" w:rsidP="00A1600C">
            <w:pPr>
              <w:pStyle w:val="TableTextRight"/>
            </w:pPr>
            <w:r w:rsidRPr="005C7317">
              <w:t>99,457</w:t>
            </w:r>
          </w:p>
        </w:tc>
        <w:tc>
          <w:tcPr>
            <w:tcW w:w="739" w:type="pct"/>
            <w:tcBorders>
              <w:top w:val="nil"/>
              <w:left w:val="nil"/>
              <w:bottom w:val="nil"/>
              <w:right w:val="nil"/>
            </w:tcBorders>
            <w:shd w:val="clear" w:color="000000" w:fill="FFFFFF"/>
            <w:noWrap/>
            <w:vAlign w:val="bottom"/>
            <w:hideMark/>
          </w:tcPr>
          <w:p w14:paraId="2A4E2B7F" w14:textId="77777777" w:rsidR="007A669A" w:rsidRPr="005C7317" w:rsidRDefault="007A669A" w:rsidP="00A1600C">
            <w:pPr>
              <w:pStyle w:val="TableTextRight"/>
            </w:pPr>
            <w:r w:rsidRPr="005C7317">
              <w:t>192,113</w:t>
            </w:r>
          </w:p>
        </w:tc>
        <w:tc>
          <w:tcPr>
            <w:tcW w:w="739" w:type="pct"/>
            <w:tcBorders>
              <w:top w:val="nil"/>
              <w:left w:val="nil"/>
              <w:bottom w:val="nil"/>
              <w:right w:val="nil"/>
            </w:tcBorders>
            <w:shd w:val="clear" w:color="000000" w:fill="FFFFFF"/>
            <w:noWrap/>
            <w:vAlign w:val="bottom"/>
            <w:hideMark/>
          </w:tcPr>
          <w:p w14:paraId="13E77464" w14:textId="77777777" w:rsidR="007A669A" w:rsidRPr="005C7317" w:rsidRDefault="007A669A" w:rsidP="00A1600C">
            <w:pPr>
              <w:pStyle w:val="TableTextRight"/>
            </w:pPr>
            <w:r w:rsidRPr="005C7317">
              <w:t>431,280</w:t>
            </w:r>
          </w:p>
        </w:tc>
        <w:tc>
          <w:tcPr>
            <w:tcW w:w="739" w:type="pct"/>
            <w:tcBorders>
              <w:top w:val="nil"/>
              <w:left w:val="nil"/>
              <w:bottom w:val="nil"/>
              <w:right w:val="nil"/>
            </w:tcBorders>
            <w:shd w:val="clear" w:color="000000" w:fill="FFFFFF"/>
            <w:noWrap/>
            <w:vAlign w:val="bottom"/>
            <w:hideMark/>
          </w:tcPr>
          <w:p w14:paraId="3168DE38" w14:textId="77777777" w:rsidR="007A669A" w:rsidRPr="005C7317" w:rsidRDefault="007A669A" w:rsidP="00A1600C">
            <w:pPr>
              <w:pStyle w:val="TableTextRight"/>
            </w:pPr>
            <w:r w:rsidRPr="005C7317">
              <w:t>515,053</w:t>
            </w:r>
          </w:p>
        </w:tc>
        <w:tc>
          <w:tcPr>
            <w:tcW w:w="739" w:type="pct"/>
            <w:tcBorders>
              <w:top w:val="nil"/>
              <w:left w:val="nil"/>
              <w:bottom w:val="nil"/>
              <w:right w:val="nil"/>
            </w:tcBorders>
            <w:shd w:val="clear" w:color="000000" w:fill="FFFFFF"/>
            <w:noWrap/>
            <w:vAlign w:val="bottom"/>
            <w:hideMark/>
          </w:tcPr>
          <w:p w14:paraId="1F21E589" w14:textId="77777777" w:rsidR="007A669A" w:rsidRPr="005C7317" w:rsidRDefault="007A669A" w:rsidP="00A1600C">
            <w:pPr>
              <w:pStyle w:val="TableTextRight"/>
            </w:pPr>
            <w:r w:rsidRPr="005C7317">
              <w:t>17,351</w:t>
            </w:r>
          </w:p>
        </w:tc>
        <w:tc>
          <w:tcPr>
            <w:tcW w:w="735" w:type="pct"/>
            <w:tcBorders>
              <w:top w:val="nil"/>
              <w:left w:val="nil"/>
              <w:bottom w:val="nil"/>
              <w:right w:val="nil"/>
            </w:tcBorders>
            <w:shd w:val="clear" w:color="000000" w:fill="FFFFFF"/>
            <w:noWrap/>
            <w:vAlign w:val="bottom"/>
            <w:hideMark/>
          </w:tcPr>
          <w:p w14:paraId="726F6E6A" w14:textId="77777777" w:rsidR="007A669A" w:rsidRPr="005C7317" w:rsidRDefault="007A669A" w:rsidP="00A1600C">
            <w:pPr>
              <w:pStyle w:val="TableTextRight"/>
            </w:pPr>
            <w:r w:rsidRPr="005C7317">
              <w:t>3,489,835</w:t>
            </w:r>
          </w:p>
        </w:tc>
      </w:tr>
      <w:tr w:rsidR="00C90461" w:rsidRPr="005C7317" w14:paraId="6EB66E25" w14:textId="77777777" w:rsidTr="00E80550">
        <w:trPr>
          <w:trHeight w:val="255"/>
        </w:trPr>
        <w:tc>
          <w:tcPr>
            <w:tcW w:w="569" w:type="pct"/>
            <w:tcBorders>
              <w:top w:val="nil"/>
              <w:left w:val="nil"/>
              <w:bottom w:val="single" w:sz="4" w:space="0" w:color="auto"/>
              <w:right w:val="nil"/>
            </w:tcBorders>
            <w:shd w:val="clear" w:color="auto" w:fill="F2F2F2" w:themeFill="background1" w:themeFillShade="F2"/>
            <w:noWrap/>
            <w:vAlign w:val="bottom"/>
            <w:hideMark/>
          </w:tcPr>
          <w:p w14:paraId="6E360C3E" w14:textId="24FEFFD3" w:rsidR="007A669A" w:rsidRPr="005C7317" w:rsidRDefault="007A669A" w:rsidP="00A1600C">
            <w:pPr>
              <w:pStyle w:val="Tabletextcentred"/>
            </w:pPr>
            <w:r w:rsidRPr="008664C7">
              <w:t>20</w:t>
            </w:r>
            <w:r>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2A808695" w14:textId="77777777" w:rsidR="007A669A" w:rsidRPr="005C7317" w:rsidRDefault="007A669A" w:rsidP="00A1600C">
            <w:pPr>
              <w:pStyle w:val="TableTextRight"/>
            </w:pPr>
            <w:r w:rsidRPr="005C7317">
              <w:t>100,032</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1FB7D6BA" w14:textId="77777777" w:rsidR="007A669A" w:rsidRPr="005C7317" w:rsidRDefault="007A669A" w:rsidP="00A1600C">
            <w:pPr>
              <w:pStyle w:val="TableTextRight"/>
            </w:pPr>
            <w:r w:rsidRPr="005C7317">
              <w:t>196,337</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6AB553D1" w14:textId="77777777" w:rsidR="007A669A" w:rsidRPr="005C7317" w:rsidRDefault="007A669A" w:rsidP="00A1600C">
            <w:pPr>
              <w:pStyle w:val="TableTextRight"/>
            </w:pPr>
            <w:r w:rsidRPr="005C7317">
              <w:t>434,622</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495D663F" w14:textId="77777777" w:rsidR="007A669A" w:rsidRPr="005C7317" w:rsidRDefault="007A669A" w:rsidP="00A1600C">
            <w:pPr>
              <w:pStyle w:val="TableTextRight"/>
            </w:pPr>
            <w:r w:rsidRPr="005C7317">
              <w:t>514,540</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1F285941" w14:textId="77777777" w:rsidR="007A669A" w:rsidRPr="005C7317" w:rsidRDefault="007A669A" w:rsidP="00A1600C">
            <w:pPr>
              <w:pStyle w:val="TableTextRight"/>
            </w:pPr>
            <w:r w:rsidRPr="005C7317">
              <w:t>18,352</w:t>
            </w:r>
          </w:p>
        </w:tc>
        <w:tc>
          <w:tcPr>
            <w:tcW w:w="735" w:type="pct"/>
            <w:tcBorders>
              <w:top w:val="nil"/>
              <w:left w:val="nil"/>
              <w:bottom w:val="single" w:sz="4" w:space="0" w:color="auto"/>
              <w:right w:val="nil"/>
            </w:tcBorders>
            <w:shd w:val="clear" w:color="auto" w:fill="F2F2F2" w:themeFill="background1" w:themeFillShade="F2"/>
            <w:noWrap/>
            <w:vAlign w:val="bottom"/>
            <w:hideMark/>
          </w:tcPr>
          <w:p w14:paraId="69F4C856" w14:textId="77777777" w:rsidR="007A669A" w:rsidRPr="005C7317" w:rsidRDefault="007A669A" w:rsidP="00A1600C">
            <w:pPr>
              <w:pStyle w:val="TableTextRight"/>
            </w:pPr>
            <w:r w:rsidRPr="005C7317">
              <w:t>3,464,232</w:t>
            </w:r>
          </w:p>
        </w:tc>
      </w:tr>
    </w:tbl>
    <w:p w14:paraId="67AC78A6" w14:textId="22315C3F" w:rsidR="00877FE2" w:rsidRPr="00877FE2" w:rsidRDefault="00877FE2" w:rsidP="00E80550">
      <w:pPr>
        <w:pStyle w:val="ChartorTableNote"/>
        <w:spacing w:after="0"/>
      </w:pPr>
      <w:r w:rsidRPr="00877FE2">
        <w:t>Source: BLADE.</w:t>
      </w:r>
    </w:p>
    <w:p w14:paraId="0A715F2F" w14:textId="77777777" w:rsidR="00E80550" w:rsidRPr="00E80550" w:rsidRDefault="00E80550" w:rsidP="00E80550"/>
    <w:p w14:paraId="3A5D552F" w14:textId="77777777" w:rsidR="00E80550" w:rsidRPr="00E80550" w:rsidRDefault="00E80550" w:rsidP="00E80550"/>
    <w:p w14:paraId="1995CAB3" w14:textId="77777777" w:rsidR="00C90461" w:rsidRPr="00E80550" w:rsidRDefault="00C90461" w:rsidP="00E80550">
      <w:r w:rsidRPr="00E80550">
        <w:br w:type="page"/>
      </w:r>
    </w:p>
    <w:p w14:paraId="18D86EF0" w14:textId="2132167F" w:rsidR="0002527D" w:rsidRDefault="0002527D" w:rsidP="00F12EE0">
      <w:pPr>
        <w:pStyle w:val="TableMainHeading"/>
      </w:pPr>
      <w:r>
        <w:lastRenderedPageBreak/>
        <w:t>Table B5</w:t>
      </w:r>
      <w:r w:rsidRPr="00245719">
        <w:t xml:space="preserve">: </w:t>
      </w:r>
      <w:r>
        <w:t>Tasmania</w:t>
      </w:r>
    </w:p>
    <w:tbl>
      <w:tblPr>
        <w:tblW w:w="4978" w:type="pct"/>
        <w:tblLook w:val="04A0" w:firstRow="1" w:lastRow="0" w:firstColumn="1" w:lastColumn="0" w:noHBand="0" w:noVBand="1"/>
      </w:tblPr>
      <w:tblGrid>
        <w:gridCol w:w="1080"/>
        <w:gridCol w:w="1400"/>
        <w:gridCol w:w="1400"/>
        <w:gridCol w:w="1400"/>
        <w:gridCol w:w="1400"/>
        <w:gridCol w:w="1400"/>
        <w:gridCol w:w="1392"/>
      </w:tblGrid>
      <w:tr w:rsidR="00E80550" w:rsidRPr="005C7317" w14:paraId="44FC616B" w14:textId="77777777" w:rsidTr="00E80550">
        <w:trPr>
          <w:trHeight w:val="255"/>
        </w:trPr>
        <w:tc>
          <w:tcPr>
            <w:tcW w:w="570" w:type="pct"/>
            <w:tcBorders>
              <w:top w:val="single" w:sz="4" w:space="0" w:color="auto"/>
              <w:left w:val="nil"/>
              <w:bottom w:val="single" w:sz="4" w:space="0" w:color="auto"/>
              <w:right w:val="nil"/>
            </w:tcBorders>
            <w:shd w:val="clear" w:color="auto" w:fill="C6D9F1" w:themeFill="text2" w:themeFillTint="33"/>
            <w:noWrap/>
            <w:vAlign w:val="bottom"/>
            <w:hideMark/>
          </w:tcPr>
          <w:p w14:paraId="2D4AC7E3" w14:textId="77777777" w:rsidR="00C90461" w:rsidRPr="005C7317" w:rsidRDefault="00C90461" w:rsidP="00E80550">
            <w:pPr>
              <w:pStyle w:val="TableColumnHeadingCentred"/>
            </w:pPr>
            <w:r w:rsidRPr="005C7317">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28E321D0" w14:textId="77777777" w:rsidR="00C90461" w:rsidRPr="005C7317" w:rsidRDefault="00C90461" w:rsidP="00C90461">
            <w:pPr>
              <w:pStyle w:val="TableColumnHeadingRight"/>
            </w:pPr>
            <w:r w:rsidRPr="005C7317">
              <w:t>25</w:t>
            </w:r>
            <w:r w:rsidRPr="00C90461">
              <w:rPr>
                <w:vertAlign w:val="superscript"/>
              </w:rPr>
              <w:t>th</w:t>
            </w:r>
            <w:r>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2C94F3F1" w14:textId="77777777" w:rsidR="00C90461" w:rsidRPr="005C7317" w:rsidRDefault="00C90461" w:rsidP="00C90461">
            <w:pPr>
              <w:pStyle w:val="TableColumnHeadingRight"/>
            </w:pPr>
            <w:r>
              <w:t>M</w:t>
            </w:r>
            <w:r w:rsidRPr="005C7317">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695F340C" w14:textId="77777777" w:rsidR="00C90461" w:rsidRPr="005C7317" w:rsidRDefault="00C90461" w:rsidP="00C90461">
            <w:pPr>
              <w:pStyle w:val="TableColumnHeadingRight"/>
            </w:pPr>
            <w:r w:rsidRPr="005C7317">
              <w:t>75</w:t>
            </w:r>
            <w:r w:rsidRPr="00C90461">
              <w:rPr>
                <w:vertAlign w:val="superscript"/>
              </w:rPr>
              <w:t>th</w:t>
            </w:r>
            <w:r>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045CA5DA" w14:textId="77777777" w:rsidR="00C90461" w:rsidRPr="005C7317" w:rsidRDefault="00C90461" w:rsidP="00C90461">
            <w:pPr>
              <w:pStyle w:val="TableColumnHeadingRight"/>
            </w:pPr>
            <w:r>
              <w:t>M</w:t>
            </w:r>
            <w:r w:rsidRPr="005C7317">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7153487A" w14:textId="77777777" w:rsidR="00C90461" w:rsidRPr="005C7317" w:rsidRDefault="00C90461" w:rsidP="00C90461">
            <w:pPr>
              <w:pStyle w:val="TableColumnHeadingRight"/>
            </w:pPr>
            <w:r>
              <w:t>T</w:t>
            </w:r>
            <w:r w:rsidRPr="005C7317">
              <w:t>otal no.</w:t>
            </w:r>
            <w:r>
              <w:br/>
            </w:r>
            <w:r w:rsidRPr="005C7317">
              <w:t>of firms</w:t>
            </w:r>
          </w:p>
        </w:tc>
        <w:tc>
          <w:tcPr>
            <w:tcW w:w="736" w:type="pct"/>
            <w:tcBorders>
              <w:top w:val="single" w:sz="4" w:space="0" w:color="auto"/>
              <w:left w:val="nil"/>
              <w:bottom w:val="single" w:sz="4" w:space="0" w:color="auto"/>
              <w:right w:val="nil"/>
            </w:tcBorders>
            <w:shd w:val="clear" w:color="auto" w:fill="C6D9F1" w:themeFill="text2" w:themeFillTint="33"/>
            <w:noWrap/>
            <w:vAlign w:val="bottom"/>
            <w:hideMark/>
          </w:tcPr>
          <w:p w14:paraId="23105793" w14:textId="77777777" w:rsidR="00C90461" w:rsidRPr="005C7317" w:rsidRDefault="00C90461" w:rsidP="00C90461">
            <w:pPr>
              <w:pStyle w:val="TableColumnHeadingRight"/>
            </w:pPr>
            <w:r>
              <w:t>S</w:t>
            </w:r>
            <w:r w:rsidRPr="005C7317">
              <w:t>tandard</w:t>
            </w:r>
            <w:r>
              <w:br/>
            </w:r>
            <w:r w:rsidRPr="005C7317">
              <w:t>deviation</w:t>
            </w:r>
          </w:p>
        </w:tc>
      </w:tr>
      <w:tr w:rsidR="00E80550" w:rsidRPr="005C7317" w14:paraId="79850627" w14:textId="77777777" w:rsidTr="00E80550">
        <w:trPr>
          <w:trHeight w:val="255"/>
        </w:trPr>
        <w:tc>
          <w:tcPr>
            <w:tcW w:w="570" w:type="pct"/>
            <w:tcBorders>
              <w:top w:val="nil"/>
              <w:left w:val="nil"/>
              <w:bottom w:val="nil"/>
              <w:right w:val="nil"/>
            </w:tcBorders>
            <w:shd w:val="clear" w:color="000000" w:fill="FFFFFF"/>
            <w:noWrap/>
            <w:vAlign w:val="bottom"/>
            <w:hideMark/>
          </w:tcPr>
          <w:p w14:paraId="20530D07" w14:textId="09ACBD00" w:rsidR="007A669A" w:rsidRPr="005C7317" w:rsidRDefault="007A669A" w:rsidP="00A1600C">
            <w:pPr>
              <w:pStyle w:val="Tabletextcentred"/>
              <w:keepNext/>
              <w:keepLines/>
            </w:pPr>
            <w:r w:rsidRPr="008664C7">
              <w:t>200</w:t>
            </w:r>
            <w:r>
              <w:t>1-0</w:t>
            </w:r>
            <w:r w:rsidRPr="008664C7">
              <w:t>2</w:t>
            </w:r>
          </w:p>
        </w:tc>
        <w:tc>
          <w:tcPr>
            <w:tcW w:w="739" w:type="pct"/>
            <w:tcBorders>
              <w:top w:val="nil"/>
              <w:left w:val="nil"/>
              <w:bottom w:val="nil"/>
              <w:right w:val="nil"/>
            </w:tcBorders>
            <w:shd w:val="clear" w:color="000000" w:fill="FFFFFF"/>
            <w:noWrap/>
            <w:vAlign w:val="bottom"/>
            <w:hideMark/>
          </w:tcPr>
          <w:p w14:paraId="2D2786CF" w14:textId="77777777" w:rsidR="007A669A" w:rsidRPr="005C7317" w:rsidRDefault="007A669A" w:rsidP="00A1600C">
            <w:pPr>
              <w:pStyle w:val="TableTextRight"/>
              <w:keepNext/>
              <w:keepLines/>
            </w:pPr>
            <w:r w:rsidRPr="005C7317">
              <w:t>79,245</w:t>
            </w:r>
          </w:p>
        </w:tc>
        <w:tc>
          <w:tcPr>
            <w:tcW w:w="739" w:type="pct"/>
            <w:tcBorders>
              <w:top w:val="nil"/>
              <w:left w:val="nil"/>
              <w:bottom w:val="nil"/>
              <w:right w:val="nil"/>
            </w:tcBorders>
            <w:shd w:val="clear" w:color="000000" w:fill="FFFFFF"/>
            <w:noWrap/>
            <w:vAlign w:val="bottom"/>
            <w:hideMark/>
          </w:tcPr>
          <w:p w14:paraId="606B6EB1" w14:textId="77777777" w:rsidR="007A669A" w:rsidRPr="005C7317" w:rsidRDefault="007A669A" w:rsidP="00A1600C">
            <w:pPr>
              <w:pStyle w:val="TableTextRight"/>
              <w:keepNext/>
              <w:keepLines/>
            </w:pPr>
            <w:r w:rsidRPr="005C7317">
              <w:t>132,896</w:t>
            </w:r>
          </w:p>
        </w:tc>
        <w:tc>
          <w:tcPr>
            <w:tcW w:w="739" w:type="pct"/>
            <w:tcBorders>
              <w:top w:val="nil"/>
              <w:left w:val="nil"/>
              <w:bottom w:val="nil"/>
              <w:right w:val="nil"/>
            </w:tcBorders>
            <w:shd w:val="clear" w:color="000000" w:fill="FFFFFF"/>
            <w:noWrap/>
            <w:vAlign w:val="bottom"/>
            <w:hideMark/>
          </w:tcPr>
          <w:p w14:paraId="14825EAF" w14:textId="77777777" w:rsidR="007A669A" w:rsidRPr="005C7317" w:rsidRDefault="007A669A" w:rsidP="00A1600C">
            <w:pPr>
              <w:pStyle w:val="TableTextRight"/>
              <w:keepNext/>
              <w:keepLines/>
            </w:pPr>
            <w:r w:rsidRPr="005C7317">
              <w:t>259,988</w:t>
            </w:r>
          </w:p>
        </w:tc>
        <w:tc>
          <w:tcPr>
            <w:tcW w:w="739" w:type="pct"/>
            <w:tcBorders>
              <w:top w:val="nil"/>
              <w:left w:val="nil"/>
              <w:bottom w:val="nil"/>
              <w:right w:val="nil"/>
            </w:tcBorders>
            <w:shd w:val="clear" w:color="000000" w:fill="FFFFFF"/>
            <w:noWrap/>
            <w:vAlign w:val="bottom"/>
            <w:hideMark/>
          </w:tcPr>
          <w:p w14:paraId="68772601" w14:textId="77777777" w:rsidR="007A669A" w:rsidRPr="005C7317" w:rsidRDefault="007A669A" w:rsidP="00A1600C">
            <w:pPr>
              <w:pStyle w:val="TableTextRight"/>
              <w:keepNext/>
              <w:keepLines/>
            </w:pPr>
            <w:r w:rsidRPr="005C7317">
              <w:t>295,858</w:t>
            </w:r>
          </w:p>
        </w:tc>
        <w:tc>
          <w:tcPr>
            <w:tcW w:w="739" w:type="pct"/>
            <w:tcBorders>
              <w:top w:val="nil"/>
              <w:left w:val="nil"/>
              <w:bottom w:val="nil"/>
              <w:right w:val="nil"/>
            </w:tcBorders>
            <w:shd w:val="clear" w:color="000000" w:fill="FFFFFF"/>
            <w:noWrap/>
            <w:vAlign w:val="bottom"/>
            <w:hideMark/>
          </w:tcPr>
          <w:p w14:paraId="3DF9EAAD" w14:textId="77777777" w:rsidR="007A669A" w:rsidRPr="005C7317" w:rsidRDefault="007A669A" w:rsidP="00A1600C">
            <w:pPr>
              <w:pStyle w:val="TableTextRight"/>
              <w:keepNext/>
              <w:keepLines/>
            </w:pPr>
            <w:r w:rsidRPr="005C7317">
              <w:t>5,661</w:t>
            </w:r>
          </w:p>
        </w:tc>
        <w:tc>
          <w:tcPr>
            <w:tcW w:w="736" w:type="pct"/>
            <w:tcBorders>
              <w:top w:val="nil"/>
              <w:left w:val="nil"/>
              <w:bottom w:val="nil"/>
              <w:right w:val="nil"/>
            </w:tcBorders>
            <w:shd w:val="clear" w:color="000000" w:fill="FFFFFF"/>
            <w:noWrap/>
            <w:vAlign w:val="bottom"/>
            <w:hideMark/>
          </w:tcPr>
          <w:p w14:paraId="37ACC16B" w14:textId="77777777" w:rsidR="007A669A" w:rsidRPr="005C7317" w:rsidRDefault="007A669A" w:rsidP="00A1600C">
            <w:pPr>
              <w:pStyle w:val="TableTextRight"/>
              <w:keepNext/>
              <w:keepLines/>
            </w:pPr>
            <w:r w:rsidRPr="005C7317">
              <w:t>1,100,125</w:t>
            </w:r>
          </w:p>
        </w:tc>
      </w:tr>
      <w:tr w:rsidR="00E80550" w:rsidRPr="005C7317" w14:paraId="6899054B"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7F49EFAA" w14:textId="7301D6CD" w:rsidR="007A669A" w:rsidRPr="005C7317" w:rsidRDefault="007A669A" w:rsidP="00A1600C">
            <w:pPr>
              <w:pStyle w:val="Tabletextcentred"/>
              <w:keepNext/>
              <w:keepLines/>
            </w:pPr>
            <w:r w:rsidRPr="008664C7">
              <w:t>200</w:t>
            </w:r>
            <w:r>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527C435E" w14:textId="77777777" w:rsidR="007A669A" w:rsidRPr="005C7317" w:rsidRDefault="007A669A" w:rsidP="00A1600C">
            <w:pPr>
              <w:pStyle w:val="TableTextRight"/>
              <w:keepNext/>
              <w:keepLines/>
            </w:pPr>
            <w:r w:rsidRPr="005C7317">
              <w:t>81,925</w:t>
            </w:r>
          </w:p>
        </w:tc>
        <w:tc>
          <w:tcPr>
            <w:tcW w:w="739" w:type="pct"/>
            <w:tcBorders>
              <w:top w:val="nil"/>
              <w:left w:val="nil"/>
              <w:bottom w:val="nil"/>
              <w:right w:val="nil"/>
            </w:tcBorders>
            <w:shd w:val="clear" w:color="auto" w:fill="F2F2F2" w:themeFill="background1" w:themeFillShade="F2"/>
            <w:noWrap/>
            <w:vAlign w:val="bottom"/>
            <w:hideMark/>
          </w:tcPr>
          <w:p w14:paraId="04315BAC" w14:textId="77777777" w:rsidR="007A669A" w:rsidRPr="005C7317" w:rsidRDefault="007A669A" w:rsidP="00A1600C">
            <w:pPr>
              <w:pStyle w:val="TableTextRight"/>
              <w:keepNext/>
              <w:keepLines/>
            </w:pPr>
            <w:r w:rsidRPr="005C7317">
              <w:t>141,073</w:t>
            </w:r>
          </w:p>
        </w:tc>
        <w:tc>
          <w:tcPr>
            <w:tcW w:w="739" w:type="pct"/>
            <w:tcBorders>
              <w:top w:val="nil"/>
              <w:left w:val="nil"/>
              <w:bottom w:val="nil"/>
              <w:right w:val="nil"/>
            </w:tcBorders>
            <w:shd w:val="clear" w:color="auto" w:fill="F2F2F2" w:themeFill="background1" w:themeFillShade="F2"/>
            <w:noWrap/>
            <w:vAlign w:val="bottom"/>
            <w:hideMark/>
          </w:tcPr>
          <w:p w14:paraId="749685E3" w14:textId="77777777" w:rsidR="007A669A" w:rsidRPr="005C7317" w:rsidRDefault="007A669A" w:rsidP="00A1600C">
            <w:pPr>
              <w:pStyle w:val="TableTextRight"/>
              <w:keepNext/>
              <w:keepLines/>
            </w:pPr>
            <w:r w:rsidRPr="005C7317">
              <w:t>283,355</w:t>
            </w:r>
          </w:p>
        </w:tc>
        <w:tc>
          <w:tcPr>
            <w:tcW w:w="739" w:type="pct"/>
            <w:tcBorders>
              <w:top w:val="nil"/>
              <w:left w:val="nil"/>
              <w:bottom w:val="nil"/>
              <w:right w:val="nil"/>
            </w:tcBorders>
            <w:shd w:val="clear" w:color="auto" w:fill="F2F2F2" w:themeFill="background1" w:themeFillShade="F2"/>
            <w:noWrap/>
            <w:vAlign w:val="bottom"/>
            <w:hideMark/>
          </w:tcPr>
          <w:p w14:paraId="4D9B3C57" w14:textId="77777777" w:rsidR="007A669A" w:rsidRPr="005C7317" w:rsidRDefault="007A669A" w:rsidP="00A1600C">
            <w:pPr>
              <w:pStyle w:val="TableTextRight"/>
              <w:keepNext/>
              <w:keepLines/>
            </w:pPr>
            <w:r w:rsidRPr="005C7317">
              <w:t>317,266</w:t>
            </w:r>
          </w:p>
        </w:tc>
        <w:tc>
          <w:tcPr>
            <w:tcW w:w="739" w:type="pct"/>
            <w:tcBorders>
              <w:top w:val="nil"/>
              <w:left w:val="nil"/>
              <w:bottom w:val="nil"/>
              <w:right w:val="nil"/>
            </w:tcBorders>
            <w:shd w:val="clear" w:color="auto" w:fill="F2F2F2" w:themeFill="background1" w:themeFillShade="F2"/>
            <w:noWrap/>
            <w:vAlign w:val="bottom"/>
            <w:hideMark/>
          </w:tcPr>
          <w:p w14:paraId="5766BE94" w14:textId="77777777" w:rsidR="007A669A" w:rsidRPr="005C7317" w:rsidRDefault="007A669A" w:rsidP="00A1600C">
            <w:pPr>
              <w:pStyle w:val="TableTextRight"/>
              <w:keepNext/>
              <w:keepLines/>
            </w:pPr>
            <w:r w:rsidRPr="005C7317">
              <w:t>5,210</w:t>
            </w:r>
          </w:p>
        </w:tc>
        <w:tc>
          <w:tcPr>
            <w:tcW w:w="736" w:type="pct"/>
            <w:tcBorders>
              <w:top w:val="nil"/>
              <w:left w:val="nil"/>
              <w:bottom w:val="nil"/>
              <w:right w:val="nil"/>
            </w:tcBorders>
            <w:shd w:val="clear" w:color="auto" w:fill="F2F2F2" w:themeFill="background1" w:themeFillShade="F2"/>
            <w:noWrap/>
            <w:vAlign w:val="bottom"/>
            <w:hideMark/>
          </w:tcPr>
          <w:p w14:paraId="1BAA1FF7" w14:textId="77777777" w:rsidR="007A669A" w:rsidRPr="005C7317" w:rsidRDefault="007A669A" w:rsidP="00A1600C">
            <w:pPr>
              <w:pStyle w:val="TableTextRight"/>
              <w:keepNext/>
              <w:keepLines/>
            </w:pPr>
            <w:r w:rsidRPr="005C7317">
              <w:t>1,144,268</w:t>
            </w:r>
          </w:p>
        </w:tc>
      </w:tr>
      <w:tr w:rsidR="00E80550" w:rsidRPr="005C7317" w14:paraId="04EFAE46" w14:textId="77777777" w:rsidTr="00E80550">
        <w:trPr>
          <w:trHeight w:val="255"/>
        </w:trPr>
        <w:tc>
          <w:tcPr>
            <w:tcW w:w="570" w:type="pct"/>
            <w:tcBorders>
              <w:top w:val="nil"/>
              <w:left w:val="nil"/>
              <w:bottom w:val="nil"/>
              <w:right w:val="nil"/>
            </w:tcBorders>
            <w:shd w:val="clear" w:color="000000" w:fill="FFFFFF"/>
            <w:noWrap/>
            <w:vAlign w:val="bottom"/>
            <w:hideMark/>
          </w:tcPr>
          <w:p w14:paraId="516D01C9" w14:textId="48829FB3" w:rsidR="007A669A" w:rsidRPr="005C7317" w:rsidRDefault="007A669A" w:rsidP="00A1600C">
            <w:pPr>
              <w:pStyle w:val="Tabletextcentred"/>
              <w:keepNext/>
              <w:keepLines/>
            </w:pPr>
            <w:r w:rsidRPr="008664C7">
              <w:t>200</w:t>
            </w:r>
            <w:r>
              <w:t>3-0</w:t>
            </w:r>
            <w:r w:rsidRPr="008664C7">
              <w:t>4</w:t>
            </w:r>
          </w:p>
        </w:tc>
        <w:tc>
          <w:tcPr>
            <w:tcW w:w="739" w:type="pct"/>
            <w:tcBorders>
              <w:top w:val="nil"/>
              <w:left w:val="nil"/>
              <w:bottom w:val="nil"/>
              <w:right w:val="nil"/>
            </w:tcBorders>
            <w:shd w:val="clear" w:color="000000" w:fill="FFFFFF"/>
            <w:noWrap/>
            <w:vAlign w:val="bottom"/>
            <w:hideMark/>
          </w:tcPr>
          <w:p w14:paraId="5DEA594E" w14:textId="77777777" w:rsidR="007A669A" w:rsidRPr="005C7317" w:rsidRDefault="007A669A" w:rsidP="00A1600C">
            <w:pPr>
              <w:pStyle w:val="TableTextRight"/>
              <w:keepNext/>
              <w:keepLines/>
            </w:pPr>
            <w:r w:rsidRPr="005C7317">
              <w:t>85,887</w:t>
            </w:r>
          </w:p>
        </w:tc>
        <w:tc>
          <w:tcPr>
            <w:tcW w:w="739" w:type="pct"/>
            <w:tcBorders>
              <w:top w:val="nil"/>
              <w:left w:val="nil"/>
              <w:bottom w:val="nil"/>
              <w:right w:val="nil"/>
            </w:tcBorders>
            <w:shd w:val="clear" w:color="000000" w:fill="FFFFFF"/>
            <w:noWrap/>
            <w:vAlign w:val="bottom"/>
            <w:hideMark/>
          </w:tcPr>
          <w:p w14:paraId="0270E4A6" w14:textId="77777777" w:rsidR="007A669A" w:rsidRPr="005C7317" w:rsidRDefault="007A669A" w:rsidP="00A1600C">
            <w:pPr>
              <w:pStyle w:val="TableTextRight"/>
              <w:keepNext/>
              <w:keepLines/>
            </w:pPr>
            <w:r w:rsidRPr="005C7317">
              <w:t>148,865</w:t>
            </w:r>
          </w:p>
        </w:tc>
        <w:tc>
          <w:tcPr>
            <w:tcW w:w="739" w:type="pct"/>
            <w:tcBorders>
              <w:top w:val="nil"/>
              <w:left w:val="nil"/>
              <w:bottom w:val="nil"/>
              <w:right w:val="nil"/>
            </w:tcBorders>
            <w:shd w:val="clear" w:color="000000" w:fill="FFFFFF"/>
            <w:noWrap/>
            <w:vAlign w:val="bottom"/>
            <w:hideMark/>
          </w:tcPr>
          <w:p w14:paraId="40006994" w14:textId="77777777" w:rsidR="007A669A" w:rsidRPr="005C7317" w:rsidRDefault="007A669A" w:rsidP="00A1600C">
            <w:pPr>
              <w:pStyle w:val="TableTextRight"/>
              <w:keepNext/>
              <w:keepLines/>
            </w:pPr>
            <w:r w:rsidRPr="005C7317">
              <w:t>306,761</w:t>
            </w:r>
          </w:p>
        </w:tc>
        <w:tc>
          <w:tcPr>
            <w:tcW w:w="739" w:type="pct"/>
            <w:tcBorders>
              <w:top w:val="nil"/>
              <w:left w:val="nil"/>
              <w:bottom w:val="nil"/>
              <w:right w:val="nil"/>
            </w:tcBorders>
            <w:shd w:val="clear" w:color="000000" w:fill="FFFFFF"/>
            <w:noWrap/>
            <w:vAlign w:val="bottom"/>
            <w:hideMark/>
          </w:tcPr>
          <w:p w14:paraId="6ADF3239" w14:textId="77777777" w:rsidR="007A669A" w:rsidRPr="005C7317" w:rsidRDefault="007A669A" w:rsidP="00A1600C">
            <w:pPr>
              <w:pStyle w:val="TableTextRight"/>
              <w:keepNext/>
              <w:keepLines/>
            </w:pPr>
            <w:r w:rsidRPr="005C7317">
              <w:t>353,904</w:t>
            </w:r>
          </w:p>
        </w:tc>
        <w:tc>
          <w:tcPr>
            <w:tcW w:w="739" w:type="pct"/>
            <w:tcBorders>
              <w:top w:val="nil"/>
              <w:left w:val="nil"/>
              <w:bottom w:val="nil"/>
              <w:right w:val="nil"/>
            </w:tcBorders>
            <w:shd w:val="clear" w:color="000000" w:fill="FFFFFF"/>
            <w:noWrap/>
            <w:vAlign w:val="bottom"/>
            <w:hideMark/>
          </w:tcPr>
          <w:p w14:paraId="0F96B54A" w14:textId="77777777" w:rsidR="007A669A" w:rsidRPr="005C7317" w:rsidRDefault="007A669A" w:rsidP="00A1600C">
            <w:pPr>
              <w:pStyle w:val="TableTextRight"/>
              <w:keepNext/>
              <w:keepLines/>
            </w:pPr>
            <w:r w:rsidRPr="005C7317">
              <w:t>5,164</w:t>
            </w:r>
          </w:p>
        </w:tc>
        <w:tc>
          <w:tcPr>
            <w:tcW w:w="736" w:type="pct"/>
            <w:tcBorders>
              <w:top w:val="nil"/>
              <w:left w:val="nil"/>
              <w:bottom w:val="nil"/>
              <w:right w:val="nil"/>
            </w:tcBorders>
            <w:shd w:val="clear" w:color="000000" w:fill="FFFFFF"/>
            <w:noWrap/>
            <w:vAlign w:val="bottom"/>
            <w:hideMark/>
          </w:tcPr>
          <w:p w14:paraId="23B57FAC" w14:textId="77777777" w:rsidR="007A669A" w:rsidRPr="005C7317" w:rsidRDefault="007A669A" w:rsidP="00A1600C">
            <w:pPr>
              <w:pStyle w:val="TableTextRight"/>
              <w:keepNext/>
              <w:keepLines/>
            </w:pPr>
            <w:r w:rsidRPr="005C7317">
              <w:t>1,285,761</w:t>
            </w:r>
          </w:p>
        </w:tc>
      </w:tr>
      <w:tr w:rsidR="00E80550" w:rsidRPr="005C7317" w14:paraId="4AF662DE"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79FD5D29" w14:textId="599E9A01" w:rsidR="007A669A" w:rsidRPr="005C7317" w:rsidRDefault="007A669A" w:rsidP="00A1600C">
            <w:pPr>
              <w:pStyle w:val="Tabletextcentred"/>
              <w:keepNext/>
              <w:keepLines/>
            </w:pPr>
            <w:r w:rsidRPr="008664C7">
              <w:t>200</w:t>
            </w:r>
            <w:r>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07EBF4C5" w14:textId="77777777" w:rsidR="007A669A" w:rsidRPr="005C7317" w:rsidRDefault="007A669A" w:rsidP="00A1600C">
            <w:pPr>
              <w:pStyle w:val="TableTextRight"/>
              <w:keepNext/>
              <w:keepLines/>
            </w:pPr>
            <w:r w:rsidRPr="005C7317">
              <w:t>84,715</w:t>
            </w:r>
          </w:p>
        </w:tc>
        <w:tc>
          <w:tcPr>
            <w:tcW w:w="739" w:type="pct"/>
            <w:tcBorders>
              <w:top w:val="nil"/>
              <w:left w:val="nil"/>
              <w:bottom w:val="nil"/>
              <w:right w:val="nil"/>
            </w:tcBorders>
            <w:shd w:val="clear" w:color="auto" w:fill="F2F2F2" w:themeFill="background1" w:themeFillShade="F2"/>
            <w:noWrap/>
            <w:vAlign w:val="bottom"/>
            <w:hideMark/>
          </w:tcPr>
          <w:p w14:paraId="0219DB3F" w14:textId="77777777" w:rsidR="007A669A" w:rsidRPr="005C7317" w:rsidRDefault="007A669A" w:rsidP="00A1600C">
            <w:pPr>
              <w:pStyle w:val="TableTextRight"/>
              <w:keepNext/>
              <w:keepLines/>
            </w:pPr>
            <w:r w:rsidRPr="005C7317">
              <w:t>149,379</w:t>
            </w:r>
          </w:p>
        </w:tc>
        <w:tc>
          <w:tcPr>
            <w:tcW w:w="739" w:type="pct"/>
            <w:tcBorders>
              <w:top w:val="nil"/>
              <w:left w:val="nil"/>
              <w:bottom w:val="nil"/>
              <w:right w:val="nil"/>
            </w:tcBorders>
            <w:shd w:val="clear" w:color="auto" w:fill="F2F2F2" w:themeFill="background1" w:themeFillShade="F2"/>
            <w:noWrap/>
            <w:vAlign w:val="bottom"/>
            <w:hideMark/>
          </w:tcPr>
          <w:p w14:paraId="34FCC3C6" w14:textId="77777777" w:rsidR="007A669A" w:rsidRPr="005C7317" w:rsidRDefault="007A669A" w:rsidP="00A1600C">
            <w:pPr>
              <w:pStyle w:val="TableTextRight"/>
              <w:keepNext/>
              <w:keepLines/>
            </w:pPr>
            <w:r w:rsidRPr="005C7317">
              <w:t>302,429</w:t>
            </w:r>
          </w:p>
        </w:tc>
        <w:tc>
          <w:tcPr>
            <w:tcW w:w="739" w:type="pct"/>
            <w:tcBorders>
              <w:top w:val="nil"/>
              <w:left w:val="nil"/>
              <w:bottom w:val="nil"/>
              <w:right w:val="nil"/>
            </w:tcBorders>
            <w:shd w:val="clear" w:color="auto" w:fill="F2F2F2" w:themeFill="background1" w:themeFillShade="F2"/>
            <w:noWrap/>
            <w:vAlign w:val="bottom"/>
            <w:hideMark/>
          </w:tcPr>
          <w:p w14:paraId="5FEF4C23" w14:textId="77777777" w:rsidR="007A669A" w:rsidRPr="005C7317" w:rsidRDefault="007A669A" w:rsidP="00A1600C">
            <w:pPr>
              <w:pStyle w:val="TableTextRight"/>
              <w:keepNext/>
              <w:keepLines/>
            </w:pPr>
            <w:r w:rsidRPr="005C7317">
              <w:t>369,765</w:t>
            </w:r>
          </w:p>
        </w:tc>
        <w:tc>
          <w:tcPr>
            <w:tcW w:w="739" w:type="pct"/>
            <w:tcBorders>
              <w:top w:val="nil"/>
              <w:left w:val="nil"/>
              <w:bottom w:val="nil"/>
              <w:right w:val="nil"/>
            </w:tcBorders>
            <w:shd w:val="clear" w:color="auto" w:fill="F2F2F2" w:themeFill="background1" w:themeFillShade="F2"/>
            <w:noWrap/>
            <w:vAlign w:val="bottom"/>
            <w:hideMark/>
          </w:tcPr>
          <w:p w14:paraId="7A48B6F3" w14:textId="77777777" w:rsidR="007A669A" w:rsidRPr="005C7317" w:rsidRDefault="007A669A" w:rsidP="00A1600C">
            <w:pPr>
              <w:pStyle w:val="TableTextRight"/>
              <w:keepNext/>
              <w:keepLines/>
            </w:pPr>
            <w:r w:rsidRPr="005C7317">
              <w:t>6,539</w:t>
            </w:r>
          </w:p>
        </w:tc>
        <w:tc>
          <w:tcPr>
            <w:tcW w:w="736" w:type="pct"/>
            <w:tcBorders>
              <w:top w:val="nil"/>
              <w:left w:val="nil"/>
              <w:bottom w:val="nil"/>
              <w:right w:val="nil"/>
            </w:tcBorders>
            <w:shd w:val="clear" w:color="auto" w:fill="F2F2F2" w:themeFill="background1" w:themeFillShade="F2"/>
            <w:noWrap/>
            <w:vAlign w:val="bottom"/>
            <w:hideMark/>
          </w:tcPr>
          <w:p w14:paraId="529F791E" w14:textId="77777777" w:rsidR="007A669A" w:rsidRPr="005C7317" w:rsidRDefault="007A669A" w:rsidP="00A1600C">
            <w:pPr>
              <w:pStyle w:val="TableTextRight"/>
              <w:keepNext/>
              <w:keepLines/>
            </w:pPr>
            <w:r w:rsidRPr="005C7317">
              <w:t>2,544,400</w:t>
            </w:r>
          </w:p>
        </w:tc>
      </w:tr>
      <w:tr w:rsidR="00E80550" w:rsidRPr="005C7317" w14:paraId="24934347" w14:textId="77777777" w:rsidTr="00E80550">
        <w:trPr>
          <w:trHeight w:val="255"/>
        </w:trPr>
        <w:tc>
          <w:tcPr>
            <w:tcW w:w="570" w:type="pct"/>
            <w:tcBorders>
              <w:top w:val="nil"/>
              <w:left w:val="nil"/>
              <w:bottom w:val="nil"/>
              <w:right w:val="nil"/>
            </w:tcBorders>
            <w:shd w:val="clear" w:color="000000" w:fill="FFFFFF"/>
            <w:noWrap/>
            <w:vAlign w:val="bottom"/>
            <w:hideMark/>
          </w:tcPr>
          <w:p w14:paraId="693BB8DC" w14:textId="372370C8" w:rsidR="007A669A" w:rsidRPr="005C7317" w:rsidRDefault="007A669A" w:rsidP="00A1600C">
            <w:pPr>
              <w:pStyle w:val="Tabletextcentred"/>
              <w:keepNext/>
              <w:keepLines/>
            </w:pPr>
            <w:r w:rsidRPr="008664C7">
              <w:t>200</w:t>
            </w:r>
            <w:r>
              <w:t>5-0</w:t>
            </w:r>
            <w:r w:rsidRPr="008664C7">
              <w:t>6</w:t>
            </w:r>
          </w:p>
        </w:tc>
        <w:tc>
          <w:tcPr>
            <w:tcW w:w="739" w:type="pct"/>
            <w:tcBorders>
              <w:top w:val="nil"/>
              <w:left w:val="nil"/>
              <w:bottom w:val="nil"/>
              <w:right w:val="nil"/>
            </w:tcBorders>
            <w:shd w:val="clear" w:color="000000" w:fill="FFFFFF"/>
            <w:noWrap/>
            <w:vAlign w:val="bottom"/>
            <w:hideMark/>
          </w:tcPr>
          <w:p w14:paraId="332FC470" w14:textId="77777777" w:rsidR="007A669A" w:rsidRPr="005C7317" w:rsidRDefault="007A669A" w:rsidP="00A1600C">
            <w:pPr>
              <w:pStyle w:val="TableTextRight"/>
              <w:keepNext/>
              <w:keepLines/>
            </w:pPr>
            <w:r w:rsidRPr="005C7317">
              <w:t>86,695</w:t>
            </w:r>
          </w:p>
        </w:tc>
        <w:tc>
          <w:tcPr>
            <w:tcW w:w="739" w:type="pct"/>
            <w:tcBorders>
              <w:top w:val="nil"/>
              <w:left w:val="nil"/>
              <w:bottom w:val="nil"/>
              <w:right w:val="nil"/>
            </w:tcBorders>
            <w:shd w:val="clear" w:color="000000" w:fill="FFFFFF"/>
            <w:noWrap/>
            <w:vAlign w:val="bottom"/>
            <w:hideMark/>
          </w:tcPr>
          <w:p w14:paraId="4A8FC179" w14:textId="77777777" w:rsidR="007A669A" w:rsidRPr="005C7317" w:rsidRDefault="007A669A" w:rsidP="00A1600C">
            <w:pPr>
              <w:pStyle w:val="TableTextRight"/>
              <w:keepNext/>
              <w:keepLines/>
            </w:pPr>
            <w:r w:rsidRPr="005C7317">
              <w:t>157,404</w:t>
            </w:r>
          </w:p>
        </w:tc>
        <w:tc>
          <w:tcPr>
            <w:tcW w:w="739" w:type="pct"/>
            <w:tcBorders>
              <w:top w:val="nil"/>
              <w:left w:val="nil"/>
              <w:bottom w:val="nil"/>
              <w:right w:val="nil"/>
            </w:tcBorders>
            <w:shd w:val="clear" w:color="000000" w:fill="FFFFFF"/>
            <w:noWrap/>
            <w:vAlign w:val="bottom"/>
            <w:hideMark/>
          </w:tcPr>
          <w:p w14:paraId="07FE0F0F" w14:textId="77777777" w:rsidR="007A669A" w:rsidRPr="005C7317" w:rsidRDefault="007A669A" w:rsidP="00A1600C">
            <w:pPr>
              <w:pStyle w:val="TableTextRight"/>
              <w:keepNext/>
              <w:keepLines/>
            </w:pPr>
            <w:r w:rsidRPr="005C7317">
              <w:t>318,756</w:t>
            </w:r>
          </w:p>
        </w:tc>
        <w:tc>
          <w:tcPr>
            <w:tcW w:w="739" w:type="pct"/>
            <w:tcBorders>
              <w:top w:val="nil"/>
              <w:left w:val="nil"/>
              <w:bottom w:val="nil"/>
              <w:right w:val="nil"/>
            </w:tcBorders>
            <w:shd w:val="clear" w:color="000000" w:fill="FFFFFF"/>
            <w:noWrap/>
            <w:vAlign w:val="bottom"/>
            <w:hideMark/>
          </w:tcPr>
          <w:p w14:paraId="38946C98" w14:textId="77777777" w:rsidR="007A669A" w:rsidRPr="005C7317" w:rsidRDefault="007A669A" w:rsidP="00A1600C">
            <w:pPr>
              <w:pStyle w:val="TableTextRight"/>
              <w:keepNext/>
              <w:keepLines/>
            </w:pPr>
            <w:r w:rsidRPr="005C7317">
              <w:t>375,301</w:t>
            </w:r>
          </w:p>
        </w:tc>
        <w:tc>
          <w:tcPr>
            <w:tcW w:w="739" w:type="pct"/>
            <w:tcBorders>
              <w:top w:val="nil"/>
              <w:left w:val="nil"/>
              <w:bottom w:val="nil"/>
              <w:right w:val="nil"/>
            </w:tcBorders>
            <w:shd w:val="clear" w:color="000000" w:fill="FFFFFF"/>
            <w:noWrap/>
            <w:vAlign w:val="bottom"/>
            <w:hideMark/>
          </w:tcPr>
          <w:p w14:paraId="3116DB43" w14:textId="77777777" w:rsidR="007A669A" w:rsidRPr="005C7317" w:rsidRDefault="007A669A" w:rsidP="00A1600C">
            <w:pPr>
              <w:pStyle w:val="TableTextRight"/>
              <w:keepNext/>
              <w:keepLines/>
            </w:pPr>
            <w:r w:rsidRPr="005C7317">
              <w:t>7,312</w:t>
            </w:r>
          </w:p>
        </w:tc>
        <w:tc>
          <w:tcPr>
            <w:tcW w:w="736" w:type="pct"/>
            <w:tcBorders>
              <w:top w:val="nil"/>
              <w:left w:val="nil"/>
              <w:bottom w:val="nil"/>
              <w:right w:val="nil"/>
            </w:tcBorders>
            <w:shd w:val="clear" w:color="000000" w:fill="FFFFFF"/>
            <w:noWrap/>
            <w:vAlign w:val="bottom"/>
            <w:hideMark/>
          </w:tcPr>
          <w:p w14:paraId="54E65D39" w14:textId="77777777" w:rsidR="007A669A" w:rsidRPr="005C7317" w:rsidRDefault="007A669A" w:rsidP="00A1600C">
            <w:pPr>
              <w:pStyle w:val="TableTextRight"/>
              <w:keepNext/>
              <w:keepLines/>
            </w:pPr>
            <w:r w:rsidRPr="005C7317">
              <w:t>2,084,468</w:t>
            </w:r>
          </w:p>
        </w:tc>
      </w:tr>
      <w:tr w:rsidR="00E80550" w:rsidRPr="005C7317" w14:paraId="7FF0DAD7"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4088C007" w14:textId="5657D699" w:rsidR="007A669A" w:rsidRPr="005C7317" w:rsidRDefault="007A669A" w:rsidP="00A1600C">
            <w:pPr>
              <w:pStyle w:val="Tabletextcentred"/>
              <w:keepNext/>
              <w:keepLines/>
            </w:pPr>
            <w:r w:rsidRPr="008664C7">
              <w:t>200</w:t>
            </w:r>
            <w:r>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593BA016" w14:textId="77777777" w:rsidR="007A669A" w:rsidRPr="005C7317" w:rsidRDefault="007A669A" w:rsidP="00A1600C">
            <w:pPr>
              <w:pStyle w:val="TableTextRight"/>
              <w:keepNext/>
              <w:keepLines/>
            </w:pPr>
            <w:r w:rsidRPr="005C7317">
              <w:t>89,576</w:t>
            </w:r>
          </w:p>
        </w:tc>
        <w:tc>
          <w:tcPr>
            <w:tcW w:w="739" w:type="pct"/>
            <w:tcBorders>
              <w:top w:val="nil"/>
              <w:left w:val="nil"/>
              <w:bottom w:val="nil"/>
              <w:right w:val="nil"/>
            </w:tcBorders>
            <w:shd w:val="clear" w:color="auto" w:fill="F2F2F2" w:themeFill="background1" w:themeFillShade="F2"/>
            <w:noWrap/>
            <w:vAlign w:val="bottom"/>
            <w:hideMark/>
          </w:tcPr>
          <w:p w14:paraId="5F795A23" w14:textId="77777777" w:rsidR="007A669A" w:rsidRPr="005C7317" w:rsidRDefault="007A669A" w:rsidP="00A1600C">
            <w:pPr>
              <w:pStyle w:val="TableTextRight"/>
              <w:keepNext/>
              <w:keepLines/>
            </w:pPr>
            <w:r w:rsidRPr="005C7317">
              <w:t>163,592</w:t>
            </w:r>
          </w:p>
        </w:tc>
        <w:tc>
          <w:tcPr>
            <w:tcW w:w="739" w:type="pct"/>
            <w:tcBorders>
              <w:top w:val="nil"/>
              <w:left w:val="nil"/>
              <w:bottom w:val="nil"/>
              <w:right w:val="nil"/>
            </w:tcBorders>
            <w:shd w:val="clear" w:color="auto" w:fill="F2F2F2" w:themeFill="background1" w:themeFillShade="F2"/>
            <w:noWrap/>
            <w:vAlign w:val="bottom"/>
            <w:hideMark/>
          </w:tcPr>
          <w:p w14:paraId="4D83CB01" w14:textId="77777777" w:rsidR="007A669A" w:rsidRPr="005C7317" w:rsidRDefault="007A669A" w:rsidP="00A1600C">
            <w:pPr>
              <w:pStyle w:val="TableTextRight"/>
              <w:keepNext/>
              <w:keepLines/>
            </w:pPr>
            <w:r w:rsidRPr="005C7317">
              <w:t>334,336</w:t>
            </w:r>
          </w:p>
        </w:tc>
        <w:tc>
          <w:tcPr>
            <w:tcW w:w="739" w:type="pct"/>
            <w:tcBorders>
              <w:top w:val="nil"/>
              <w:left w:val="nil"/>
              <w:bottom w:val="nil"/>
              <w:right w:val="nil"/>
            </w:tcBorders>
            <w:shd w:val="clear" w:color="auto" w:fill="F2F2F2" w:themeFill="background1" w:themeFillShade="F2"/>
            <w:noWrap/>
            <w:vAlign w:val="bottom"/>
            <w:hideMark/>
          </w:tcPr>
          <w:p w14:paraId="540FBA7B" w14:textId="77777777" w:rsidR="007A669A" w:rsidRPr="005C7317" w:rsidRDefault="007A669A" w:rsidP="00A1600C">
            <w:pPr>
              <w:pStyle w:val="TableTextRight"/>
              <w:keepNext/>
              <w:keepLines/>
            </w:pPr>
            <w:r w:rsidRPr="005C7317">
              <w:t>423,518</w:t>
            </w:r>
          </w:p>
        </w:tc>
        <w:tc>
          <w:tcPr>
            <w:tcW w:w="739" w:type="pct"/>
            <w:tcBorders>
              <w:top w:val="nil"/>
              <w:left w:val="nil"/>
              <w:bottom w:val="nil"/>
              <w:right w:val="nil"/>
            </w:tcBorders>
            <w:shd w:val="clear" w:color="auto" w:fill="F2F2F2" w:themeFill="background1" w:themeFillShade="F2"/>
            <w:noWrap/>
            <w:vAlign w:val="bottom"/>
            <w:hideMark/>
          </w:tcPr>
          <w:p w14:paraId="7A71E7B5" w14:textId="77777777" w:rsidR="007A669A" w:rsidRPr="005C7317" w:rsidRDefault="007A669A" w:rsidP="00A1600C">
            <w:pPr>
              <w:pStyle w:val="TableTextRight"/>
              <w:keepNext/>
              <w:keepLines/>
            </w:pPr>
            <w:r w:rsidRPr="005C7317">
              <w:t>7,271</w:t>
            </w:r>
          </w:p>
        </w:tc>
        <w:tc>
          <w:tcPr>
            <w:tcW w:w="736" w:type="pct"/>
            <w:tcBorders>
              <w:top w:val="nil"/>
              <w:left w:val="nil"/>
              <w:bottom w:val="nil"/>
              <w:right w:val="nil"/>
            </w:tcBorders>
            <w:shd w:val="clear" w:color="auto" w:fill="F2F2F2" w:themeFill="background1" w:themeFillShade="F2"/>
            <w:noWrap/>
            <w:vAlign w:val="bottom"/>
            <w:hideMark/>
          </w:tcPr>
          <w:p w14:paraId="7ED30196" w14:textId="77777777" w:rsidR="007A669A" w:rsidRPr="005C7317" w:rsidRDefault="007A669A" w:rsidP="00A1600C">
            <w:pPr>
              <w:pStyle w:val="TableTextRight"/>
              <w:keepNext/>
              <w:keepLines/>
            </w:pPr>
            <w:r w:rsidRPr="005C7317">
              <w:t>3,918,840</w:t>
            </w:r>
          </w:p>
        </w:tc>
      </w:tr>
      <w:tr w:rsidR="00E80550" w:rsidRPr="005C7317" w14:paraId="6E373440" w14:textId="77777777" w:rsidTr="00E80550">
        <w:trPr>
          <w:trHeight w:val="255"/>
        </w:trPr>
        <w:tc>
          <w:tcPr>
            <w:tcW w:w="570" w:type="pct"/>
            <w:tcBorders>
              <w:top w:val="nil"/>
              <w:left w:val="nil"/>
              <w:bottom w:val="nil"/>
              <w:right w:val="nil"/>
            </w:tcBorders>
            <w:shd w:val="clear" w:color="000000" w:fill="FFFFFF"/>
            <w:noWrap/>
            <w:vAlign w:val="bottom"/>
            <w:hideMark/>
          </w:tcPr>
          <w:p w14:paraId="560853FA" w14:textId="13F1B98A" w:rsidR="007A669A" w:rsidRPr="005C7317" w:rsidRDefault="007A669A" w:rsidP="00A1600C">
            <w:pPr>
              <w:pStyle w:val="Tabletextcentred"/>
              <w:keepNext/>
              <w:keepLines/>
            </w:pPr>
            <w:r w:rsidRPr="008664C7">
              <w:t>200</w:t>
            </w:r>
            <w:r>
              <w:t>7-0</w:t>
            </w:r>
            <w:r w:rsidRPr="008664C7">
              <w:t>8</w:t>
            </w:r>
          </w:p>
        </w:tc>
        <w:tc>
          <w:tcPr>
            <w:tcW w:w="739" w:type="pct"/>
            <w:tcBorders>
              <w:top w:val="nil"/>
              <w:left w:val="nil"/>
              <w:bottom w:val="nil"/>
              <w:right w:val="nil"/>
            </w:tcBorders>
            <w:shd w:val="clear" w:color="000000" w:fill="FFFFFF"/>
            <w:noWrap/>
            <w:vAlign w:val="bottom"/>
            <w:hideMark/>
          </w:tcPr>
          <w:p w14:paraId="188A90FD" w14:textId="77777777" w:rsidR="007A669A" w:rsidRPr="005C7317" w:rsidRDefault="007A669A" w:rsidP="00A1600C">
            <w:pPr>
              <w:pStyle w:val="TableTextRight"/>
              <w:keepNext/>
              <w:keepLines/>
            </w:pPr>
            <w:r w:rsidRPr="005C7317">
              <w:t>87,522</w:t>
            </w:r>
          </w:p>
        </w:tc>
        <w:tc>
          <w:tcPr>
            <w:tcW w:w="739" w:type="pct"/>
            <w:tcBorders>
              <w:top w:val="nil"/>
              <w:left w:val="nil"/>
              <w:bottom w:val="nil"/>
              <w:right w:val="nil"/>
            </w:tcBorders>
            <w:shd w:val="clear" w:color="000000" w:fill="FFFFFF"/>
            <w:noWrap/>
            <w:vAlign w:val="bottom"/>
            <w:hideMark/>
          </w:tcPr>
          <w:p w14:paraId="16E8F45B" w14:textId="77777777" w:rsidR="007A669A" w:rsidRPr="005C7317" w:rsidRDefault="007A669A" w:rsidP="00A1600C">
            <w:pPr>
              <w:pStyle w:val="TableTextRight"/>
              <w:keepNext/>
              <w:keepLines/>
            </w:pPr>
            <w:r w:rsidRPr="005C7317">
              <w:t>160,995</w:t>
            </w:r>
          </w:p>
        </w:tc>
        <w:tc>
          <w:tcPr>
            <w:tcW w:w="739" w:type="pct"/>
            <w:tcBorders>
              <w:top w:val="nil"/>
              <w:left w:val="nil"/>
              <w:bottom w:val="nil"/>
              <w:right w:val="nil"/>
            </w:tcBorders>
            <w:shd w:val="clear" w:color="000000" w:fill="FFFFFF"/>
            <w:noWrap/>
            <w:vAlign w:val="bottom"/>
            <w:hideMark/>
          </w:tcPr>
          <w:p w14:paraId="01F3149D" w14:textId="77777777" w:rsidR="007A669A" w:rsidRPr="005C7317" w:rsidRDefault="007A669A" w:rsidP="00A1600C">
            <w:pPr>
              <w:pStyle w:val="TableTextRight"/>
              <w:keepNext/>
              <w:keepLines/>
            </w:pPr>
            <w:r w:rsidRPr="005C7317">
              <w:t>351,265</w:t>
            </w:r>
          </w:p>
        </w:tc>
        <w:tc>
          <w:tcPr>
            <w:tcW w:w="739" w:type="pct"/>
            <w:tcBorders>
              <w:top w:val="nil"/>
              <w:left w:val="nil"/>
              <w:bottom w:val="nil"/>
              <w:right w:val="nil"/>
            </w:tcBorders>
            <w:shd w:val="clear" w:color="000000" w:fill="FFFFFF"/>
            <w:noWrap/>
            <w:vAlign w:val="bottom"/>
            <w:hideMark/>
          </w:tcPr>
          <w:p w14:paraId="656A7E6F" w14:textId="77777777" w:rsidR="007A669A" w:rsidRPr="005C7317" w:rsidRDefault="007A669A" w:rsidP="00A1600C">
            <w:pPr>
              <w:pStyle w:val="TableTextRight"/>
              <w:keepNext/>
              <w:keepLines/>
            </w:pPr>
            <w:r w:rsidRPr="005C7317">
              <w:t>437,276</w:t>
            </w:r>
          </w:p>
        </w:tc>
        <w:tc>
          <w:tcPr>
            <w:tcW w:w="739" w:type="pct"/>
            <w:tcBorders>
              <w:top w:val="nil"/>
              <w:left w:val="nil"/>
              <w:bottom w:val="nil"/>
              <w:right w:val="nil"/>
            </w:tcBorders>
            <w:shd w:val="clear" w:color="000000" w:fill="FFFFFF"/>
            <w:noWrap/>
            <w:vAlign w:val="bottom"/>
            <w:hideMark/>
          </w:tcPr>
          <w:p w14:paraId="41815965" w14:textId="77777777" w:rsidR="007A669A" w:rsidRPr="005C7317" w:rsidRDefault="007A669A" w:rsidP="00A1600C">
            <w:pPr>
              <w:pStyle w:val="TableTextRight"/>
              <w:keepNext/>
              <w:keepLines/>
            </w:pPr>
            <w:r w:rsidRPr="005C7317">
              <w:t>5,877</w:t>
            </w:r>
          </w:p>
        </w:tc>
        <w:tc>
          <w:tcPr>
            <w:tcW w:w="736" w:type="pct"/>
            <w:tcBorders>
              <w:top w:val="nil"/>
              <w:left w:val="nil"/>
              <w:bottom w:val="nil"/>
              <w:right w:val="nil"/>
            </w:tcBorders>
            <w:shd w:val="clear" w:color="000000" w:fill="FFFFFF"/>
            <w:noWrap/>
            <w:vAlign w:val="bottom"/>
            <w:hideMark/>
          </w:tcPr>
          <w:p w14:paraId="1A4F45D8" w14:textId="77777777" w:rsidR="007A669A" w:rsidRPr="005C7317" w:rsidRDefault="007A669A" w:rsidP="00A1600C">
            <w:pPr>
              <w:pStyle w:val="TableTextRight"/>
              <w:keepNext/>
              <w:keepLines/>
            </w:pPr>
            <w:r w:rsidRPr="005C7317">
              <w:t>1,844,850</w:t>
            </w:r>
          </w:p>
        </w:tc>
      </w:tr>
      <w:tr w:rsidR="00E80550" w:rsidRPr="005C7317" w14:paraId="2F40E9F2"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56DC71B6" w14:textId="11E9D1C1" w:rsidR="007A669A" w:rsidRPr="005C7317" w:rsidRDefault="007A669A" w:rsidP="00A1600C">
            <w:pPr>
              <w:pStyle w:val="Tabletextcentred"/>
              <w:keepNext/>
              <w:keepLines/>
            </w:pPr>
            <w:r w:rsidRPr="008664C7">
              <w:t>200</w:t>
            </w:r>
            <w:r>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620333B3" w14:textId="77777777" w:rsidR="007A669A" w:rsidRPr="005C7317" w:rsidRDefault="007A669A" w:rsidP="00A1600C">
            <w:pPr>
              <w:pStyle w:val="TableTextRight"/>
              <w:keepNext/>
              <w:keepLines/>
            </w:pPr>
            <w:r w:rsidRPr="005C7317">
              <w:t>94,229</w:t>
            </w:r>
          </w:p>
        </w:tc>
        <w:tc>
          <w:tcPr>
            <w:tcW w:w="739" w:type="pct"/>
            <w:tcBorders>
              <w:top w:val="nil"/>
              <w:left w:val="nil"/>
              <w:bottom w:val="nil"/>
              <w:right w:val="nil"/>
            </w:tcBorders>
            <w:shd w:val="clear" w:color="auto" w:fill="F2F2F2" w:themeFill="background1" w:themeFillShade="F2"/>
            <w:noWrap/>
            <w:vAlign w:val="bottom"/>
            <w:hideMark/>
          </w:tcPr>
          <w:p w14:paraId="2FE3390A" w14:textId="77777777" w:rsidR="007A669A" w:rsidRPr="005C7317" w:rsidRDefault="007A669A" w:rsidP="00A1600C">
            <w:pPr>
              <w:pStyle w:val="TableTextRight"/>
              <w:keepNext/>
              <w:keepLines/>
            </w:pPr>
            <w:r w:rsidRPr="005C7317">
              <w:t>172,213</w:t>
            </w:r>
          </w:p>
        </w:tc>
        <w:tc>
          <w:tcPr>
            <w:tcW w:w="739" w:type="pct"/>
            <w:tcBorders>
              <w:top w:val="nil"/>
              <w:left w:val="nil"/>
              <w:bottom w:val="nil"/>
              <w:right w:val="nil"/>
            </w:tcBorders>
            <w:shd w:val="clear" w:color="auto" w:fill="F2F2F2" w:themeFill="background1" w:themeFillShade="F2"/>
            <w:noWrap/>
            <w:vAlign w:val="bottom"/>
            <w:hideMark/>
          </w:tcPr>
          <w:p w14:paraId="3B0FF466" w14:textId="77777777" w:rsidR="007A669A" w:rsidRPr="005C7317" w:rsidRDefault="007A669A" w:rsidP="00A1600C">
            <w:pPr>
              <w:pStyle w:val="TableTextRight"/>
              <w:keepNext/>
              <w:keepLines/>
            </w:pPr>
            <w:r w:rsidRPr="005C7317">
              <w:t>368,549</w:t>
            </w:r>
          </w:p>
        </w:tc>
        <w:tc>
          <w:tcPr>
            <w:tcW w:w="739" w:type="pct"/>
            <w:tcBorders>
              <w:top w:val="nil"/>
              <w:left w:val="nil"/>
              <w:bottom w:val="nil"/>
              <w:right w:val="nil"/>
            </w:tcBorders>
            <w:shd w:val="clear" w:color="auto" w:fill="F2F2F2" w:themeFill="background1" w:themeFillShade="F2"/>
            <w:noWrap/>
            <w:vAlign w:val="bottom"/>
            <w:hideMark/>
          </w:tcPr>
          <w:p w14:paraId="6E1FB6A2" w14:textId="77777777" w:rsidR="007A669A" w:rsidRPr="005C7317" w:rsidRDefault="007A669A" w:rsidP="00A1600C">
            <w:pPr>
              <w:pStyle w:val="TableTextRight"/>
              <w:keepNext/>
              <w:keepLines/>
            </w:pPr>
            <w:r w:rsidRPr="005C7317">
              <w:t>403,006</w:t>
            </w:r>
          </w:p>
        </w:tc>
        <w:tc>
          <w:tcPr>
            <w:tcW w:w="739" w:type="pct"/>
            <w:tcBorders>
              <w:top w:val="nil"/>
              <w:left w:val="nil"/>
              <w:bottom w:val="nil"/>
              <w:right w:val="nil"/>
            </w:tcBorders>
            <w:shd w:val="clear" w:color="auto" w:fill="F2F2F2" w:themeFill="background1" w:themeFillShade="F2"/>
            <w:noWrap/>
            <w:vAlign w:val="bottom"/>
            <w:hideMark/>
          </w:tcPr>
          <w:p w14:paraId="51AE4CED" w14:textId="77777777" w:rsidR="007A669A" w:rsidRPr="005C7317" w:rsidRDefault="007A669A" w:rsidP="00A1600C">
            <w:pPr>
              <w:pStyle w:val="TableTextRight"/>
              <w:keepNext/>
              <w:keepLines/>
            </w:pPr>
            <w:r w:rsidRPr="005C7317">
              <w:t>7,260</w:t>
            </w:r>
          </w:p>
        </w:tc>
        <w:tc>
          <w:tcPr>
            <w:tcW w:w="736" w:type="pct"/>
            <w:tcBorders>
              <w:top w:val="nil"/>
              <w:left w:val="nil"/>
              <w:bottom w:val="nil"/>
              <w:right w:val="nil"/>
            </w:tcBorders>
            <w:shd w:val="clear" w:color="auto" w:fill="F2F2F2" w:themeFill="background1" w:themeFillShade="F2"/>
            <w:noWrap/>
            <w:vAlign w:val="bottom"/>
            <w:hideMark/>
          </w:tcPr>
          <w:p w14:paraId="26CA057A" w14:textId="77777777" w:rsidR="007A669A" w:rsidRPr="005C7317" w:rsidRDefault="007A669A" w:rsidP="00A1600C">
            <w:pPr>
              <w:pStyle w:val="TableTextRight"/>
              <w:keepNext/>
              <w:keepLines/>
            </w:pPr>
            <w:r w:rsidRPr="005C7317">
              <w:t>1,335,411</w:t>
            </w:r>
          </w:p>
        </w:tc>
      </w:tr>
      <w:tr w:rsidR="00E80550" w:rsidRPr="005C7317" w14:paraId="2CF349F8" w14:textId="77777777" w:rsidTr="00E80550">
        <w:trPr>
          <w:trHeight w:val="255"/>
        </w:trPr>
        <w:tc>
          <w:tcPr>
            <w:tcW w:w="570" w:type="pct"/>
            <w:tcBorders>
              <w:top w:val="nil"/>
              <w:left w:val="nil"/>
              <w:bottom w:val="nil"/>
              <w:right w:val="nil"/>
            </w:tcBorders>
            <w:shd w:val="clear" w:color="000000" w:fill="FFFFFF"/>
            <w:noWrap/>
            <w:vAlign w:val="bottom"/>
            <w:hideMark/>
          </w:tcPr>
          <w:p w14:paraId="685BAD79" w14:textId="44AA5AF1" w:rsidR="007A669A" w:rsidRPr="005C7317" w:rsidRDefault="007A669A" w:rsidP="00A1600C">
            <w:pPr>
              <w:pStyle w:val="Tabletextcentred"/>
              <w:keepNext/>
              <w:keepLines/>
            </w:pPr>
            <w:r w:rsidRPr="008664C7">
              <w:t>20</w:t>
            </w:r>
            <w:r>
              <w:t>09-</w:t>
            </w:r>
            <w:r w:rsidRPr="008664C7">
              <w:t>10</w:t>
            </w:r>
          </w:p>
        </w:tc>
        <w:tc>
          <w:tcPr>
            <w:tcW w:w="739" w:type="pct"/>
            <w:tcBorders>
              <w:top w:val="nil"/>
              <w:left w:val="nil"/>
              <w:bottom w:val="nil"/>
              <w:right w:val="nil"/>
            </w:tcBorders>
            <w:shd w:val="clear" w:color="000000" w:fill="FFFFFF"/>
            <w:noWrap/>
            <w:vAlign w:val="bottom"/>
            <w:hideMark/>
          </w:tcPr>
          <w:p w14:paraId="201ADC84" w14:textId="77777777" w:rsidR="007A669A" w:rsidRPr="005C7317" w:rsidRDefault="007A669A" w:rsidP="00A1600C">
            <w:pPr>
              <w:pStyle w:val="TableTextRight"/>
              <w:keepNext/>
              <w:keepLines/>
            </w:pPr>
            <w:r w:rsidRPr="005C7317">
              <w:t>92,028</w:t>
            </w:r>
          </w:p>
        </w:tc>
        <w:tc>
          <w:tcPr>
            <w:tcW w:w="739" w:type="pct"/>
            <w:tcBorders>
              <w:top w:val="nil"/>
              <w:left w:val="nil"/>
              <w:bottom w:val="nil"/>
              <w:right w:val="nil"/>
            </w:tcBorders>
            <w:shd w:val="clear" w:color="000000" w:fill="FFFFFF"/>
            <w:noWrap/>
            <w:vAlign w:val="bottom"/>
            <w:hideMark/>
          </w:tcPr>
          <w:p w14:paraId="418A7A76" w14:textId="77777777" w:rsidR="007A669A" w:rsidRPr="005C7317" w:rsidRDefault="007A669A" w:rsidP="00A1600C">
            <w:pPr>
              <w:pStyle w:val="TableTextRight"/>
              <w:keepNext/>
              <w:keepLines/>
            </w:pPr>
            <w:r w:rsidRPr="005C7317">
              <w:t>168,063</w:t>
            </w:r>
          </w:p>
        </w:tc>
        <w:tc>
          <w:tcPr>
            <w:tcW w:w="739" w:type="pct"/>
            <w:tcBorders>
              <w:top w:val="nil"/>
              <w:left w:val="nil"/>
              <w:bottom w:val="nil"/>
              <w:right w:val="nil"/>
            </w:tcBorders>
            <w:shd w:val="clear" w:color="000000" w:fill="FFFFFF"/>
            <w:noWrap/>
            <w:vAlign w:val="bottom"/>
            <w:hideMark/>
          </w:tcPr>
          <w:p w14:paraId="7888D7C8" w14:textId="77777777" w:rsidR="007A669A" w:rsidRPr="005C7317" w:rsidRDefault="007A669A" w:rsidP="00A1600C">
            <w:pPr>
              <w:pStyle w:val="TableTextRight"/>
              <w:keepNext/>
              <w:keepLines/>
            </w:pPr>
            <w:r w:rsidRPr="005C7317">
              <w:t>359,078</w:t>
            </w:r>
          </w:p>
        </w:tc>
        <w:tc>
          <w:tcPr>
            <w:tcW w:w="739" w:type="pct"/>
            <w:tcBorders>
              <w:top w:val="nil"/>
              <w:left w:val="nil"/>
              <w:bottom w:val="nil"/>
              <w:right w:val="nil"/>
            </w:tcBorders>
            <w:shd w:val="clear" w:color="000000" w:fill="FFFFFF"/>
            <w:noWrap/>
            <w:vAlign w:val="bottom"/>
            <w:hideMark/>
          </w:tcPr>
          <w:p w14:paraId="34CB0878" w14:textId="77777777" w:rsidR="007A669A" w:rsidRPr="005C7317" w:rsidRDefault="007A669A" w:rsidP="00A1600C">
            <w:pPr>
              <w:pStyle w:val="TableTextRight"/>
              <w:keepNext/>
              <w:keepLines/>
            </w:pPr>
            <w:r w:rsidRPr="005C7317">
              <w:t>410,824</w:t>
            </w:r>
          </w:p>
        </w:tc>
        <w:tc>
          <w:tcPr>
            <w:tcW w:w="739" w:type="pct"/>
            <w:tcBorders>
              <w:top w:val="nil"/>
              <w:left w:val="nil"/>
              <w:bottom w:val="nil"/>
              <w:right w:val="nil"/>
            </w:tcBorders>
            <w:shd w:val="clear" w:color="000000" w:fill="FFFFFF"/>
            <w:noWrap/>
            <w:vAlign w:val="bottom"/>
            <w:hideMark/>
          </w:tcPr>
          <w:p w14:paraId="6C10C453" w14:textId="77777777" w:rsidR="007A669A" w:rsidRPr="005C7317" w:rsidRDefault="007A669A" w:rsidP="00A1600C">
            <w:pPr>
              <w:pStyle w:val="TableTextRight"/>
              <w:keepNext/>
              <w:keepLines/>
            </w:pPr>
            <w:r w:rsidRPr="005C7317">
              <w:t>7,814</w:t>
            </w:r>
          </w:p>
        </w:tc>
        <w:tc>
          <w:tcPr>
            <w:tcW w:w="736" w:type="pct"/>
            <w:tcBorders>
              <w:top w:val="nil"/>
              <w:left w:val="nil"/>
              <w:bottom w:val="nil"/>
              <w:right w:val="nil"/>
            </w:tcBorders>
            <w:shd w:val="clear" w:color="000000" w:fill="FFFFFF"/>
            <w:noWrap/>
            <w:vAlign w:val="bottom"/>
            <w:hideMark/>
          </w:tcPr>
          <w:p w14:paraId="5A489119" w14:textId="77777777" w:rsidR="007A669A" w:rsidRPr="005C7317" w:rsidRDefault="007A669A" w:rsidP="00A1600C">
            <w:pPr>
              <w:pStyle w:val="TableTextRight"/>
              <w:keepNext/>
              <w:keepLines/>
            </w:pPr>
            <w:r w:rsidRPr="005C7317">
              <w:t>1,650,606</w:t>
            </w:r>
          </w:p>
        </w:tc>
      </w:tr>
      <w:tr w:rsidR="00E80550" w:rsidRPr="005C7317" w14:paraId="7CAD56ED"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0C69796D" w14:textId="167CDF16" w:rsidR="007A669A" w:rsidRPr="005C7317" w:rsidRDefault="007A669A" w:rsidP="00A1600C">
            <w:pPr>
              <w:pStyle w:val="Tabletextcentred"/>
              <w:keepNext/>
              <w:keepLines/>
            </w:pPr>
            <w:r w:rsidRPr="008664C7">
              <w:t>20</w:t>
            </w:r>
            <w:r>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45640544" w14:textId="77777777" w:rsidR="007A669A" w:rsidRPr="005C7317" w:rsidRDefault="007A669A" w:rsidP="00A1600C">
            <w:pPr>
              <w:pStyle w:val="TableTextRight"/>
              <w:keepNext/>
              <w:keepLines/>
            </w:pPr>
            <w:r w:rsidRPr="005C7317">
              <w:t>93,900</w:t>
            </w:r>
          </w:p>
        </w:tc>
        <w:tc>
          <w:tcPr>
            <w:tcW w:w="739" w:type="pct"/>
            <w:tcBorders>
              <w:top w:val="nil"/>
              <w:left w:val="nil"/>
              <w:bottom w:val="nil"/>
              <w:right w:val="nil"/>
            </w:tcBorders>
            <w:shd w:val="clear" w:color="auto" w:fill="F2F2F2" w:themeFill="background1" w:themeFillShade="F2"/>
            <w:noWrap/>
            <w:vAlign w:val="bottom"/>
            <w:hideMark/>
          </w:tcPr>
          <w:p w14:paraId="292AE429" w14:textId="77777777" w:rsidR="007A669A" w:rsidRPr="005C7317" w:rsidRDefault="007A669A" w:rsidP="00A1600C">
            <w:pPr>
              <w:pStyle w:val="TableTextRight"/>
              <w:keepNext/>
              <w:keepLines/>
            </w:pPr>
            <w:r w:rsidRPr="005C7317">
              <w:t>172,708</w:t>
            </w:r>
          </w:p>
        </w:tc>
        <w:tc>
          <w:tcPr>
            <w:tcW w:w="739" w:type="pct"/>
            <w:tcBorders>
              <w:top w:val="nil"/>
              <w:left w:val="nil"/>
              <w:bottom w:val="nil"/>
              <w:right w:val="nil"/>
            </w:tcBorders>
            <w:shd w:val="clear" w:color="auto" w:fill="F2F2F2" w:themeFill="background1" w:themeFillShade="F2"/>
            <w:noWrap/>
            <w:vAlign w:val="bottom"/>
            <w:hideMark/>
          </w:tcPr>
          <w:p w14:paraId="6D7FC64B" w14:textId="77777777" w:rsidR="007A669A" w:rsidRPr="005C7317" w:rsidRDefault="007A669A" w:rsidP="00A1600C">
            <w:pPr>
              <w:pStyle w:val="TableTextRight"/>
              <w:keepNext/>
              <w:keepLines/>
            </w:pPr>
            <w:r w:rsidRPr="005C7317">
              <w:t>379,804</w:t>
            </w:r>
          </w:p>
        </w:tc>
        <w:tc>
          <w:tcPr>
            <w:tcW w:w="739" w:type="pct"/>
            <w:tcBorders>
              <w:top w:val="nil"/>
              <w:left w:val="nil"/>
              <w:bottom w:val="nil"/>
              <w:right w:val="nil"/>
            </w:tcBorders>
            <w:shd w:val="clear" w:color="auto" w:fill="F2F2F2" w:themeFill="background1" w:themeFillShade="F2"/>
            <w:noWrap/>
            <w:vAlign w:val="bottom"/>
            <w:hideMark/>
          </w:tcPr>
          <w:p w14:paraId="59E71D70" w14:textId="77777777" w:rsidR="007A669A" w:rsidRPr="005C7317" w:rsidRDefault="007A669A" w:rsidP="00A1600C">
            <w:pPr>
              <w:pStyle w:val="TableTextRight"/>
              <w:keepNext/>
              <w:keepLines/>
            </w:pPr>
            <w:r w:rsidRPr="005C7317">
              <w:t>430,483</w:t>
            </w:r>
          </w:p>
        </w:tc>
        <w:tc>
          <w:tcPr>
            <w:tcW w:w="739" w:type="pct"/>
            <w:tcBorders>
              <w:top w:val="nil"/>
              <w:left w:val="nil"/>
              <w:bottom w:val="nil"/>
              <w:right w:val="nil"/>
            </w:tcBorders>
            <w:shd w:val="clear" w:color="auto" w:fill="F2F2F2" w:themeFill="background1" w:themeFillShade="F2"/>
            <w:noWrap/>
            <w:vAlign w:val="bottom"/>
            <w:hideMark/>
          </w:tcPr>
          <w:p w14:paraId="126124A3" w14:textId="77777777" w:rsidR="007A669A" w:rsidRPr="005C7317" w:rsidRDefault="007A669A" w:rsidP="00A1600C">
            <w:pPr>
              <w:pStyle w:val="TableTextRight"/>
              <w:keepNext/>
              <w:keepLines/>
            </w:pPr>
            <w:r w:rsidRPr="005C7317">
              <w:t>7,789</w:t>
            </w:r>
          </w:p>
        </w:tc>
        <w:tc>
          <w:tcPr>
            <w:tcW w:w="736" w:type="pct"/>
            <w:tcBorders>
              <w:top w:val="nil"/>
              <w:left w:val="nil"/>
              <w:bottom w:val="nil"/>
              <w:right w:val="nil"/>
            </w:tcBorders>
            <w:shd w:val="clear" w:color="auto" w:fill="F2F2F2" w:themeFill="background1" w:themeFillShade="F2"/>
            <w:noWrap/>
            <w:vAlign w:val="bottom"/>
            <w:hideMark/>
          </w:tcPr>
          <w:p w14:paraId="33C7379D" w14:textId="77777777" w:rsidR="007A669A" w:rsidRPr="005C7317" w:rsidRDefault="007A669A" w:rsidP="00A1600C">
            <w:pPr>
              <w:pStyle w:val="TableTextRight"/>
              <w:keepNext/>
              <w:keepLines/>
            </w:pPr>
            <w:r w:rsidRPr="005C7317">
              <w:t>1,588,609</w:t>
            </w:r>
          </w:p>
        </w:tc>
      </w:tr>
      <w:tr w:rsidR="00E80550" w:rsidRPr="005C7317" w14:paraId="65834DA4" w14:textId="77777777" w:rsidTr="00E80550">
        <w:trPr>
          <w:trHeight w:val="255"/>
        </w:trPr>
        <w:tc>
          <w:tcPr>
            <w:tcW w:w="570" w:type="pct"/>
            <w:tcBorders>
              <w:top w:val="nil"/>
              <w:left w:val="nil"/>
              <w:bottom w:val="nil"/>
              <w:right w:val="nil"/>
            </w:tcBorders>
            <w:shd w:val="clear" w:color="000000" w:fill="FFFFFF"/>
            <w:noWrap/>
            <w:vAlign w:val="bottom"/>
            <w:hideMark/>
          </w:tcPr>
          <w:p w14:paraId="20ECBA96" w14:textId="0C05E9C8" w:rsidR="007A669A" w:rsidRPr="005C7317" w:rsidRDefault="007A669A" w:rsidP="00A1600C">
            <w:pPr>
              <w:pStyle w:val="Tabletextcentred"/>
              <w:keepNext/>
              <w:keepLines/>
            </w:pPr>
            <w:r w:rsidRPr="008664C7">
              <w:t>20</w:t>
            </w:r>
            <w:r>
              <w:t>11-</w:t>
            </w:r>
            <w:r w:rsidRPr="008664C7">
              <w:t>12</w:t>
            </w:r>
          </w:p>
        </w:tc>
        <w:tc>
          <w:tcPr>
            <w:tcW w:w="739" w:type="pct"/>
            <w:tcBorders>
              <w:top w:val="nil"/>
              <w:left w:val="nil"/>
              <w:bottom w:val="nil"/>
              <w:right w:val="nil"/>
            </w:tcBorders>
            <w:shd w:val="clear" w:color="000000" w:fill="FFFFFF"/>
            <w:noWrap/>
            <w:vAlign w:val="bottom"/>
            <w:hideMark/>
          </w:tcPr>
          <w:p w14:paraId="34BEC2F7" w14:textId="77777777" w:rsidR="007A669A" w:rsidRPr="005C7317" w:rsidRDefault="007A669A" w:rsidP="00A1600C">
            <w:pPr>
              <w:pStyle w:val="TableTextRight"/>
              <w:keepNext/>
              <w:keepLines/>
            </w:pPr>
            <w:r w:rsidRPr="005C7317">
              <w:t>93,650</w:t>
            </w:r>
          </w:p>
        </w:tc>
        <w:tc>
          <w:tcPr>
            <w:tcW w:w="739" w:type="pct"/>
            <w:tcBorders>
              <w:top w:val="nil"/>
              <w:left w:val="nil"/>
              <w:bottom w:val="nil"/>
              <w:right w:val="nil"/>
            </w:tcBorders>
            <w:shd w:val="clear" w:color="000000" w:fill="FFFFFF"/>
            <w:noWrap/>
            <w:vAlign w:val="bottom"/>
            <w:hideMark/>
          </w:tcPr>
          <w:p w14:paraId="154A5998" w14:textId="77777777" w:rsidR="007A669A" w:rsidRPr="005C7317" w:rsidRDefault="007A669A" w:rsidP="00A1600C">
            <w:pPr>
              <w:pStyle w:val="TableTextRight"/>
              <w:keepNext/>
              <w:keepLines/>
            </w:pPr>
            <w:r w:rsidRPr="005C7317">
              <w:t>172,436</w:t>
            </w:r>
          </w:p>
        </w:tc>
        <w:tc>
          <w:tcPr>
            <w:tcW w:w="739" w:type="pct"/>
            <w:tcBorders>
              <w:top w:val="nil"/>
              <w:left w:val="nil"/>
              <w:bottom w:val="nil"/>
              <w:right w:val="nil"/>
            </w:tcBorders>
            <w:shd w:val="clear" w:color="000000" w:fill="FFFFFF"/>
            <w:noWrap/>
            <w:vAlign w:val="bottom"/>
            <w:hideMark/>
          </w:tcPr>
          <w:p w14:paraId="605BEA38" w14:textId="77777777" w:rsidR="007A669A" w:rsidRPr="005C7317" w:rsidRDefault="007A669A" w:rsidP="00A1600C">
            <w:pPr>
              <w:pStyle w:val="TableTextRight"/>
              <w:keepNext/>
              <w:keepLines/>
            </w:pPr>
            <w:r w:rsidRPr="005C7317">
              <w:t>374,169</w:t>
            </w:r>
          </w:p>
        </w:tc>
        <w:tc>
          <w:tcPr>
            <w:tcW w:w="739" w:type="pct"/>
            <w:tcBorders>
              <w:top w:val="nil"/>
              <w:left w:val="nil"/>
              <w:bottom w:val="nil"/>
              <w:right w:val="nil"/>
            </w:tcBorders>
            <w:shd w:val="clear" w:color="000000" w:fill="FFFFFF"/>
            <w:noWrap/>
            <w:vAlign w:val="bottom"/>
            <w:hideMark/>
          </w:tcPr>
          <w:p w14:paraId="4135438E" w14:textId="77777777" w:rsidR="007A669A" w:rsidRPr="005C7317" w:rsidRDefault="007A669A" w:rsidP="00A1600C">
            <w:pPr>
              <w:pStyle w:val="TableTextRight"/>
              <w:keepNext/>
              <w:keepLines/>
            </w:pPr>
            <w:r w:rsidRPr="005C7317">
              <w:t>430,489</w:t>
            </w:r>
          </w:p>
        </w:tc>
        <w:tc>
          <w:tcPr>
            <w:tcW w:w="739" w:type="pct"/>
            <w:tcBorders>
              <w:top w:val="nil"/>
              <w:left w:val="nil"/>
              <w:bottom w:val="nil"/>
              <w:right w:val="nil"/>
            </w:tcBorders>
            <w:shd w:val="clear" w:color="000000" w:fill="FFFFFF"/>
            <w:noWrap/>
            <w:vAlign w:val="bottom"/>
            <w:hideMark/>
          </w:tcPr>
          <w:p w14:paraId="336D76ED" w14:textId="77777777" w:rsidR="007A669A" w:rsidRPr="005C7317" w:rsidRDefault="007A669A" w:rsidP="00A1600C">
            <w:pPr>
              <w:pStyle w:val="TableTextRight"/>
              <w:keepNext/>
              <w:keepLines/>
            </w:pPr>
            <w:r w:rsidRPr="005C7317">
              <w:t>7,839</w:t>
            </w:r>
          </w:p>
        </w:tc>
        <w:tc>
          <w:tcPr>
            <w:tcW w:w="736" w:type="pct"/>
            <w:tcBorders>
              <w:top w:val="nil"/>
              <w:left w:val="nil"/>
              <w:bottom w:val="nil"/>
              <w:right w:val="nil"/>
            </w:tcBorders>
            <w:shd w:val="clear" w:color="000000" w:fill="FFFFFF"/>
            <w:noWrap/>
            <w:vAlign w:val="bottom"/>
            <w:hideMark/>
          </w:tcPr>
          <w:p w14:paraId="097841DC" w14:textId="77777777" w:rsidR="007A669A" w:rsidRPr="005C7317" w:rsidRDefault="007A669A" w:rsidP="00A1600C">
            <w:pPr>
              <w:pStyle w:val="TableTextRight"/>
              <w:keepNext/>
              <w:keepLines/>
            </w:pPr>
            <w:r w:rsidRPr="005C7317">
              <w:t>1,476,364</w:t>
            </w:r>
          </w:p>
        </w:tc>
      </w:tr>
      <w:tr w:rsidR="00E80550" w:rsidRPr="005C7317" w14:paraId="703ADF37"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794679AC" w14:textId="769D762C" w:rsidR="007A669A" w:rsidRPr="005C7317" w:rsidRDefault="007A669A" w:rsidP="00A1600C">
            <w:pPr>
              <w:pStyle w:val="Tabletextcentred"/>
              <w:keepNext/>
              <w:keepLines/>
            </w:pPr>
            <w:r w:rsidRPr="008664C7">
              <w:t>20</w:t>
            </w:r>
            <w:r>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1FB6A74F" w14:textId="77777777" w:rsidR="007A669A" w:rsidRPr="005C7317" w:rsidRDefault="007A669A" w:rsidP="00A1600C">
            <w:pPr>
              <w:pStyle w:val="TableTextRight"/>
              <w:keepNext/>
              <w:keepLines/>
            </w:pPr>
            <w:r w:rsidRPr="005C7317">
              <w:t>94,456</w:t>
            </w:r>
          </w:p>
        </w:tc>
        <w:tc>
          <w:tcPr>
            <w:tcW w:w="739" w:type="pct"/>
            <w:tcBorders>
              <w:top w:val="nil"/>
              <w:left w:val="nil"/>
              <w:bottom w:val="nil"/>
              <w:right w:val="nil"/>
            </w:tcBorders>
            <w:shd w:val="clear" w:color="auto" w:fill="F2F2F2" w:themeFill="background1" w:themeFillShade="F2"/>
            <w:noWrap/>
            <w:vAlign w:val="bottom"/>
            <w:hideMark/>
          </w:tcPr>
          <w:p w14:paraId="3D3D43DD" w14:textId="77777777" w:rsidR="007A669A" w:rsidRPr="005C7317" w:rsidRDefault="007A669A" w:rsidP="00A1600C">
            <w:pPr>
              <w:pStyle w:val="TableTextRight"/>
              <w:keepNext/>
              <w:keepLines/>
            </w:pPr>
            <w:r w:rsidRPr="005C7317">
              <w:t>175,776</w:t>
            </w:r>
          </w:p>
        </w:tc>
        <w:tc>
          <w:tcPr>
            <w:tcW w:w="739" w:type="pct"/>
            <w:tcBorders>
              <w:top w:val="nil"/>
              <w:left w:val="nil"/>
              <w:bottom w:val="nil"/>
              <w:right w:val="nil"/>
            </w:tcBorders>
            <w:shd w:val="clear" w:color="auto" w:fill="F2F2F2" w:themeFill="background1" w:themeFillShade="F2"/>
            <w:noWrap/>
            <w:vAlign w:val="bottom"/>
            <w:hideMark/>
          </w:tcPr>
          <w:p w14:paraId="726137AB" w14:textId="77777777" w:rsidR="007A669A" w:rsidRPr="005C7317" w:rsidRDefault="007A669A" w:rsidP="00A1600C">
            <w:pPr>
              <w:pStyle w:val="TableTextRight"/>
              <w:keepNext/>
              <w:keepLines/>
            </w:pPr>
            <w:r w:rsidRPr="005C7317">
              <w:t>385,195</w:t>
            </w:r>
          </w:p>
        </w:tc>
        <w:tc>
          <w:tcPr>
            <w:tcW w:w="739" w:type="pct"/>
            <w:tcBorders>
              <w:top w:val="nil"/>
              <w:left w:val="nil"/>
              <w:bottom w:val="nil"/>
              <w:right w:val="nil"/>
            </w:tcBorders>
            <w:shd w:val="clear" w:color="auto" w:fill="F2F2F2" w:themeFill="background1" w:themeFillShade="F2"/>
            <w:noWrap/>
            <w:vAlign w:val="bottom"/>
            <w:hideMark/>
          </w:tcPr>
          <w:p w14:paraId="16A198C7" w14:textId="77777777" w:rsidR="007A669A" w:rsidRPr="005C7317" w:rsidRDefault="007A669A" w:rsidP="00A1600C">
            <w:pPr>
              <w:pStyle w:val="TableTextRight"/>
              <w:keepNext/>
              <w:keepLines/>
            </w:pPr>
            <w:r w:rsidRPr="005C7317">
              <w:t>440,312</w:t>
            </w:r>
          </w:p>
        </w:tc>
        <w:tc>
          <w:tcPr>
            <w:tcW w:w="739" w:type="pct"/>
            <w:tcBorders>
              <w:top w:val="nil"/>
              <w:left w:val="nil"/>
              <w:bottom w:val="nil"/>
              <w:right w:val="nil"/>
            </w:tcBorders>
            <w:shd w:val="clear" w:color="auto" w:fill="F2F2F2" w:themeFill="background1" w:themeFillShade="F2"/>
            <w:noWrap/>
            <w:vAlign w:val="bottom"/>
            <w:hideMark/>
          </w:tcPr>
          <w:p w14:paraId="506ED54C" w14:textId="77777777" w:rsidR="007A669A" w:rsidRPr="005C7317" w:rsidRDefault="007A669A" w:rsidP="00A1600C">
            <w:pPr>
              <w:pStyle w:val="TableTextRight"/>
              <w:keepNext/>
              <w:keepLines/>
            </w:pPr>
            <w:r w:rsidRPr="005C7317">
              <w:t>7,337</w:t>
            </w:r>
          </w:p>
        </w:tc>
        <w:tc>
          <w:tcPr>
            <w:tcW w:w="736" w:type="pct"/>
            <w:tcBorders>
              <w:top w:val="nil"/>
              <w:left w:val="nil"/>
              <w:bottom w:val="nil"/>
              <w:right w:val="nil"/>
            </w:tcBorders>
            <w:shd w:val="clear" w:color="auto" w:fill="F2F2F2" w:themeFill="background1" w:themeFillShade="F2"/>
            <w:noWrap/>
            <w:vAlign w:val="bottom"/>
            <w:hideMark/>
          </w:tcPr>
          <w:p w14:paraId="46F997A1" w14:textId="77777777" w:rsidR="007A669A" w:rsidRPr="005C7317" w:rsidRDefault="007A669A" w:rsidP="00A1600C">
            <w:pPr>
              <w:pStyle w:val="TableTextRight"/>
              <w:keepNext/>
              <w:keepLines/>
            </w:pPr>
            <w:r w:rsidRPr="005C7317">
              <w:t>1,489,519</w:t>
            </w:r>
          </w:p>
        </w:tc>
      </w:tr>
      <w:tr w:rsidR="00E80550" w:rsidRPr="005C7317" w14:paraId="10709BC6" w14:textId="77777777" w:rsidTr="00E80550">
        <w:trPr>
          <w:trHeight w:val="255"/>
        </w:trPr>
        <w:tc>
          <w:tcPr>
            <w:tcW w:w="570" w:type="pct"/>
            <w:tcBorders>
              <w:top w:val="nil"/>
              <w:left w:val="nil"/>
              <w:bottom w:val="nil"/>
              <w:right w:val="nil"/>
            </w:tcBorders>
            <w:shd w:val="clear" w:color="000000" w:fill="FFFFFF"/>
            <w:noWrap/>
            <w:vAlign w:val="bottom"/>
            <w:hideMark/>
          </w:tcPr>
          <w:p w14:paraId="1D92381E" w14:textId="43CCF4D8" w:rsidR="007A669A" w:rsidRPr="005C7317" w:rsidRDefault="007A669A" w:rsidP="00A1600C">
            <w:pPr>
              <w:pStyle w:val="Tabletextcentred"/>
              <w:keepNext/>
              <w:keepLines/>
            </w:pPr>
            <w:r w:rsidRPr="008664C7">
              <w:t>20</w:t>
            </w:r>
            <w:r>
              <w:t>13-</w:t>
            </w:r>
            <w:r w:rsidRPr="008664C7">
              <w:t>14</w:t>
            </w:r>
          </w:p>
        </w:tc>
        <w:tc>
          <w:tcPr>
            <w:tcW w:w="739" w:type="pct"/>
            <w:tcBorders>
              <w:top w:val="nil"/>
              <w:left w:val="nil"/>
              <w:bottom w:val="nil"/>
              <w:right w:val="nil"/>
            </w:tcBorders>
            <w:shd w:val="clear" w:color="000000" w:fill="FFFFFF"/>
            <w:noWrap/>
            <w:vAlign w:val="bottom"/>
            <w:hideMark/>
          </w:tcPr>
          <w:p w14:paraId="0D7FA966" w14:textId="77777777" w:rsidR="007A669A" w:rsidRPr="005C7317" w:rsidRDefault="007A669A" w:rsidP="00A1600C">
            <w:pPr>
              <w:pStyle w:val="TableTextRight"/>
              <w:keepNext/>
              <w:keepLines/>
            </w:pPr>
            <w:r w:rsidRPr="005C7317">
              <w:t>94,891</w:t>
            </w:r>
          </w:p>
        </w:tc>
        <w:tc>
          <w:tcPr>
            <w:tcW w:w="739" w:type="pct"/>
            <w:tcBorders>
              <w:top w:val="nil"/>
              <w:left w:val="nil"/>
              <w:bottom w:val="nil"/>
              <w:right w:val="nil"/>
            </w:tcBorders>
            <w:shd w:val="clear" w:color="000000" w:fill="FFFFFF"/>
            <w:noWrap/>
            <w:vAlign w:val="bottom"/>
            <w:hideMark/>
          </w:tcPr>
          <w:p w14:paraId="75926101" w14:textId="77777777" w:rsidR="007A669A" w:rsidRPr="005C7317" w:rsidRDefault="007A669A" w:rsidP="00A1600C">
            <w:pPr>
              <w:pStyle w:val="TableTextRight"/>
              <w:keepNext/>
              <w:keepLines/>
            </w:pPr>
            <w:r w:rsidRPr="005C7317">
              <w:t>180,414</w:t>
            </w:r>
          </w:p>
        </w:tc>
        <w:tc>
          <w:tcPr>
            <w:tcW w:w="739" w:type="pct"/>
            <w:tcBorders>
              <w:top w:val="nil"/>
              <w:left w:val="nil"/>
              <w:bottom w:val="nil"/>
              <w:right w:val="nil"/>
            </w:tcBorders>
            <w:shd w:val="clear" w:color="000000" w:fill="FFFFFF"/>
            <w:noWrap/>
            <w:vAlign w:val="bottom"/>
            <w:hideMark/>
          </w:tcPr>
          <w:p w14:paraId="0BA050FD" w14:textId="77777777" w:rsidR="007A669A" w:rsidRPr="005C7317" w:rsidRDefault="007A669A" w:rsidP="00A1600C">
            <w:pPr>
              <w:pStyle w:val="TableTextRight"/>
              <w:keepNext/>
              <w:keepLines/>
            </w:pPr>
            <w:r w:rsidRPr="005C7317">
              <w:t>400,686</w:t>
            </w:r>
          </w:p>
        </w:tc>
        <w:tc>
          <w:tcPr>
            <w:tcW w:w="739" w:type="pct"/>
            <w:tcBorders>
              <w:top w:val="nil"/>
              <w:left w:val="nil"/>
              <w:bottom w:val="nil"/>
              <w:right w:val="nil"/>
            </w:tcBorders>
            <w:shd w:val="clear" w:color="000000" w:fill="FFFFFF"/>
            <w:noWrap/>
            <w:vAlign w:val="bottom"/>
            <w:hideMark/>
          </w:tcPr>
          <w:p w14:paraId="204FA37F" w14:textId="77777777" w:rsidR="007A669A" w:rsidRPr="005C7317" w:rsidRDefault="007A669A" w:rsidP="00A1600C">
            <w:pPr>
              <w:pStyle w:val="TableTextRight"/>
              <w:keepNext/>
              <w:keepLines/>
            </w:pPr>
            <w:r w:rsidRPr="005C7317">
              <w:t>455,124</w:t>
            </w:r>
          </w:p>
        </w:tc>
        <w:tc>
          <w:tcPr>
            <w:tcW w:w="739" w:type="pct"/>
            <w:tcBorders>
              <w:top w:val="nil"/>
              <w:left w:val="nil"/>
              <w:bottom w:val="nil"/>
              <w:right w:val="nil"/>
            </w:tcBorders>
            <w:shd w:val="clear" w:color="000000" w:fill="FFFFFF"/>
            <w:noWrap/>
            <w:vAlign w:val="bottom"/>
            <w:hideMark/>
          </w:tcPr>
          <w:p w14:paraId="2A4011B6" w14:textId="77777777" w:rsidR="007A669A" w:rsidRPr="005C7317" w:rsidRDefault="007A669A" w:rsidP="00A1600C">
            <w:pPr>
              <w:pStyle w:val="TableTextRight"/>
              <w:keepNext/>
              <w:keepLines/>
            </w:pPr>
            <w:r w:rsidRPr="005C7317">
              <w:t>6,860</w:t>
            </w:r>
          </w:p>
        </w:tc>
        <w:tc>
          <w:tcPr>
            <w:tcW w:w="736" w:type="pct"/>
            <w:tcBorders>
              <w:top w:val="nil"/>
              <w:left w:val="nil"/>
              <w:bottom w:val="nil"/>
              <w:right w:val="nil"/>
            </w:tcBorders>
            <w:shd w:val="clear" w:color="000000" w:fill="FFFFFF"/>
            <w:noWrap/>
            <w:vAlign w:val="bottom"/>
            <w:hideMark/>
          </w:tcPr>
          <w:p w14:paraId="76F42D09" w14:textId="77777777" w:rsidR="007A669A" w:rsidRPr="005C7317" w:rsidRDefault="007A669A" w:rsidP="00A1600C">
            <w:pPr>
              <w:pStyle w:val="TableTextRight"/>
              <w:keepNext/>
              <w:keepLines/>
            </w:pPr>
            <w:r w:rsidRPr="005C7317">
              <w:t>1,517,628</w:t>
            </w:r>
          </w:p>
        </w:tc>
      </w:tr>
      <w:tr w:rsidR="00E80550" w:rsidRPr="005C7317" w14:paraId="3F3EF526" w14:textId="77777777" w:rsidTr="00E80550">
        <w:trPr>
          <w:trHeight w:val="255"/>
        </w:trPr>
        <w:tc>
          <w:tcPr>
            <w:tcW w:w="570" w:type="pct"/>
            <w:tcBorders>
              <w:top w:val="nil"/>
              <w:left w:val="nil"/>
              <w:bottom w:val="single" w:sz="4" w:space="0" w:color="auto"/>
              <w:right w:val="nil"/>
            </w:tcBorders>
            <w:shd w:val="clear" w:color="auto" w:fill="F2F2F2" w:themeFill="background1" w:themeFillShade="F2"/>
            <w:noWrap/>
            <w:vAlign w:val="bottom"/>
            <w:hideMark/>
          </w:tcPr>
          <w:p w14:paraId="4B14A4D0" w14:textId="4602D59C" w:rsidR="007A669A" w:rsidRPr="005C7317" w:rsidRDefault="007A669A" w:rsidP="00A1600C">
            <w:pPr>
              <w:pStyle w:val="Tabletextcentred"/>
              <w:keepNext/>
              <w:keepLines/>
            </w:pPr>
            <w:r w:rsidRPr="008664C7">
              <w:t>20</w:t>
            </w:r>
            <w:r>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7203AE01" w14:textId="77777777" w:rsidR="007A669A" w:rsidRPr="005C7317" w:rsidRDefault="007A669A" w:rsidP="00A1600C">
            <w:pPr>
              <w:pStyle w:val="TableTextRight"/>
              <w:keepNext/>
              <w:keepLines/>
            </w:pPr>
            <w:r w:rsidRPr="005C7317">
              <w:t>97,356</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12375287" w14:textId="77777777" w:rsidR="007A669A" w:rsidRPr="005C7317" w:rsidRDefault="007A669A" w:rsidP="00A1600C">
            <w:pPr>
              <w:pStyle w:val="TableTextRight"/>
              <w:keepNext/>
              <w:keepLines/>
            </w:pPr>
            <w:r w:rsidRPr="005C7317">
              <w:t>187,943</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6F65C9C0" w14:textId="77777777" w:rsidR="007A669A" w:rsidRPr="005C7317" w:rsidRDefault="007A669A" w:rsidP="00A1600C">
            <w:pPr>
              <w:pStyle w:val="TableTextRight"/>
              <w:keepNext/>
              <w:keepLines/>
            </w:pPr>
            <w:r w:rsidRPr="005C7317">
              <w:t>408,768</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2EF9BA3F" w14:textId="77777777" w:rsidR="007A669A" w:rsidRPr="005C7317" w:rsidRDefault="007A669A" w:rsidP="00A1600C">
            <w:pPr>
              <w:pStyle w:val="TableTextRight"/>
              <w:keepNext/>
              <w:keepLines/>
            </w:pPr>
            <w:r w:rsidRPr="005C7317">
              <w:t>458,293</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3D6AC127" w14:textId="77777777" w:rsidR="007A669A" w:rsidRPr="005C7317" w:rsidRDefault="007A669A" w:rsidP="00A1600C">
            <w:pPr>
              <w:pStyle w:val="TableTextRight"/>
              <w:keepNext/>
              <w:keepLines/>
            </w:pPr>
            <w:r w:rsidRPr="005C7317">
              <w:t>7,301</w:t>
            </w:r>
          </w:p>
        </w:tc>
        <w:tc>
          <w:tcPr>
            <w:tcW w:w="736" w:type="pct"/>
            <w:tcBorders>
              <w:top w:val="nil"/>
              <w:left w:val="nil"/>
              <w:bottom w:val="single" w:sz="4" w:space="0" w:color="auto"/>
              <w:right w:val="nil"/>
            </w:tcBorders>
            <w:shd w:val="clear" w:color="auto" w:fill="F2F2F2" w:themeFill="background1" w:themeFillShade="F2"/>
            <w:noWrap/>
            <w:vAlign w:val="bottom"/>
            <w:hideMark/>
          </w:tcPr>
          <w:p w14:paraId="4380CCD6" w14:textId="77777777" w:rsidR="007A669A" w:rsidRPr="005C7317" w:rsidRDefault="007A669A" w:rsidP="00A1600C">
            <w:pPr>
              <w:pStyle w:val="TableTextRight"/>
              <w:keepNext/>
              <w:keepLines/>
            </w:pPr>
            <w:r w:rsidRPr="005C7317">
              <w:t>1,536,268</w:t>
            </w:r>
          </w:p>
        </w:tc>
      </w:tr>
    </w:tbl>
    <w:p w14:paraId="6D4F909D" w14:textId="1D92C236" w:rsidR="00877FE2" w:rsidRDefault="00877FE2" w:rsidP="00E80550">
      <w:pPr>
        <w:pStyle w:val="ChartorTableNote"/>
        <w:spacing w:after="0"/>
      </w:pPr>
      <w:r w:rsidRPr="00A25BFA">
        <w:t>Source: BLADE.</w:t>
      </w:r>
    </w:p>
    <w:p w14:paraId="7AE64268" w14:textId="77777777" w:rsidR="00E80550" w:rsidRPr="00A25BFA" w:rsidRDefault="00E80550" w:rsidP="00E80550">
      <w:pPr>
        <w:pStyle w:val="SingleParagraph"/>
      </w:pPr>
    </w:p>
    <w:p w14:paraId="3BDBB513" w14:textId="4B2C8454" w:rsidR="0002527D" w:rsidRDefault="0002527D" w:rsidP="00F12EE0">
      <w:pPr>
        <w:pStyle w:val="TableMainHeading"/>
        <w:spacing w:before="240"/>
      </w:pPr>
      <w:r>
        <w:t>Table B6: Victoria</w:t>
      </w:r>
    </w:p>
    <w:tbl>
      <w:tblPr>
        <w:tblW w:w="4968" w:type="pct"/>
        <w:tblLook w:val="04A0" w:firstRow="1" w:lastRow="0" w:firstColumn="1" w:lastColumn="0" w:noHBand="0" w:noVBand="1"/>
      </w:tblPr>
      <w:tblGrid>
        <w:gridCol w:w="1081"/>
        <w:gridCol w:w="1396"/>
        <w:gridCol w:w="1394"/>
        <w:gridCol w:w="1393"/>
        <w:gridCol w:w="1393"/>
        <w:gridCol w:w="1401"/>
        <w:gridCol w:w="1395"/>
      </w:tblGrid>
      <w:tr w:rsidR="00E80550" w:rsidRPr="005C7317" w14:paraId="1722B900" w14:textId="77777777" w:rsidTr="00E80550">
        <w:trPr>
          <w:trHeight w:val="255"/>
        </w:trPr>
        <w:tc>
          <w:tcPr>
            <w:tcW w:w="571" w:type="pct"/>
            <w:tcBorders>
              <w:top w:val="single" w:sz="4" w:space="0" w:color="auto"/>
              <w:left w:val="nil"/>
              <w:bottom w:val="single" w:sz="4" w:space="0" w:color="auto"/>
              <w:right w:val="nil"/>
            </w:tcBorders>
            <w:shd w:val="clear" w:color="auto" w:fill="C6D9F1" w:themeFill="text2" w:themeFillTint="33"/>
            <w:noWrap/>
            <w:vAlign w:val="bottom"/>
            <w:hideMark/>
          </w:tcPr>
          <w:p w14:paraId="228DF039" w14:textId="77777777" w:rsidR="00C90461" w:rsidRPr="005C7317" w:rsidRDefault="00C90461" w:rsidP="00E80550">
            <w:pPr>
              <w:pStyle w:val="TableColumnHeadingCentred"/>
            </w:pPr>
            <w:r w:rsidRPr="005C7317">
              <w:t>Year</w:t>
            </w:r>
          </w:p>
        </w:tc>
        <w:tc>
          <w:tcPr>
            <w:tcW w:w="738" w:type="pct"/>
            <w:tcBorders>
              <w:top w:val="single" w:sz="4" w:space="0" w:color="auto"/>
              <w:left w:val="nil"/>
              <w:bottom w:val="single" w:sz="4" w:space="0" w:color="auto"/>
              <w:right w:val="nil"/>
            </w:tcBorders>
            <w:shd w:val="clear" w:color="auto" w:fill="C6D9F1" w:themeFill="text2" w:themeFillTint="33"/>
            <w:noWrap/>
            <w:vAlign w:val="bottom"/>
            <w:hideMark/>
          </w:tcPr>
          <w:p w14:paraId="3A458137" w14:textId="77777777" w:rsidR="00C90461" w:rsidRPr="005C7317" w:rsidRDefault="00C90461" w:rsidP="00116242">
            <w:pPr>
              <w:pStyle w:val="TableColumnHeadingRight"/>
            </w:pPr>
            <w:r w:rsidRPr="005C7317">
              <w:t>25</w:t>
            </w:r>
            <w:r w:rsidRPr="00C90461">
              <w:rPr>
                <w:vertAlign w:val="superscript"/>
              </w:rPr>
              <w:t>th</w:t>
            </w:r>
            <w:r>
              <w:br/>
            </w:r>
            <w:r w:rsidRPr="005C7317">
              <w:t>percentile</w:t>
            </w:r>
          </w:p>
        </w:tc>
        <w:tc>
          <w:tcPr>
            <w:tcW w:w="737" w:type="pct"/>
            <w:tcBorders>
              <w:top w:val="single" w:sz="4" w:space="0" w:color="auto"/>
              <w:left w:val="nil"/>
              <w:bottom w:val="single" w:sz="4" w:space="0" w:color="auto"/>
              <w:right w:val="nil"/>
            </w:tcBorders>
            <w:shd w:val="clear" w:color="auto" w:fill="C6D9F1" w:themeFill="text2" w:themeFillTint="33"/>
            <w:noWrap/>
            <w:vAlign w:val="bottom"/>
            <w:hideMark/>
          </w:tcPr>
          <w:p w14:paraId="177AF1E6" w14:textId="77777777" w:rsidR="00C90461" w:rsidRPr="005C7317" w:rsidRDefault="00C90461" w:rsidP="00116242">
            <w:pPr>
              <w:pStyle w:val="TableColumnHeadingRight"/>
            </w:pPr>
            <w:r>
              <w:t>M</w:t>
            </w:r>
            <w:r w:rsidRPr="005C7317">
              <w:t>edian</w:t>
            </w:r>
          </w:p>
        </w:tc>
        <w:tc>
          <w:tcPr>
            <w:tcW w:w="737" w:type="pct"/>
            <w:tcBorders>
              <w:top w:val="single" w:sz="4" w:space="0" w:color="auto"/>
              <w:left w:val="nil"/>
              <w:bottom w:val="single" w:sz="4" w:space="0" w:color="auto"/>
              <w:right w:val="nil"/>
            </w:tcBorders>
            <w:shd w:val="clear" w:color="auto" w:fill="C6D9F1" w:themeFill="text2" w:themeFillTint="33"/>
            <w:noWrap/>
            <w:vAlign w:val="bottom"/>
            <w:hideMark/>
          </w:tcPr>
          <w:p w14:paraId="629ED301" w14:textId="77777777" w:rsidR="00C90461" w:rsidRPr="005C7317" w:rsidRDefault="00C90461" w:rsidP="00116242">
            <w:pPr>
              <w:pStyle w:val="TableColumnHeadingRight"/>
            </w:pPr>
            <w:r w:rsidRPr="005C7317">
              <w:t>75</w:t>
            </w:r>
            <w:r w:rsidRPr="00C90461">
              <w:rPr>
                <w:vertAlign w:val="superscript"/>
              </w:rPr>
              <w:t>th</w:t>
            </w:r>
            <w:r>
              <w:br/>
            </w:r>
            <w:r w:rsidRPr="005C7317">
              <w:t>percentile</w:t>
            </w:r>
          </w:p>
        </w:tc>
        <w:tc>
          <w:tcPr>
            <w:tcW w:w="737" w:type="pct"/>
            <w:tcBorders>
              <w:top w:val="single" w:sz="4" w:space="0" w:color="auto"/>
              <w:left w:val="nil"/>
              <w:bottom w:val="single" w:sz="4" w:space="0" w:color="auto"/>
              <w:right w:val="nil"/>
            </w:tcBorders>
            <w:shd w:val="clear" w:color="auto" w:fill="C6D9F1" w:themeFill="text2" w:themeFillTint="33"/>
            <w:noWrap/>
            <w:vAlign w:val="bottom"/>
            <w:hideMark/>
          </w:tcPr>
          <w:p w14:paraId="0211AE06" w14:textId="77777777" w:rsidR="00C90461" w:rsidRPr="005C7317" w:rsidRDefault="00C90461" w:rsidP="00116242">
            <w:pPr>
              <w:pStyle w:val="TableColumnHeadingRight"/>
            </w:pPr>
            <w:r>
              <w:t>M</w:t>
            </w:r>
            <w:r w:rsidRPr="005C7317">
              <w:t>ean</w:t>
            </w:r>
          </w:p>
        </w:tc>
        <w:tc>
          <w:tcPr>
            <w:tcW w:w="741" w:type="pct"/>
            <w:tcBorders>
              <w:top w:val="single" w:sz="4" w:space="0" w:color="auto"/>
              <w:left w:val="nil"/>
              <w:bottom w:val="single" w:sz="4" w:space="0" w:color="auto"/>
              <w:right w:val="nil"/>
            </w:tcBorders>
            <w:shd w:val="clear" w:color="auto" w:fill="C6D9F1" w:themeFill="text2" w:themeFillTint="33"/>
            <w:noWrap/>
            <w:vAlign w:val="bottom"/>
            <w:hideMark/>
          </w:tcPr>
          <w:p w14:paraId="7B4DDBCA" w14:textId="77777777" w:rsidR="00C90461" w:rsidRPr="005C7317" w:rsidRDefault="00C90461" w:rsidP="00116242">
            <w:pPr>
              <w:pStyle w:val="TableColumnHeadingRight"/>
            </w:pPr>
            <w:r>
              <w:t>T</w:t>
            </w:r>
            <w:r w:rsidRPr="005C7317">
              <w:t>otal no.</w:t>
            </w:r>
            <w:r>
              <w:br/>
            </w:r>
            <w:r w:rsidRPr="005C7317">
              <w:t>of firms</w:t>
            </w:r>
          </w:p>
        </w:tc>
        <w:tc>
          <w:tcPr>
            <w:tcW w:w="738" w:type="pct"/>
            <w:tcBorders>
              <w:top w:val="single" w:sz="4" w:space="0" w:color="auto"/>
              <w:left w:val="nil"/>
              <w:bottom w:val="single" w:sz="4" w:space="0" w:color="auto"/>
              <w:right w:val="nil"/>
            </w:tcBorders>
            <w:shd w:val="clear" w:color="auto" w:fill="C6D9F1" w:themeFill="text2" w:themeFillTint="33"/>
            <w:noWrap/>
            <w:vAlign w:val="bottom"/>
            <w:hideMark/>
          </w:tcPr>
          <w:p w14:paraId="74F5DCC0" w14:textId="77777777" w:rsidR="00C90461" w:rsidRPr="005C7317" w:rsidRDefault="00C90461" w:rsidP="00116242">
            <w:pPr>
              <w:pStyle w:val="TableColumnHeadingRight"/>
            </w:pPr>
            <w:r>
              <w:t>S</w:t>
            </w:r>
            <w:r w:rsidRPr="005C7317">
              <w:t>tandard</w:t>
            </w:r>
            <w:r>
              <w:br/>
            </w:r>
            <w:r w:rsidRPr="005C7317">
              <w:t>deviation</w:t>
            </w:r>
          </w:p>
        </w:tc>
      </w:tr>
      <w:tr w:rsidR="00E80550" w:rsidRPr="00245719" w14:paraId="4D8AC09C" w14:textId="77777777" w:rsidTr="00E80550">
        <w:trPr>
          <w:trHeight w:val="255"/>
        </w:trPr>
        <w:tc>
          <w:tcPr>
            <w:tcW w:w="571" w:type="pct"/>
            <w:tcBorders>
              <w:top w:val="nil"/>
              <w:left w:val="nil"/>
              <w:bottom w:val="nil"/>
              <w:right w:val="nil"/>
            </w:tcBorders>
            <w:shd w:val="clear" w:color="000000" w:fill="FFFFFF"/>
            <w:noWrap/>
            <w:vAlign w:val="bottom"/>
            <w:hideMark/>
          </w:tcPr>
          <w:p w14:paraId="5BE3D854" w14:textId="65DB57D9" w:rsidR="007A669A" w:rsidRPr="00245719" w:rsidRDefault="007A669A" w:rsidP="00A1600C">
            <w:pPr>
              <w:pStyle w:val="Tabletextcentred"/>
              <w:keepNext/>
              <w:keepLines/>
            </w:pPr>
            <w:r w:rsidRPr="008664C7">
              <w:t>200</w:t>
            </w:r>
            <w:r>
              <w:t>1-0</w:t>
            </w:r>
            <w:r w:rsidRPr="008664C7">
              <w:t>2</w:t>
            </w:r>
          </w:p>
        </w:tc>
        <w:tc>
          <w:tcPr>
            <w:tcW w:w="738" w:type="pct"/>
            <w:tcBorders>
              <w:top w:val="nil"/>
              <w:left w:val="nil"/>
              <w:bottom w:val="nil"/>
              <w:right w:val="nil"/>
            </w:tcBorders>
            <w:shd w:val="clear" w:color="000000" w:fill="FFFFFF"/>
            <w:noWrap/>
            <w:vAlign w:val="bottom"/>
            <w:hideMark/>
          </w:tcPr>
          <w:p w14:paraId="4EEEF3BE" w14:textId="77777777" w:rsidR="007A669A" w:rsidRPr="00245719" w:rsidRDefault="007A669A" w:rsidP="00A1600C">
            <w:pPr>
              <w:pStyle w:val="TableTextRight"/>
              <w:keepNext/>
              <w:keepLines/>
            </w:pPr>
            <w:r w:rsidRPr="00245719">
              <w:t>81,279</w:t>
            </w:r>
          </w:p>
        </w:tc>
        <w:tc>
          <w:tcPr>
            <w:tcW w:w="737" w:type="pct"/>
            <w:tcBorders>
              <w:top w:val="nil"/>
              <w:left w:val="nil"/>
              <w:bottom w:val="nil"/>
              <w:right w:val="nil"/>
            </w:tcBorders>
            <w:shd w:val="clear" w:color="000000" w:fill="FFFFFF"/>
            <w:noWrap/>
            <w:vAlign w:val="bottom"/>
            <w:hideMark/>
          </w:tcPr>
          <w:p w14:paraId="4009A913" w14:textId="77777777" w:rsidR="007A669A" w:rsidRPr="00245719" w:rsidRDefault="007A669A" w:rsidP="00A1600C">
            <w:pPr>
              <w:pStyle w:val="TableTextRight"/>
              <w:keepNext/>
              <w:keepLines/>
            </w:pPr>
            <w:r w:rsidRPr="00245719">
              <w:t>136,434</w:t>
            </w:r>
          </w:p>
        </w:tc>
        <w:tc>
          <w:tcPr>
            <w:tcW w:w="737" w:type="pct"/>
            <w:tcBorders>
              <w:top w:val="nil"/>
              <w:left w:val="nil"/>
              <w:bottom w:val="nil"/>
              <w:right w:val="nil"/>
            </w:tcBorders>
            <w:shd w:val="clear" w:color="000000" w:fill="FFFFFF"/>
            <w:noWrap/>
            <w:vAlign w:val="bottom"/>
            <w:hideMark/>
          </w:tcPr>
          <w:p w14:paraId="4DA80AB4" w14:textId="77777777" w:rsidR="007A669A" w:rsidRPr="00245719" w:rsidRDefault="007A669A" w:rsidP="00A1600C">
            <w:pPr>
              <w:pStyle w:val="TableTextRight"/>
              <w:keepNext/>
              <w:keepLines/>
            </w:pPr>
            <w:r w:rsidRPr="00245719">
              <w:t>285,361</w:t>
            </w:r>
          </w:p>
        </w:tc>
        <w:tc>
          <w:tcPr>
            <w:tcW w:w="737" w:type="pct"/>
            <w:tcBorders>
              <w:top w:val="nil"/>
              <w:left w:val="nil"/>
              <w:bottom w:val="nil"/>
              <w:right w:val="nil"/>
            </w:tcBorders>
            <w:shd w:val="clear" w:color="000000" w:fill="FFFFFF"/>
            <w:noWrap/>
            <w:vAlign w:val="bottom"/>
            <w:hideMark/>
          </w:tcPr>
          <w:p w14:paraId="42AF7C33" w14:textId="77777777" w:rsidR="007A669A" w:rsidRPr="00245719" w:rsidRDefault="007A669A" w:rsidP="00A1600C">
            <w:pPr>
              <w:pStyle w:val="TableTextRight"/>
              <w:keepNext/>
              <w:keepLines/>
            </w:pPr>
            <w:r w:rsidRPr="00245719">
              <w:t>350,529</w:t>
            </w:r>
          </w:p>
        </w:tc>
        <w:tc>
          <w:tcPr>
            <w:tcW w:w="741" w:type="pct"/>
            <w:tcBorders>
              <w:top w:val="nil"/>
              <w:left w:val="nil"/>
              <w:bottom w:val="nil"/>
              <w:right w:val="nil"/>
            </w:tcBorders>
            <w:shd w:val="clear" w:color="000000" w:fill="FFFFFF"/>
            <w:noWrap/>
            <w:vAlign w:val="bottom"/>
            <w:hideMark/>
          </w:tcPr>
          <w:p w14:paraId="613C7E14" w14:textId="77777777" w:rsidR="007A669A" w:rsidRPr="00245719" w:rsidRDefault="007A669A" w:rsidP="00A1600C">
            <w:pPr>
              <w:pStyle w:val="TableTextRight"/>
              <w:keepNext/>
              <w:keepLines/>
            </w:pPr>
            <w:r w:rsidRPr="00245719">
              <w:t>61,460</w:t>
            </w:r>
          </w:p>
        </w:tc>
        <w:tc>
          <w:tcPr>
            <w:tcW w:w="738" w:type="pct"/>
            <w:tcBorders>
              <w:top w:val="nil"/>
              <w:left w:val="nil"/>
              <w:bottom w:val="nil"/>
              <w:right w:val="nil"/>
            </w:tcBorders>
            <w:shd w:val="clear" w:color="000000" w:fill="FFFFFF"/>
            <w:noWrap/>
            <w:vAlign w:val="bottom"/>
            <w:hideMark/>
          </w:tcPr>
          <w:p w14:paraId="68BD9F07" w14:textId="77777777" w:rsidR="007A669A" w:rsidRPr="00245719" w:rsidRDefault="007A669A" w:rsidP="00A1600C">
            <w:pPr>
              <w:pStyle w:val="TableTextRight"/>
              <w:keepNext/>
              <w:keepLines/>
            </w:pPr>
            <w:r w:rsidRPr="00245719">
              <w:t>2,323,188</w:t>
            </w:r>
          </w:p>
        </w:tc>
      </w:tr>
      <w:tr w:rsidR="00E80550" w:rsidRPr="00245719" w14:paraId="72BA4062"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5F0BFE2E" w14:textId="0DB0CBFB" w:rsidR="007A669A" w:rsidRPr="00245719" w:rsidRDefault="007A669A" w:rsidP="00A1600C">
            <w:pPr>
              <w:pStyle w:val="Tabletextcentred"/>
              <w:keepNext/>
              <w:keepLines/>
            </w:pPr>
            <w:r w:rsidRPr="008664C7">
              <w:t>200</w:t>
            </w:r>
            <w:r>
              <w:t>2-0</w:t>
            </w:r>
            <w:r w:rsidRPr="008664C7">
              <w:t>3</w:t>
            </w:r>
          </w:p>
        </w:tc>
        <w:tc>
          <w:tcPr>
            <w:tcW w:w="738" w:type="pct"/>
            <w:tcBorders>
              <w:top w:val="nil"/>
              <w:left w:val="nil"/>
              <w:bottom w:val="nil"/>
              <w:right w:val="nil"/>
            </w:tcBorders>
            <w:shd w:val="clear" w:color="auto" w:fill="F2F2F2" w:themeFill="background1" w:themeFillShade="F2"/>
            <w:noWrap/>
            <w:vAlign w:val="bottom"/>
            <w:hideMark/>
          </w:tcPr>
          <w:p w14:paraId="6A231EEC" w14:textId="77777777" w:rsidR="007A669A" w:rsidRPr="00245719" w:rsidRDefault="007A669A" w:rsidP="00A1600C">
            <w:pPr>
              <w:pStyle w:val="TableTextRight"/>
              <w:keepNext/>
              <w:keepLines/>
            </w:pPr>
            <w:r w:rsidRPr="00245719">
              <w:t>82,091</w:t>
            </w:r>
          </w:p>
        </w:tc>
        <w:tc>
          <w:tcPr>
            <w:tcW w:w="737" w:type="pct"/>
            <w:tcBorders>
              <w:top w:val="nil"/>
              <w:left w:val="nil"/>
              <w:bottom w:val="nil"/>
              <w:right w:val="nil"/>
            </w:tcBorders>
            <w:shd w:val="clear" w:color="auto" w:fill="F2F2F2" w:themeFill="background1" w:themeFillShade="F2"/>
            <w:noWrap/>
            <w:vAlign w:val="bottom"/>
            <w:hideMark/>
          </w:tcPr>
          <w:p w14:paraId="6066395F" w14:textId="77777777" w:rsidR="007A669A" w:rsidRPr="00245719" w:rsidRDefault="007A669A" w:rsidP="00A1600C">
            <w:pPr>
              <w:pStyle w:val="TableTextRight"/>
              <w:keepNext/>
              <w:keepLines/>
            </w:pPr>
            <w:r w:rsidRPr="00245719">
              <w:t>140,495</w:t>
            </w:r>
          </w:p>
        </w:tc>
        <w:tc>
          <w:tcPr>
            <w:tcW w:w="737" w:type="pct"/>
            <w:tcBorders>
              <w:top w:val="nil"/>
              <w:left w:val="nil"/>
              <w:bottom w:val="nil"/>
              <w:right w:val="nil"/>
            </w:tcBorders>
            <w:shd w:val="clear" w:color="auto" w:fill="F2F2F2" w:themeFill="background1" w:themeFillShade="F2"/>
            <w:noWrap/>
            <w:vAlign w:val="bottom"/>
            <w:hideMark/>
          </w:tcPr>
          <w:p w14:paraId="4CB3D218" w14:textId="77777777" w:rsidR="007A669A" w:rsidRPr="00245719" w:rsidRDefault="007A669A" w:rsidP="00A1600C">
            <w:pPr>
              <w:pStyle w:val="TableTextRight"/>
              <w:keepNext/>
              <w:keepLines/>
            </w:pPr>
            <w:r w:rsidRPr="00245719">
              <w:t>300,398</w:t>
            </w:r>
          </w:p>
        </w:tc>
        <w:tc>
          <w:tcPr>
            <w:tcW w:w="737" w:type="pct"/>
            <w:tcBorders>
              <w:top w:val="nil"/>
              <w:left w:val="nil"/>
              <w:bottom w:val="nil"/>
              <w:right w:val="nil"/>
            </w:tcBorders>
            <w:shd w:val="clear" w:color="auto" w:fill="F2F2F2" w:themeFill="background1" w:themeFillShade="F2"/>
            <w:noWrap/>
            <w:vAlign w:val="bottom"/>
            <w:hideMark/>
          </w:tcPr>
          <w:p w14:paraId="298FC1BB" w14:textId="77777777" w:rsidR="007A669A" w:rsidRPr="00245719" w:rsidRDefault="007A669A" w:rsidP="00A1600C">
            <w:pPr>
              <w:pStyle w:val="TableTextRight"/>
              <w:keepNext/>
              <w:keepLines/>
            </w:pPr>
            <w:r w:rsidRPr="00245719">
              <w:t>354,675</w:t>
            </w:r>
          </w:p>
        </w:tc>
        <w:tc>
          <w:tcPr>
            <w:tcW w:w="741" w:type="pct"/>
            <w:tcBorders>
              <w:top w:val="nil"/>
              <w:left w:val="nil"/>
              <w:bottom w:val="nil"/>
              <w:right w:val="nil"/>
            </w:tcBorders>
            <w:shd w:val="clear" w:color="auto" w:fill="F2F2F2" w:themeFill="background1" w:themeFillShade="F2"/>
            <w:noWrap/>
            <w:vAlign w:val="bottom"/>
            <w:hideMark/>
          </w:tcPr>
          <w:p w14:paraId="0B07E2B3" w14:textId="77777777" w:rsidR="007A669A" w:rsidRPr="00245719" w:rsidRDefault="007A669A" w:rsidP="00A1600C">
            <w:pPr>
              <w:pStyle w:val="TableTextRight"/>
              <w:keepNext/>
              <w:keepLines/>
            </w:pPr>
            <w:r w:rsidRPr="00245719">
              <w:t>56,644</w:t>
            </w:r>
          </w:p>
        </w:tc>
        <w:tc>
          <w:tcPr>
            <w:tcW w:w="738" w:type="pct"/>
            <w:tcBorders>
              <w:top w:val="nil"/>
              <w:left w:val="nil"/>
              <w:bottom w:val="nil"/>
              <w:right w:val="nil"/>
            </w:tcBorders>
            <w:shd w:val="clear" w:color="auto" w:fill="F2F2F2" w:themeFill="background1" w:themeFillShade="F2"/>
            <w:noWrap/>
            <w:vAlign w:val="bottom"/>
            <w:hideMark/>
          </w:tcPr>
          <w:p w14:paraId="4890B69B" w14:textId="77777777" w:rsidR="007A669A" w:rsidRPr="00245719" w:rsidRDefault="007A669A" w:rsidP="00A1600C">
            <w:pPr>
              <w:pStyle w:val="TableTextRight"/>
              <w:keepNext/>
              <w:keepLines/>
            </w:pPr>
            <w:r w:rsidRPr="00245719">
              <w:t>1,283,017</w:t>
            </w:r>
          </w:p>
        </w:tc>
      </w:tr>
      <w:tr w:rsidR="00E80550" w:rsidRPr="00245719" w14:paraId="16032ED2" w14:textId="77777777" w:rsidTr="00E80550">
        <w:trPr>
          <w:trHeight w:val="255"/>
        </w:trPr>
        <w:tc>
          <w:tcPr>
            <w:tcW w:w="571" w:type="pct"/>
            <w:tcBorders>
              <w:top w:val="nil"/>
              <w:left w:val="nil"/>
              <w:bottom w:val="nil"/>
              <w:right w:val="nil"/>
            </w:tcBorders>
            <w:shd w:val="clear" w:color="000000" w:fill="FFFFFF"/>
            <w:noWrap/>
            <w:vAlign w:val="bottom"/>
            <w:hideMark/>
          </w:tcPr>
          <w:p w14:paraId="6E44D4E7" w14:textId="2E1B6228" w:rsidR="007A669A" w:rsidRPr="00245719" w:rsidRDefault="007A669A" w:rsidP="00A1600C">
            <w:pPr>
              <w:pStyle w:val="Tabletextcentred"/>
              <w:keepNext/>
              <w:keepLines/>
            </w:pPr>
            <w:r w:rsidRPr="008664C7">
              <w:t>200</w:t>
            </w:r>
            <w:r>
              <w:t>3-0</w:t>
            </w:r>
            <w:r w:rsidRPr="008664C7">
              <w:t>4</w:t>
            </w:r>
          </w:p>
        </w:tc>
        <w:tc>
          <w:tcPr>
            <w:tcW w:w="738" w:type="pct"/>
            <w:tcBorders>
              <w:top w:val="nil"/>
              <w:left w:val="nil"/>
              <w:bottom w:val="nil"/>
              <w:right w:val="nil"/>
            </w:tcBorders>
            <w:shd w:val="clear" w:color="000000" w:fill="FFFFFF"/>
            <w:noWrap/>
            <w:vAlign w:val="bottom"/>
            <w:hideMark/>
          </w:tcPr>
          <w:p w14:paraId="61A891EF" w14:textId="77777777" w:rsidR="007A669A" w:rsidRPr="00245719" w:rsidRDefault="007A669A" w:rsidP="00A1600C">
            <w:pPr>
              <w:pStyle w:val="TableTextRight"/>
              <w:keepNext/>
              <w:keepLines/>
            </w:pPr>
            <w:r w:rsidRPr="00245719">
              <w:t>82,901</w:t>
            </w:r>
          </w:p>
        </w:tc>
        <w:tc>
          <w:tcPr>
            <w:tcW w:w="737" w:type="pct"/>
            <w:tcBorders>
              <w:top w:val="nil"/>
              <w:left w:val="nil"/>
              <w:bottom w:val="nil"/>
              <w:right w:val="nil"/>
            </w:tcBorders>
            <w:shd w:val="clear" w:color="000000" w:fill="FFFFFF"/>
            <w:noWrap/>
            <w:vAlign w:val="bottom"/>
            <w:hideMark/>
          </w:tcPr>
          <w:p w14:paraId="1AF36CF2" w14:textId="77777777" w:rsidR="007A669A" w:rsidRPr="00245719" w:rsidRDefault="007A669A" w:rsidP="00A1600C">
            <w:pPr>
              <w:pStyle w:val="TableTextRight"/>
              <w:keepNext/>
              <w:keepLines/>
            </w:pPr>
            <w:r w:rsidRPr="00245719">
              <w:t>143,700</w:t>
            </w:r>
          </w:p>
        </w:tc>
        <w:tc>
          <w:tcPr>
            <w:tcW w:w="737" w:type="pct"/>
            <w:tcBorders>
              <w:top w:val="nil"/>
              <w:left w:val="nil"/>
              <w:bottom w:val="nil"/>
              <w:right w:val="nil"/>
            </w:tcBorders>
            <w:shd w:val="clear" w:color="000000" w:fill="FFFFFF"/>
            <w:noWrap/>
            <w:vAlign w:val="bottom"/>
            <w:hideMark/>
          </w:tcPr>
          <w:p w14:paraId="07A741B4" w14:textId="77777777" w:rsidR="007A669A" w:rsidRPr="00245719" w:rsidRDefault="007A669A" w:rsidP="00A1600C">
            <w:pPr>
              <w:pStyle w:val="TableTextRight"/>
              <w:keepNext/>
              <w:keepLines/>
            </w:pPr>
            <w:r w:rsidRPr="00245719">
              <w:t>312,036</w:t>
            </w:r>
          </w:p>
        </w:tc>
        <w:tc>
          <w:tcPr>
            <w:tcW w:w="737" w:type="pct"/>
            <w:tcBorders>
              <w:top w:val="nil"/>
              <w:left w:val="nil"/>
              <w:bottom w:val="nil"/>
              <w:right w:val="nil"/>
            </w:tcBorders>
            <w:shd w:val="clear" w:color="000000" w:fill="FFFFFF"/>
            <w:noWrap/>
            <w:vAlign w:val="bottom"/>
            <w:hideMark/>
          </w:tcPr>
          <w:p w14:paraId="36905C4D" w14:textId="77777777" w:rsidR="007A669A" w:rsidRPr="00245719" w:rsidRDefault="007A669A" w:rsidP="00A1600C">
            <w:pPr>
              <w:pStyle w:val="TableTextRight"/>
              <w:keepNext/>
              <w:keepLines/>
            </w:pPr>
            <w:r w:rsidRPr="00245719">
              <w:t>374,466</w:t>
            </w:r>
          </w:p>
        </w:tc>
        <w:tc>
          <w:tcPr>
            <w:tcW w:w="741" w:type="pct"/>
            <w:tcBorders>
              <w:top w:val="nil"/>
              <w:left w:val="nil"/>
              <w:bottom w:val="nil"/>
              <w:right w:val="nil"/>
            </w:tcBorders>
            <w:shd w:val="clear" w:color="000000" w:fill="FFFFFF"/>
            <w:noWrap/>
            <w:vAlign w:val="bottom"/>
            <w:hideMark/>
          </w:tcPr>
          <w:p w14:paraId="5B31BB81" w14:textId="77777777" w:rsidR="007A669A" w:rsidRPr="00245719" w:rsidRDefault="007A669A" w:rsidP="00A1600C">
            <w:pPr>
              <w:pStyle w:val="TableTextRight"/>
              <w:keepNext/>
              <w:keepLines/>
            </w:pPr>
            <w:r w:rsidRPr="00245719">
              <w:t>55,354</w:t>
            </w:r>
          </w:p>
        </w:tc>
        <w:tc>
          <w:tcPr>
            <w:tcW w:w="738" w:type="pct"/>
            <w:tcBorders>
              <w:top w:val="nil"/>
              <w:left w:val="nil"/>
              <w:bottom w:val="nil"/>
              <w:right w:val="nil"/>
            </w:tcBorders>
            <w:shd w:val="clear" w:color="000000" w:fill="FFFFFF"/>
            <w:noWrap/>
            <w:vAlign w:val="bottom"/>
            <w:hideMark/>
          </w:tcPr>
          <w:p w14:paraId="1DF33349" w14:textId="77777777" w:rsidR="007A669A" w:rsidRPr="00245719" w:rsidRDefault="007A669A" w:rsidP="00A1600C">
            <w:pPr>
              <w:pStyle w:val="TableTextRight"/>
              <w:keepNext/>
              <w:keepLines/>
            </w:pPr>
            <w:r w:rsidRPr="00245719">
              <w:t>1,411,896</w:t>
            </w:r>
          </w:p>
        </w:tc>
      </w:tr>
      <w:tr w:rsidR="00E80550" w:rsidRPr="00245719" w14:paraId="271C75BA"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1327E3B7" w14:textId="423A2216" w:rsidR="007A669A" w:rsidRPr="00245719" w:rsidRDefault="007A669A" w:rsidP="00A1600C">
            <w:pPr>
              <w:pStyle w:val="Tabletextcentred"/>
              <w:keepNext/>
              <w:keepLines/>
            </w:pPr>
            <w:r w:rsidRPr="008664C7">
              <w:t>200</w:t>
            </w:r>
            <w:r>
              <w:t>4-0</w:t>
            </w:r>
            <w:r w:rsidRPr="008664C7">
              <w:t>5</w:t>
            </w:r>
          </w:p>
        </w:tc>
        <w:tc>
          <w:tcPr>
            <w:tcW w:w="738" w:type="pct"/>
            <w:tcBorders>
              <w:top w:val="nil"/>
              <w:left w:val="nil"/>
              <w:bottom w:val="nil"/>
              <w:right w:val="nil"/>
            </w:tcBorders>
            <w:shd w:val="clear" w:color="auto" w:fill="F2F2F2" w:themeFill="background1" w:themeFillShade="F2"/>
            <w:noWrap/>
            <w:vAlign w:val="bottom"/>
            <w:hideMark/>
          </w:tcPr>
          <w:p w14:paraId="7C57AA82" w14:textId="77777777" w:rsidR="007A669A" w:rsidRPr="00245719" w:rsidRDefault="007A669A" w:rsidP="00A1600C">
            <w:pPr>
              <w:pStyle w:val="TableTextRight"/>
              <w:keepNext/>
              <w:keepLines/>
            </w:pPr>
            <w:r w:rsidRPr="00245719">
              <w:t>84,000</w:t>
            </w:r>
          </w:p>
        </w:tc>
        <w:tc>
          <w:tcPr>
            <w:tcW w:w="737" w:type="pct"/>
            <w:tcBorders>
              <w:top w:val="nil"/>
              <w:left w:val="nil"/>
              <w:bottom w:val="nil"/>
              <w:right w:val="nil"/>
            </w:tcBorders>
            <w:shd w:val="clear" w:color="auto" w:fill="F2F2F2" w:themeFill="background1" w:themeFillShade="F2"/>
            <w:noWrap/>
            <w:vAlign w:val="bottom"/>
            <w:hideMark/>
          </w:tcPr>
          <w:p w14:paraId="4A3544EC" w14:textId="77777777" w:rsidR="007A669A" w:rsidRPr="00245719" w:rsidRDefault="007A669A" w:rsidP="00A1600C">
            <w:pPr>
              <w:pStyle w:val="TableTextRight"/>
              <w:keepNext/>
              <w:keepLines/>
            </w:pPr>
            <w:r w:rsidRPr="00245719">
              <w:t>146,039</w:t>
            </w:r>
          </w:p>
        </w:tc>
        <w:tc>
          <w:tcPr>
            <w:tcW w:w="737" w:type="pct"/>
            <w:tcBorders>
              <w:top w:val="nil"/>
              <w:left w:val="nil"/>
              <w:bottom w:val="nil"/>
              <w:right w:val="nil"/>
            </w:tcBorders>
            <w:shd w:val="clear" w:color="auto" w:fill="F2F2F2" w:themeFill="background1" w:themeFillShade="F2"/>
            <w:noWrap/>
            <w:vAlign w:val="bottom"/>
            <w:hideMark/>
          </w:tcPr>
          <w:p w14:paraId="78A1E9C6" w14:textId="77777777" w:rsidR="007A669A" w:rsidRPr="00245719" w:rsidRDefault="007A669A" w:rsidP="00A1600C">
            <w:pPr>
              <w:pStyle w:val="TableTextRight"/>
              <w:keepNext/>
              <w:keepLines/>
            </w:pPr>
            <w:r w:rsidRPr="00245719">
              <w:t>316,314</w:t>
            </w:r>
          </w:p>
        </w:tc>
        <w:tc>
          <w:tcPr>
            <w:tcW w:w="737" w:type="pct"/>
            <w:tcBorders>
              <w:top w:val="nil"/>
              <w:left w:val="nil"/>
              <w:bottom w:val="nil"/>
              <w:right w:val="nil"/>
            </w:tcBorders>
            <w:shd w:val="clear" w:color="auto" w:fill="F2F2F2" w:themeFill="background1" w:themeFillShade="F2"/>
            <w:noWrap/>
            <w:vAlign w:val="bottom"/>
            <w:hideMark/>
          </w:tcPr>
          <w:p w14:paraId="76923B2D" w14:textId="77777777" w:rsidR="007A669A" w:rsidRPr="00245719" w:rsidRDefault="007A669A" w:rsidP="00A1600C">
            <w:pPr>
              <w:pStyle w:val="TableTextRight"/>
              <w:keepNext/>
              <w:keepLines/>
            </w:pPr>
            <w:r w:rsidRPr="00245719">
              <w:t>378,468</w:t>
            </w:r>
          </w:p>
        </w:tc>
        <w:tc>
          <w:tcPr>
            <w:tcW w:w="741" w:type="pct"/>
            <w:tcBorders>
              <w:top w:val="nil"/>
              <w:left w:val="nil"/>
              <w:bottom w:val="nil"/>
              <w:right w:val="nil"/>
            </w:tcBorders>
            <w:shd w:val="clear" w:color="auto" w:fill="F2F2F2" w:themeFill="background1" w:themeFillShade="F2"/>
            <w:noWrap/>
            <w:vAlign w:val="bottom"/>
            <w:hideMark/>
          </w:tcPr>
          <w:p w14:paraId="62F51CEA" w14:textId="77777777" w:rsidR="007A669A" w:rsidRPr="00245719" w:rsidRDefault="007A669A" w:rsidP="00A1600C">
            <w:pPr>
              <w:pStyle w:val="TableTextRight"/>
              <w:keepNext/>
              <w:keepLines/>
            </w:pPr>
            <w:r w:rsidRPr="00245719">
              <w:t>71,048</w:t>
            </w:r>
          </w:p>
        </w:tc>
        <w:tc>
          <w:tcPr>
            <w:tcW w:w="738" w:type="pct"/>
            <w:tcBorders>
              <w:top w:val="nil"/>
              <w:left w:val="nil"/>
              <w:bottom w:val="nil"/>
              <w:right w:val="nil"/>
            </w:tcBorders>
            <w:shd w:val="clear" w:color="auto" w:fill="F2F2F2" w:themeFill="background1" w:themeFillShade="F2"/>
            <w:noWrap/>
            <w:vAlign w:val="bottom"/>
            <w:hideMark/>
          </w:tcPr>
          <w:p w14:paraId="706328AD" w14:textId="77777777" w:rsidR="007A669A" w:rsidRPr="00245719" w:rsidRDefault="007A669A" w:rsidP="00A1600C">
            <w:pPr>
              <w:pStyle w:val="TableTextRight"/>
              <w:keepNext/>
              <w:keepLines/>
            </w:pPr>
            <w:r w:rsidRPr="00245719">
              <w:t>1,532,197</w:t>
            </w:r>
          </w:p>
        </w:tc>
      </w:tr>
      <w:tr w:rsidR="00E80550" w:rsidRPr="00245719" w14:paraId="297C6DC8" w14:textId="77777777" w:rsidTr="00E80550">
        <w:trPr>
          <w:trHeight w:val="255"/>
        </w:trPr>
        <w:tc>
          <w:tcPr>
            <w:tcW w:w="571" w:type="pct"/>
            <w:tcBorders>
              <w:top w:val="nil"/>
              <w:left w:val="nil"/>
              <w:bottom w:val="nil"/>
              <w:right w:val="nil"/>
            </w:tcBorders>
            <w:shd w:val="clear" w:color="000000" w:fill="FFFFFF"/>
            <w:noWrap/>
            <w:vAlign w:val="bottom"/>
            <w:hideMark/>
          </w:tcPr>
          <w:p w14:paraId="09DD243C" w14:textId="1D162DC3" w:rsidR="007A669A" w:rsidRPr="00245719" w:rsidRDefault="007A669A" w:rsidP="00A1600C">
            <w:pPr>
              <w:pStyle w:val="Tabletextcentred"/>
              <w:keepNext/>
              <w:keepLines/>
            </w:pPr>
            <w:r w:rsidRPr="008664C7">
              <w:t>200</w:t>
            </w:r>
            <w:r>
              <w:t>5-0</w:t>
            </w:r>
            <w:r w:rsidRPr="008664C7">
              <w:t>6</w:t>
            </w:r>
          </w:p>
        </w:tc>
        <w:tc>
          <w:tcPr>
            <w:tcW w:w="738" w:type="pct"/>
            <w:tcBorders>
              <w:top w:val="nil"/>
              <w:left w:val="nil"/>
              <w:bottom w:val="nil"/>
              <w:right w:val="nil"/>
            </w:tcBorders>
            <w:shd w:val="clear" w:color="000000" w:fill="FFFFFF"/>
            <w:noWrap/>
            <w:vAlign w:val="bottom"/>
            <w:hideMark/>
          </w:tcPr>
          <w:p w14:paraId="03C3C61A" w14:textId="77777777" w:rsidR="007A669A" w:rsidRPr="00245719" w:rsidRDefault="007A669A" w:rsidP="00A1600C">
            <w:pPr>
              <w:pStyle w:val="TableTextRight"/>
              <w:keepNext/>
              <w:keepLines/>
            </w:pPr>
            <w:r w:rsidRPr="00245719">
              <w:t>86,257</w:t>
            </w:r>
          </w:p>
        </w:tc>
        <w:tc>
          <w:tcPr>
            <w:tcW w:w="737" w:type="pct"/>
            <w:tcBorders>
              <w:top w:val="nil"/>
              <w:left w:val="nil"/>
              <w:bottom w:val="nil"/>
              <w:right w:val="nil"/>
            </w:tcBorders>
            <w:shd w:val="clear" w:color="000000" w:fill="FFFFFF"/>
            <w:noWrap/>
            <w:vAlign w:val="bottom"/>
            <w:hideMark/>
          </w:tcPr>
          <w:p w14:paraId="08937EAF" w14:textId="77777777" w:rsidR="007A669A" w:rsidRPr="00245719" w:rsidRDefault="007A669A" w:rsidP="00A1600C">
            <w:pPr>
              <w:pStyle w:val="TableTextRight"/>
              <w:keepNext/>
              <w:keepLines/>
            </w:pPr>
            <w:r w:rsidRPr="00245719">
              <w:t>153,050</w:t>
            </w:r>
          </w:p>
        </w:tc>
        <w:tc>
          <w:tcPr>
            <w:tcW w:w="737" w:type="pct"/>
            <w:tcBorders>
              <w:top w:val="nil"/>
              <w:left w:val="nil"/>
              <w:bottom w:val="nil"/>
              <w:right w:val="nil"/>
            </w:tcBorders>
            <w:shd w:val="clear" w:color="000000" w:fill="FFFFFF"/>
            <w:noWrap/>
            <w:vAlign w:val="bottom"/>
            <w:hideMark/>
          </w:tcPr>
          <w:p w14:paraId="1D6FABA2" w14:textId="77777777" w:rsidR="007A669A" w:rsidRPr="00245719" w:rsidRDefault="007A669A" w:rsidP="00A1600C">
            <w:pPr>
              <w:pStyle w:val="TableTextRight"/>
              <w:keepNext/>
              <w:keepLines/>
            </w:pPr>
            <w:r w:rsidRPr="00245719">
              <w:t>330,644</w:t>
            </w:r>
          </w:p>
        </w:tc>
        <w:tc>
          <w:tcPr>
            <w:tcW w:w="737" w:type="pct"/>
            <w:tcBorders>
              <w:top w:val="nil"/>
              <w:left w:val="nil"/>
              <w:bottom w:val="nil"/>
              <w:right w:val="nil"/>
            </w:tcBorders>
            <w:shd w:val="clear" w:color="000000" w:fill="FFFFFF"/>
            <w:noWrap/>
            <w:vAlign w:val="bottom"/>
            <w:hideMark/>
          </w:tcPr>
          <w:p w14:paraId="60183832" w14:textId="77777777" w:rsidR="007A669A" w:rsidRPr="00245719" w:rsidRDefault="007A669A" w:rsidP="00A1600C">
            <w:pPr>
              <w:pStyle w:val="TableTextRight"/>
              <w:keepNext/>
              <w:keepLines/>
            </w:pPr>
            <w:r w:rsidRPr="00245719">
              <w:t>390,007</w:t>
            </w:r>
          </w:p>
        </w:tc>
        <w:tc>
          <w:tcPr>
            <w:tcW w:w="741" w:type="pct"/>
            <w:tcBorders>
              <w:top w:val="nil"/>
              <w:left w:val="nil"/>
              <w:bottom w:val="nil"/>
              <w:right w:val="nil"/>
            </w:tcBorders>
            <w:shd w:val="clear" w:color="000000" w:fill="FFFFFF"/>
            <w:noWrap/>
            <w:vAlign w:val="bottom"/>
            <w:hideMark/>
          </w:tcPr>
          <w:p w14:paraId="1C30C7E8" w14:textId="77777777" w:rsidR="007A669A" w:rsidRPr="00245719" w:rsidRDefault="007A669A" w:rsidP="00A1600C">
            <w:pPr>
              <w:pStyle w:val="TableTextRight"/>
              <w:keepNext/>
              <w:keepLines/>
            </w:pPr>
            <w:r w:rsidRPr="00245719">
              <w:t>79,086</w:t>
            </w:r>
          </w:p>
        </w:tc>
        <w:tc>
          <w:tcPr>
            <w:tcW w:w="738" w:type="pct"/>
            <w:tcBorders>
              <w:top w:val="nil"/>
              <w:left w:val="nil"/>
              <w:bottom w:val="nil"/>
              <w:right w:val="nil"/>
            </w:tcBorders>
            <w:shd w:val="clear" w:color="000000" w:fill="FFFFFF"/>
            <w:noWrap/>
            <w:vAlign w:val="bottom"/>
            <w:hideMark/>
          </w:tcPr>
          <w:p w14:paraId="1671DEC8" w14:textId="77777777" w:rsidR="007A669A" w:rsidRPr="00245719" w:rsidRDefault="007A669A" w:rsidP="00A1600C">
            <w:pPr>
              <w:pStyle w:val="TableTextRight"/>
              <w:keepNext/>
              <w:keepLines/>
            </w:pPr>
            <w:r w:rsidRPr="00245719">
              <w:t>1,637,587</w:t>
            </w:r>
          </w:p>
        </w:tc>
      </w:tr>
      <w:tr w:rsidR="00E80550" w:rsidRPr="00245719" w14:paraId="34405735"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258C644E" w14:textId="7D25ED43" w:rsidR="007A669A" w:rsidRPr="00245719" w:rsidRDefault="007A669A" w:rsidP="00A1600C">
            <w:pPr>
              <w:pStyle w:val="Tabletextcentred"/>
              <w:keepNext/>
              <w:keepLines/>
            </w:pPr>
            <w:r w:rsidRPr="008664C7">
              <w:t>200</w:t>
            </w:r>
            <w:r>
              <w:t>6-0</w:t>
            </w:r>
            <w:r w:rsidRPr="008664C7">
              <w:t>7</w:t>
            </w:r>
          </w:p>
        </w:tc>
        <w:tc>
          <w:tcPr>
            <w:tcW w:w="738" w:type="pct"/>
            <w:tcBorders>
              <w:top w:val="nil"/>
              <w:left w:val="nil"/>
              <w:bottom w:val="nil"/>
              <w:right w:val="nil"/>
            </w:tcBorders>
            <w:shd w:val="clear" w:color="auto" w:fill="F2F2F2" w:themeFill="background1" w:themeFillShade="F2"/>
            <w:noWrap/>
            <w:vAlign w:val="bottom"/>
            <w:hideMark/>
          </w:tcPr>
          <w:p w14:paraId="15F0C53A" w14:textId="77777777" w:rsidR="007A669A" w:rsidRPr="00245719" w:rsidRDefault="007A669A" w:rsidP="00A1600C">
            <w:pPr>
              <w:pStyle w:val="TableTextRight"/>
              <w:keepNext/>
              <w:keepLines/>
            </w:pPr>
            <w:r w:rsidRPr="00245719">
              <w:t>88,833</w:t>
            </w:r>
          </w:p>
        </w:tc>
        <w:tc>
          <w:tcPr>
            <w:tcW w:w="737" w:type="pct"/>
            <w:tcBorders>
              <w:top w:val="nil"/>
              <w:left w:val="nil"/>
              <w:bottom w:val="nil"/>
              <w:right w:val="nil"/>
            </w:tcBorders>
            <w:shd w:val="clear" w:color="auto" w:fill="F2F2F2" w:themeFill="background1" w:themeFillShade="F2"/>
            <w:noWrap/>
            <w:vAlign w:val="bottom"/>
            <w:hideMark/>
          </w:tcPr>
          <w:p w14:paraId="50CB0116" w14:textId="77777777" w:rsidR="007A669A" w:rsidRPr="00245719" w:rsidRDefault="007A669A" w:rsidP="00A1600C">
            <w:pPr>
              <w:pStyle w:val="TableTextRight"/>
              <w:keepNext/>
              <w:keepLines/>
            </w:pPr>
            <w:r w:rsidRPr="00245719">
              <w:t>159,815</w:t>
            </w:r>
          </w:p>
        </w:tc>
        <w:tc>
          <w:tcPr>
            <w:tcW w:w="737" w:type="pct"/>
            <w:tcBorders>
              <w:top w:val="nil"/>
              <w:left w:val="nil"/>
              <w:bottom w:val="nil"/>
              <w:right w:val="nil"/>
            </w:tcBorders>
            <w:shd w:val="clear" w:color="auto" w:fill="F2F2F2" w:themeFill="background1" w:themeFillShade="F2"/>
            <w:noWrap/>
            <w:vAlign w:val="bottom"/>
            <w:hideMark/>
          </w:tcPr>
          <w:p w14:paraId="16F5799E" w14:textId="77777777" w:rsidR="007A669A" w:rsidRPr="00245719" w:rsidRDefault="007A669A" w:rsidP="00A1600C">
            <w:pPr>
              <w:pStyle w:val="TableTextRight"/>
              <w:keepNext/>
              <w:keepLines/>
            </w:pPr>
            <w:r w:rsidRPr="00245719">
              <w:t>348,321</w:t>
            </w:r>
          </w:p>
        </w:tc>
        <w:tc>
          <w:tcPr>
            <w:tcW w:w="737" w:type="pct"/>
            <w:tcBorders>
              <w:top w:val="nil"/>
              <w:left w:val="nil"/>
              <w:bottom w:val="nil"/>
              <w:right w:val="nil"/>
            </w:tcBorders>
            <w:shd w:val="clear" w:color="auto" w:fill="F2F2F2" w:themeFill="background1" w:themeFillShade="F2"/>
            <w:noWrap/>
            <w:vAlign w:val="bottom"/>
            <w:hideMark/>
          </w:tcPr>
          <w:p w14:paraId="624766F5" w14:textId="77777777" w:rsidR="007A669A" w:rsidRPr="00245719" w:rsidRDefault="007A669A" w:rsidP="00A1600C">
            <w:pPr>
              <w:pStyle w:val="TableTextRight"/>
              <w:keepNext/>
              <w:keepLines/>
            </w:pPr>
            <w:r w:rsidRPr="00245719">
              <w:t>417,216</w:t>
            </w:r>
          </w:p>
        </w:tc>
        <w:tc>
          <w:tcPr>
            <w:tcW w:w="741" w:type="pct"/>
            <w:tcBorders>
              <w:top w:val="nil"/>
              <w:left w:val="nil"/>
              <w:bottom w:val="nil"/>
              <w:right w:val="nil"/>
            </w:tcBorders>
            <w:shd w:val="clear" w:color="auto" w:fill="F2F2F2" w:themeFill="background1" w:themeFillShade="F2"/>
            <w:noWrap/>
            <w:vAlign w:val="bottom"/>
            <w:hideMark/>
          </w:tcPr>
          <w:p w14:paraId="6845A68F" w14:textId="77777777" w:rsidR="007A669A" w:rsidRPr="00245719" w:rsidRDefault="007A669A" w:rsidP="00A1600C">
            <w:pPr>
              <w:pStyle w:val="TableTextRight"/>
              <w:keepNext/>
              <w:keepLines/>
            </w:pPr>
            <w:r w:rsidRPr="00245719">
              <w:t>78,110</w:t>
            </w:r>
          </w:p>
        </w:tc>
        <w:tc>
          <w:tcPr>
            <w:tcW w:w="738" w:type="pct"/>
            <w:tcBorders>
              <w:top w:val="nil"/>
              <w:left w:val="nil"/>
              <w:bottom w:val="nil"/>
              <w:right w:val="nil"/>
            </w:tcBorders>
            <w:shd w:val="clear" w:color="auto" w:fill="F2F2F2" w:themeFill="background1" w:themeFillShade="F2"/>
            <w:noWrap/>
            <w:vAlign w:val="bottom"/>
            <w:hideMark/>
          </w:tcPr>
          <w:p w14:paraId="5313A8D2" w14:textId="77777777" w:rsidR="007A669A" w:rsidRPr="00245719" w:rsidRDefault="007A669A" w:rsidP="00A1600C">
            <w:pPr>
              <w:pStyle w:val="TableTextRight"/>
              <w:keepNext/>
              <w:keepLines/>
            </w:pPr>
            <w:r w:rsidRPr="00245719">
              <w:t>1,807,311</w:t>
            </w:r>
          </w:p>
        </w:tc>
      </w:tr>
      <w:tr w:rsidR="00E80550" w:rsidRPr="00245719" w14:paraId="3ECE70A3" w14:textId="77777777" w:rsidTr="00E80550">
        <w:trPr>
          <w:trHeight w:val="255"/>
        </w:trPr>
        <w:tc>
          <w:tcPr>
            <w:tcW w:w="571" w:type="pct"/>
            <w:tcBorders>
              <w:top w:val="nil"/>
              <w:left w:val="nil"/>
              <w:bottom w:val="nil"/>
              <w:right w:val="nil"/>
            </w:tcBorders>
            <w:shd w:val="clear" w:color="000000" w:fill="FFFFFF"/>
            <w:noWrap/>
            <w:vAlign w:val="bottom"/>
            <w:hideMark/>
          </w:tcPr>
          <w:p w14:paraId="235E5AB5" w14:textId="75D3052F" w:rsidR="007A669A" w:rsidRPr="00245719" w:rsidRDefault="007A669A" w:rsidP="00A1600C">
            <w:pPr>
              <w:pStyle w:val="Tabletextcentred"/>
              <w:keepNext/>
              <w:keepLines/>
            </w:pPr>
            <w:r w:rsidRPr="008664C7">
              <w:t>200</w:t>
            </w:r>
            <w:r>
              <w:t>7-0</w:t>
            </w:r>
            <w:r w:rsidRPr="008664C7">
              <w:t>8</w:t>
            </w:r>
          </w:p>
        </w:tc>
        <w:tc>
          <w:tcPr>
            <w:tcW w:w="738" w:type="pct"/>
            <w:tcBorders>
              <w:top w:val="nil"/>
              <w:left w:val="nil"/>
              <w:bottom w:val="nil"/>
              <w:right w:val="nil"/>
            </w:tcBorders>
            <w:shd w:val="clear" w:color="000000" w:fill="FFFFFF"/>
            <w:noWrap/>
            <w:vAlign w:val="bottom"/>
            <w:hideMark/>
          </w:tcPr>
          <w:p w14:paraId="75CA8C0C" w14:textId="77777777" w:rsidR="007A669A" w:rsidRPr="00245719" w:rsidRDefault="007A669A" w:rsidP="00A1600C">
            <w:pPr>
              <w:pStyle w:val="TableTextRight"/>
              <w:keepNext/>
              <w:keepLines/>
            </w:pPr>
            <w:r w:rsidRPr="00245719">
              <w:t>89,000</w:t>
            </w:r>
          </w:p>
        </w:tc>
        <w:tc>
          <w:tcPr>
            <w:tcW w:w="737" w:type="pct"/>
            <w:tcBorders>
              <w:top w:val="nil"/>
              <w:left w:val="nil"/>
              <w:bottom w:val="nil"/>
              <w:right w:val="nil"/>
            </w:tcBorders>
            <w:shd w:val="clear" w:color="000000" w:fill="FFFFFF"/>
            <w:noWrap/>
            <w:vAlign w:val="bottom"/>
            <w:hideMark/>
          </w:tcPr>
          <w:p w14:paraId="766B8E55" w14:textId="77777777" w:rsidR="007A669A" w:rsidRPr="00245719" w:rsidRDefault="007A669A" w:rsidP="00A1600C">
            <w:pPr>
              <w:pStyle w:val="TableTextRight"/>
              <w:keepNext/>
              <w:keepLines/>
            </w:pPr>
            <w:r w:rsidRPr="00245719">
              <w:t>162,067</w:t>
            </w:r>
          </w:p>
        </w:tc>
        <w:tc>
          <w:tcPr>
            <w:tcW w:w="737" w:type="pct"/>
            <w:tcBorders>
              <w:top w:val="nil"/>
              <w:left w:val="nil"/>
              <w:bottom w:val="nil"/>
              <w:right w:val="nil"/>
            </w:tcBorders>
            <w:shd w:val="clear" w:color="000000" w:fill="FFFFFF"/>
            <w:noWrap/>
            <w:vAlign w:val="bottom"/>
            <w:hideMark/>
          </w:tcPr>
          <w:p w14:paraId="17405B53" w14:textId="77777777" w:rsidR="007A669A" w:rsidRPr="00245719" w:rsidRDefault="007A669A" w:rsidP="00A1600C">
            <w:pPr>
              <w:pStyle w:val="TableTextRight"/>
              <w:keepNext/>
              <w:keepLines/>
            </w:pPr>
            <w:r w:rsidRPr="00245719">
              <w:t>364,703</w:t>
            </w:r>
          </w:p>
        </w:tc>
        <w:tc>
          <w:tcPr>
            <w:tcW w:w="737" w:type="pct"/>
            <w:tcBorders>
              <w:top w:val="nil"/>
              <w:left w:val="nil"/>
              <w:bottom w:val="nil"/>
              <w:right w:val="nil"/>
            </w:tcBorders>
            <w:shd w:val="clear" w:color="000000" w:fill="FFFFFF"/>
            <w:noWrap/>
            <w:vAlign w:val="bottom"/>
            <w:hideMark/>
          </w:tcPr>
          <w:p w14:paraId="1AFC5027" w14:textId="77777777" w:rsidR="007A669A" w:rsidRPr="00245719" w:rsidRDefault="007A669A" w:rsidP="00A1600C">
            <w:pPr>
              <w:pStyle w:val="TableTextRight"/>
              <w:keepNext/>
              <w:keepLines/>
            </w:pPr>
            <w:r w:rsidRPr="00245719">
              <w:t>451,980</w:t>
            </w:r>
          </w:p>
        </w:tc>
        <w:tc>
          <w:tcPr>
            <w:tcW w:w="741" w:type="pct"/>
            <w:tcBorders>
              <w:top w:val="nil"/>
              <w:left w:val="nil"/>
              <w:bottom w:val="nil"/>
              <w:right w:val="nil"/>
            </w:tcBorders>
            <w:shd w:val="clear" w:color="000000" w:fill="FFFFFF"/>
            <w:noWrap/>
            <w:vAlign w:val="bottom"/>
            <w:hideMark/>
          </w:tcPr>
          <w:p w14:paraId="5C9BA934" w14:textId="77777777" w:rsidR="007A669A" w:rsidRPr="00245719" w:rsidRDefault="007A669A" w:rsidP="00A1600C">
            <w:pPr>
              <w:pStyle w:val="TableTextRight"/>
              <w:keepNext/>
              <w:keepLines/>
            </w:pPr>
            <w:r w:rsidRPr="00245719">
              <w:t>61,280</w:t>
            </w:r>
          </w:p>
        </w:tc>
        <w:tc>
          <w:tcPr>
            <w:tcW w:w="738" w:type="pct"/>
            <w:tcBorders>
              <w:top w:val="nil"/>
              <w:left w:val="nil"/>
              <w:bottom w:val="nil"/>
              <w:right w:val="nil"/>
            </w:tcBorders>
            <w:shd w:val="clear" w:color="000000" w:fill="FFFFFF"/>
            <w:noWrap/>
            <w:vAlign w:val="bottom"/>
            <w:hideMark/>
          </w:tcPr>
          <w:p w14:paraId="5AB72334" w14:textId="77777777" w:rsidR="007A669A" w:rsidRPr="00245719" w:rsidRDefault="007A669A" w:rsidP="00A1600C">
            <w:pPr>
              <w:pStyle w:val="TableTextRight"/>
              <w:keepNext/>
              <w:keepLines/>
            </w:pPr>
            <w:r w:rsidRPr="00245719">
              <w:t>1,926,348</w:t>
            </w:r>
          </w:p>
        </w:tc>
      </w:tr>
      <w:tr w:rsidR="00E80550" w:rsidRPr="00245719" w14:paraId="2179AEA0"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10C3E287" w14:textId="747834EB" w:rsidR="007A669A" w:rsidRPr="00245719" w:rsidRDefault="007A669A" w:rsidP="00A1600C">
            <w:pPr>
              <w:pStyle w:val="Tabletextcentred"/>
              <w:keepNext/>
              <w:keepLines/>
            </w:pPr>
            <w:r w:rsidRPr="008664C7">
              <w:t>200</w:t>
            </w:r>
            <w:r>
              <w:t>8-0</w:t>
            </w:r>
            <w:r w:rsidRPr="008664C7">
              <w:t>9</w:t>
            </w:r>
          </w:p>
        </w:tc>
        <w:tc>
          <w:tcPr>
            <w:tcW w:w="738" w:type="pct"/>
            <w:tcBorders>
              <w:top w:val="nil"/>
              <w:left w:val="nil"/>
              <w:bottom w:val="nil"/>
              <w:right w:val="nil"/>
            </w:tcBorders>
            <w:shd w:val="clear" w:color="auto" w:fill="F2F2F2" w:themeFill="background1" w:themeFillShade="F2"/>
            <w:noWrap/>
            <w:vAlign w:val="bottom"/>
            <w:hideMark/>
          </w:tcPr>
          <w:p w14:paraId="45D60931" w14:textId="77777777" w:rsidR="007A669A" w:rsidRPr="00245719" w:rsidRDefault="007A669A" w:rsidP="00A1600C">
            <w:pPr>
              <w:pStyle w:val="TableTextRight"/>
              <w:keepNext/>
              <w:keepLines/>
            </w:pPr>
            <w:r w:rsidRPr="00245719">
              <w:t>91,127</w:t>
            </w:r>
          </w:p>
        </w:tc>
        <w:tc>
          <w:tcPr>
            <w:tcW w:w="737" w:type="pct"/>
            <w:tcBorders>
              <w:top w:val="nil"/>
              <w:left w:val="nil"/>
              <w:bottom w:val="nil"/>
              <w:right w:val="nil"/>
            </w:tcBorders>
            <w:shd w:val="clear" w:color="auto" w:fill="F2F2F2" w:themeFill="background1" w:themeFillShade="F2"/>
            <w:noWrap/>
            <w:vAlign w:val="bottom"/>
            <w:hideMark/>
          </w:tcPr>
          <w:p w14:paraId="3F2B86D3" w14:textId="77777777" w:rsidR="007A669A" w:rsidRPr="00245719" w:rsidRDefault="007A669A" w:rsidP="00A1600C">
            <w:pPr>
              <w:pStyle w:val="TableTextRight"/>
              <w:keepNext/>
              <w:keepLines/>
            </w:pPr>
            <w:r w:rsidRPr="00245719">
              <w:t>167,003</w:t>
            </w:r>
          </w:p>
        </w:tc>
        <w:tc>
          <w:tcPr>
            <w:tcW w:w="737" w:type="pct"/>
            <w:tcBorders>
              <w:top w:val="nil"/>
              <w:left w:val="nil"/>
              <w:bottom w:val="nil"/>
              <w:right w:val="nil"/>
            </w:tcBorders>
            <w:shd w:val="clear" w:color="auto" w:fill="F2F2F2" w:themeFill="background1" w:themeFillShade="F2"/>
            <w:noWrap/>
            <w:vAlign w:val="bottom"/>
            <w:hideMark/>
          </w:tcPr>
          <w:p w14:paraId="03E02752" w14:textId="77777777" w:rsidR="007A669A" w:rsidRPr="00245719" w:rsidRDefault="007A669A" w:rsidP="00A1600C">
            <w:pPr>
              <w:pStyle w:val="TableTextRight"/>
              <w:keepNext/>
              <w:keepLines/>
            </w:pPr>
            <w:r w:rsidRPr="00245719">
              <w:t>371,168</w:t>
            </w:r>
          </w:p>
        </w:tc>
        <w:tc>
          <w:tcPr>
            <w:tcW w:w="737" w:type="pct"/>
            <w:tcBorders>
              <w:top w:val="nil"/>
              <w:left w:val="nil"/>
              <w:bottom w:val="nil"/>
              <w:right w:val="nil"/>
            </w:tcBorders>
            <w:shd w:val="clear" w:color="auto" w:fill="F2F2F2" w:themeFill="background1" w:themeFillShade="F2"/>
            <w:noWrap/>
            <w:vAlign w:val="bottom"/>
            <w:hideMark/>
          </w:tcPr>
          <w:p w14:paraId="49512006" w14:textId="77777777" w:rsidR="007A669A" w:rsidRPr="00245719" w:rsidRDefault="007A669A" w:rsidP="00A1600C">
            <w:pPr>
              <w:pStyle w:val="TableTextRight"/>
              <w:keepNext/>
              <w:keepLines/>
            </w:pPr>
            <w:r w:rsidRPr="00245719">
              <w:t>448,137</w:t>
            </w:r>
          </w:p>
        </w:tc>
        <w:tc>
          <w:tcPr>
            <w:tcW w:w="741" w:type="pct"/>
            <w:tcBorders>
              <w:top w:val="nil"/>
              <w:left w:val="nil"/>
              <w:bottom w:val="nil"/>
              <w:right w:val="nil"/>
            </w:tcBorders>
            <w:shd w:val="clear" w:color="auto" w:fill="F2F2F2" w:themeFill="background1" w:themeFillShade="F2"/>
            <w:noWrap/>
            <w:vAlign w:val="bottom"/>
            <w:hideMark/>
          </w:tcPr>
          <w:p w14:paraId="4846589A" w14:textId="77777777" w:rsidR="007A669A" w:rsidRPr="00245719" w:rsidRDefault="007A669A" w:rsidP="00A1600C">
            <w:pPr>
              <w:pStyle w:val="TableTextRight"/>
              <w:keepNext/>
              <w:keepLines/>
            </w:pPr>
            <w:r w:rsidRPr="00245719">
              <w:t>78,904</w:t>
            </w:r>
          </w:p>
        </w:tc>
        <w:tc>
          <w:tcPr>
            <w:tcW w:w="738" w:type="pct"/>
            <w:tcBorders>
              <w:top w:val="nil"/>
              <w:left w:val="nil"/>
              <w:bottom w:val="nil"/>
              <w:right w:val="nil"/>
            </w:tcBorders>
            <w:shd w:val="clear" w:color="auto" w:fill="F2F2F2" w:themeFill="background1" w:themeFillShade="F2"/>
            <w:noWrap/>
            <w:vAlign w:val="bottom"/>
            <w:hideMark/>
          </w:tcPr>
          <w:p w14:paraId="4DC1DE4A" w14:textId="77777777" w:rsidR="007A669A" w:rsidRPr="00245719" w:rsidRDefault="007A669A" w:rsidP="00A1600C">
            <w:pPr>
              <w:pStyle w:val="TableTextRight"/>
              <w:keepNext/>
              <w:keepLines/>
            </w:pPr>
            <w:r w:rsidRPr="00245719">
              <w:t>2,149,518</w:t>
            </w:r>
          </w:p>
        </w:tc>
      </w:tr>
      <w:tr w:rsidR="00E80550" w:rsidRPr="00245719" w14:paraId="3BC20048" w14:textId="77777777" w:rsidTr="00E80550">
        <w:trPr>
          <w:trHeight w:val="255"/>
        </w:trPr>
        <w:tc>
          <w:tcPr>
            <w:tcW w:w="571" w:type="pct"/>
            <w:tcBorders>
              <w:top w:val="nil"/>
              <w:left w:val="nil"/>
              <w:bottom w:val="nil"/>
              <w:right w:val="nil"/>
            </w:tcBorders>
            <w:shd w:val="clear" w:color="000000" w:fill="FFFFFF"/>
            <w:noWrap/>
            <w:vAlign w:val="bottom"/>
            <w:hideMark/>
          </w:tcPr>
          <w:p w14:paraId="542CFF9F" w14:textId="1E1A64A8" w:rsidR="007A669A" w:rsidRPr="00245719" w:rsidRDefault="007A669A" w:rsidP="00A1600C">
            <w:pPr>
              <w:pStyle w:val="Tabletextcentred"/>
              <w:keepNext/>
              <w:keepLines/>
            </w:pPr>
            <w:r w:rsidRPr="008664C7">
              <w:t>20</w:t>
            </w:r>
            <w:r>
              <w:t>09-</w:t>
            </w:r>
            <w:r w:rsidRPr="008664C7">
              <w:t>10</w:t>
            </w:r>
          </w:p>
        </w:tc>
        <w:tc>
          <w:tcPr>
            <w:tcW w:w="738" w:type="pct"/>
            <w:tcBorders>
              <w:top w:val="nil"/>
              <w:left w:val="nil"/>
              <w:bottom w:val="nil"/>
              <w:right w:val="nil"/>
            </w:tcBorders>
            <w:shd w:val="clear" w:color="000000" w:fill="FFFFFF"/>
            <w:noWrap/>
            <w:vAlign w:val="bottom"/>
            <w:hideMark/>
          </w:tcPr>
          <w:p w14:paraId="5D576C3F" w14:textId="77777777" w:rsidR="007A669A" w:rsidRPr="00245719" w:rsidRDefault="007A669A" w:rsidP="00A1600C">
            <w:pPr>
              <w:pStyle w:val="TableTextRight"/>
              <w:keepNext/>
              <w:keepLines/>
            </w:pPr>
            <w:r w:rsidRPr="00245719">
              <w:t>89,805</w:t>
            </w:r>
          </w:p>
        </w:tc>
        <w:tc>
          <w:tcPr>
            <w:tcW w:w="737" w:type="pct"/>
            <w:tcBorders>
              <w:top w:val="nil"/>
              <w:left w:val="nil"/>
              <w:bottom w:val="nil"/>
              <w:right w:val="nil"/>
            </w:tcBorders>
            <w:shd w:val="clear" w:color="000000" w:fill="FFFFFF"/>
            <w:noWrap/>
            <w:vAlign w:val="bottom"/>
            <w:hideMark/>
          </w:tcPr>
          <w:p w14:paraId="7DE0A5E4" w14:textId="77777777" w:rsidR="007A669A" w:rsidRPr="00245719" w:rsidRDefault="007A669A" w:rsidP="00A1600C">
            <w:pPr>
              <w:pStyle w:val="TableTextRight"/>
              <w:keepNext/>
              <w:keepLines/>
            </w:pPr>
            <w:r w:rsidRPr="00245719">
              <w:t>163,769</w:t>
            </w:r>
          </w:p>
        </w:tc>
        <w:tc>
          <w:tcPr>
            <w:tcW w:w="737" w:type="pct"/>
            <w:tcBorders>
              <w:top w:val="nil"/>
              <w:left w:val="nil"/>
              <w:bottom w:val="nil"/>
              <w:right w:val="nil"/>
            </w:tcBorders>
            <w:shd w:val="clear" w:color="000000" w:fill="FFFFFF"/>
            <w:noWrap/>
            <w:vAlign w:val="bottom"/>
            <w:hideMark/>
          </w:tcPr>
          <w:p w14:paraId="2E492972" w14:textId="77777777" w:rsidR="007A669A" w:rsidRPr="00245719" w:rsidRDefault="007A669A" w:rsidP="00A1600C">
            <w:pPr>
              <w:pStyle w:val="TableTextRight"/>
              <w:keepNext/>
              <w:keepLines/>
            </w:pPr>
            <w:r w:rsidRPr="00245719">
              <w:t>363,418</w:t>
            </w:r>
          </w:p>
        </w:tc>
        <w:tc>
          <w:tcPr>
            <w:tcW w:w="737" w:type="pct"/>
            <w:tcBorders>
              <w:top w:val="nil"/>
              <w:left w:val="nil"/>
              <w:bottom w:val="nil"/>
              <w:right w:val="nil"/>
            </w:tcBorders>
            <w:shd w:val="clear" w:color="000000" w:fill="FFFFFF"/>
            <w:noWrap/>
            <w:vAlign w:val="bottom"/>
            <w:hideMark/>
          </w:tcPr>
          <w:p w14:paraId="47C7B96E" w14:textId="77777777" w:rsidR="007A669A" w:rsidRPr="00245719" w:rsidRDefault="007A669A" w:rsidP="00A1600C">
            <w:pPr>
              <w:pStyle w:val="TableTextRight"/>
              <w:keepNext/>
              <w:keepLines/>
            </w:pPr>
            <w:r w:rsidRPr="00245719">
              <w:t>442,663</w:t>
            </w:r>
          </w:p>
        </w:tc>
        <w:tc>
          <w:tcPr>
            <w:tcW w:w="741" w:type="pct"/>
            <w:tcBorders>
              <w:top w:val="nil"/>
              <w:left w:val="nil"/>
              <w:bottom w:val="nil"/>
              <w:right w:val="nil"/>
            </w:tcBorders>
            <w:shd w:val="clear" w:color="000000" w:fill="FFFFFF"/>
            <w:noWrap/>
            <w:vAlign w:val="bottom"/>
            <w:hideMark/>
          </w:tcPr>
          <w:p w14:paraId="54218195" w14:textId="77777777" w:rsidR="007A669A" w:rsidRPr="00245719" w:rsidRDefault="007A669A" w:rsidP="00A1600C">
            <w:pPr>
              <w:pStyle w:val="TableTextRight"/>
              <w:keepNext/>
              <w:keepLines/>
            </w:pPr>
            <w:r w:rsidRPr="00245719">
              <w:t>84,174</w:t>
            </w:r>
          </w:p>
        </w:tc>
        <w:tc>
          <w:tcPr>
            <w:tcW w:w="738" w:type="pct"/>
            <w:tcBorders>
              <w:top w:val="nil"/>
              <w:left w:val="nil"/>
              <w:bottom w:val="nil"/>
              <w:right w:val="nil"/>
            </w:tcBorders>
            <w:shd w:val="clear" w:color="000000" w:fill="FFFFFF"/>
            <w:noWrap/>
            <w:vAlign w:val="bottom"/>
            <w:hideMark/>
          </w:tcPr>
          <w:p w14:paraId="24751C0E" w14:textId="77777777" w:rsidR="007A669A" w:rsidRPr="00245719" w:rsidRDefault="007A669A" w:rsidP="00A1600C">
            <w:pPr>
              <w:pStyle w:val="TableTextRight"/>
              <w:keepNext/>
              <w:keepLines/>
            </w:pPr>
            <w:r w:rsidRPr="00245719">
              <w:t>1,963,451</w:t>
            </w:r>
          </w:p>
        </w:tc>
      </w:tr>
      <w:tr w:rsidR="00E80550" w:rsidRPr="00245719" w14:paraId="4278760E"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1C9190AB" w14:textId="55DF60A9" w:rsidR="007A669A" w:rsidRPr="00245719" w:rsidRDefault="007A669A" w:rsidP="00A1600C">
            <w:pPr>
              <w:pStyle w:val="Tabletextcentred"/>
              <w:keepNext/>
              <w:keepLines/>
            </w:pPr>
            <w:r w:rsidRPr="008664C7">
              <w:t>20</w:t>
            </w:r>
            <w:r>
              <w:t>10-</w:t>
            </w:r>
            <w:r w:rsidRPr="008664C7">
              <w:t>11</w:t>
            </w:r>
          </w:p>
        </w:tc>
        <w:tc>
          <w:tcPr>
            <w:tcW w:w="738" w:type="pct"/>
            <w:tcBorders>
              <w:top w:val="nil"/>
              <w:left w:val="nil"/>
              <w:bottom w:val="nil"/>
              <w:right w:val="nil"/>
            </w:tcBorders>
            <w:shd w:val="clear" w:color="auto" w:fill="F2F2F2" w:themeFill="background1" w:themeFillShade="F2"/>
            <w:noWrap/>
            <w:vAlign w:val="bottom"/>
            <w:hideMark/>
          </w:tcPr>
          <w:p w14:paraId="1767A0AD" w14:textId="77777777" w:rsidR="007A669A" w:rsidRPr="00245719" w:rsidRDefault="007A669A" w:rsidP="00A1600C">
            <w:pPr>
              <w:pStyle w:val="TableTextRight"/>
              <w:keepNext/>
              <w:keepLines/>
            </w:pPr>
            <w:r w:rsidRPr="00245719">
              <w:t>91,014</w:t>
            </w:r>
          </w:p>
        </w:tc>
        <w:tc>
          <w:tcPr>
            <w:tcW w:w="737" w:type="pct"/>
            <w:tcBorders>
              <w:top w:val="nil"/>
              <w:left w:val="nil"/>
              <w:bottom w:val="nil"/>
              <w:right w:val="nil"/>
            </w:tcBorders>
            <w:shd w:val="clear" w:color="auto" w:fill="F2F2F2" w:themeFill="background1" w:themeFillShade="F2"/>
            <w:noWrap/>
            <w:vAlign w:val="bottom"/>
            <w:hideMark/>
          </w:tcPr>
          <w:p w14:paraId="7D8BDB4B" w14:textId="77777777" w:rsidR="007A669A" w:rsidRPr="00245719" w:rsidRDefault="007A669A" w:rsidP="00A1600C">
            <w:pPr>
              <w:pStyle w:val="TableTextRight"/>
              <w:keepNext/>
              <w:keepLines/>
            </w:pPr>
            <w:r w:rsidRPr="00245719">
              <w:t>167,651</w:t>
            </w:r>
          </w:p>
        </w:tc>
        <w:tc>
          <w:tcPr>
            <w:tcW w:w="737" w:type="pct"/>
            <w:tcBorders>
              <w:top w:val="nil"/>
              <w:left w:val="nil"/>
              <w:bottom w:val="nil"/>
              <w:right w:val="nil"/>
            </w:tcBorders>
            <w:shd w:val="clear" w:color="auto" w:fill="F2F2F2" w:themeFill="background1" w:themeFillShade="F2"/>
            <w:noWrap/>
            <w:vAlign w:val="bottom"/>
            <w:hideMark/>
          </w:tcPr>
          <w:p w14:paraId="7968D344" w14:textId="77777777" w:rsidR="007A669A" w:rsidRPr="00245719" w:rsidRDefault="007A669A" w:rsidP="00A1600C">
            <w:pPr>
              <w:pStyle w:val="TableTextRight"/>
              <w:keepNext/>
              <w:keepLines/>
            </w:pPr>
            <w:r w:rsidRPr="00245719">
              <w:t>380,143</w:t>
            </w:r>
          </w:p>
        </w:tc>
        <w:tc>
          <w:tcPr>
            <w:tcW w:w="737" w:type="pct"/>
            <w:tcBorders>
              <w:top w:val="nil"/>
              <w:left w:val="nil"/>
              <w:bottom w:val="nil"/>
              <w:right w:val="nil"/>
            </w:tcBorders>
            <w:shd w:val="clear" w:color="auto" w:fill="F2F2F2" w:themeFill="background1" w:themeFillShade="F2"/>
            <w:noWrap/>
            <w:vAlign w:val="bottom"/>
            <w:hideMark/>
          </w:tcPr>
          <w:p w14:paraId="457DBDAE" w14:textId="77777777" w:rsidR="007A669A" w:rsidRPr="00245719" w:rsidRDefault="007A669A" w:rsidP="00A1600C">
            <w:pPr>
              <w:pStyle w:val="TableTextRight"/>
              <w:keepNext/>
              <w:keepLines/>
            </w:pPr>
            <w:r w:rsidRPr="00245719">
              <w:t>463,123</w:t>
            </w:r>
          </w:p>
        </w:tc>
        <w:tc>
          <w:tcPr>
            <w:tcW w:w="741" w:type="pct"/>
            <w:tcBorders>
              <w:top w:val="nil"/>
              <w:left w:val="nil"/>
              <w:bottom w:val="nil"/>
              <w:right w:val="nil"/>
            </w:tcBorders>
            <w:shd w:val="clear" w:color="auto" w:fill="F2F2F2" w:themeFill="background1" w:themeFillShade="F2"/>
            <w:noWrap/>
            <w:vAlign w:val="bottom"/>
            <w:hideMark/>
          </w:tcPr>
          <w:p w14:paraId="03E29E4C" w14:textId="77777777" w:rsidR="007A669A" w:rsidRPr="00245719" w:rsidRDefault="007A669A" w:rsidP="00A1600C">
            <w:pPr>
              <w:pStyle w:val="TableTextRight"/>
              <w:keepNext/>
              <w:keepLines/>
            </w:pPr>
            <w:r w:rsidRPr="00245719">
              <w:t>85,673</w:t>
            </w:r>
          </w:p>
        </w:tc>
        <w:tc>
          <w:tcPr>
            <w:tcW w:w="738" w:type="pct"/>
            <w:tcBorders>
              <w:top w:val="nil"/>
              <w:left w:val="nil"/>
              <w:bottom w:val="nil"/>
              <w:right w:val="nil"/>
            </w:tcBorders>
            <w:shd w:val="clear" w:color="auto" w:fill="F2F2F2" w:themeFill="background1" w:themeFillShade="F2"/>
            <w:noWrap/>
            <w:vAlign w:val="bottom"/>
            <w:hideMark/>
          </w:tcPr>
          <w:p w14:paraId="27DF742C" w14:textId="77777777" w:rsidR="007A669A" w:rsidRPr="00245719" w:rsidRDefault="007A669A" w:rsidP="00A1600C">
            <w:pPr>
              <w:pStyle w:val="TableTextRight"/>
              <w:keepNext/>
              <w:keepLines/>
            </w:pPr>
            <w:r w:rsidRPr="00245719">
              <w:t>2,166,717</w:t>
            </w:r>
          </w:p>
        </w:tc>
      </w:tr>
      <w:tr w:rsidR="00E80550" w:rsidRPr="00245719" w14:paraId="43CC4BB7" w14:textId="77777777" w:rsidTr="00E80550">
        <w:trPr>
          <w:trHeight w:val="255"/>
        </w:trPr>
        <w:tc>
          <w:tcPr>
            <w:tcW w:w="571" w:type="pct"/>
            <w:tcBorders>
              <w:top w:val="nil"/>
              <w:left w:val="nil"/>
              <w:bottom w:val="nil"/>
              <w:right w:val="nil"/>
            </w:tcBorders>
            <w:shd w:val="clear" w:color="000000" w:fill="FFFFFF"/>
            <w:noWrap/>
            <w:vAlign w:val="bottom"/>
            <w:hideMark/>
          </w:tcPr>
          <w:p w14:paraId="2255C829" w14:textId="18718DA5" w:rsidR="007A669A" w:rsidRPr="00245719" w:rsidRDefault="007A669A" w:rsidP="00A1600C">
            <w:pPr>
              <w:pStyle w:val="Tabletextcentred"/>
              <w:keepNext/>
              <w:keepLines/>
            </w:pPr>
            <w:r w:rsidRPr="008664C7">
              <w:t>20</w:t>
            </w:r>
            <w:r>
              <w:t>11-</w:t>
            </w:r>
            <w:r w:rsidRPr="008664C7">
              <w:t>12</w:t>
            </w:r>
          </w:p>
        </w:tc>
        <w:tc>
          <w:tcPr>
            <w:tcW w:w="738" w:type="pct"/>
            <w:tcBorders>
              <w:top w:val="nil"/>
              <w:left w:val="nil"/>
              <w:bottom w:val="nil"/>
              <w:right w:val="nil"/>
            </w:tcBorders>
            <w:shd w:val="clear" w:color="000000" w:fill="FFFFFF"/>
            <w:noWrap/>
            <w:vAlign w:val="bottom"/>
            <w:hideMark/>
          </w:tcPr>
          <w:p w14:paraId="4FEC94E6" w14:textId="77777777" w:rsidR="007A669A" w:rsidRPr="00245719" w:rsidRDefault="007A669A" w:rsidP="00A1600C">
            <w:pPr>
              <w:pStyle w:val="TableTextRight"/>
              <w:keepNext/>
              <w:keepLines/>
            </w:pPr>
            <w:r w:rsidRPr="00245719">
              <w:t>91,386</w:t>
            </w:r>
          </w:p>
        </w:tc>
        <w:tc>
          <w:tcPr>
            <w:tcW w:w="737" w:type="pct"/>
            <w:tcBorders>
              <w:top w:val="nil"/>
              <w:left w:val="nil"/>
              <w:bottom w:val="nil"/>
              <w:right w:val="nil"/>
            </w:tcBorders>
            <w:shd w:val="clear" w:color="000000" w:fill="FFFFFF"/>
            <w:noWrap/>
            <w:vAlign w:val="bottom"/>
            <w:hideMark/>
          </w:tcPr>
          <w:p w14:paraId="42192AC0" w14:textId="77777777" w:rsidR="007A669A" w:rsidRPr="00245719" w:rsidRDefault="007A669A" w:rsidP="00A1600C">
            <w:pPr>
              <w:pStyle w:val="TableTextRight"/>
              <w:keepNext/>
              <w:keepLines/>
            </w:pPr>
            <w:r w:rsidRPr="00245719">
              <w:t>170,208</w:t>
            </w:r>
          </w:p>
        </w:tc>
        <w:tc>
          <w:tcPr>
            <w:tcW w:w="737" w:type="pct"/>
            <w:tcBorders>
              <w:top w:val="nil"/>
              <w:left w:val="nil"/>
              <w:bottom w:val="nil"/>
              <w:right w:val="nil"/>
            </w:tcBorders>
            <w:shd w:val="clear" w:color="000000" w:fill="FFFFFF"/>
            <w:noWrap/>
            <w:vAlign w:val="bottom"/>
            <w:hideMark/>
          </w:tcPr>
          <w:p w14:paraId="5A89D081" w14:textId="77777777" w:rsidR="007A669A" w:rsidRPr="00245719" w:rsidRDefault="007A669A" w:rsidP="00A1600C">
            <w:pPr>
              <w:pStyle w:val="TableTextRight"/>
              <w:keepNext/>
              <w:keepLines/>
            </w:pPr>
            <w:r w:rsidRPr="00245719">
              <w:t>384,871</w:t>
            </w:r>
          </w:p>
        </w:tc>
        <w:tc>
          <w:tcPr>
            <w:tcW w:w="737" w:type="pct"/>
            <w:tcBorders>
              <w:top w:val="nil"/>
              <w:left w:val="nil"/>
              <w:bottom w:val="nil"/>
              <w:right w:val="nil"/>
            </w:tcBorders>
            <w:shd w:val="clear" w:color="000000" w:fill="FFFFFF"/>
            <w:noWrap/>
            <w:vAlign w:val="bottom"/>
            <w:hideMark/>
          </w:tcPr>
          <w:p w14:paraId="7410CD03" w14:textId="77777777" w:rsidR="007A669A" w:rsidRPr="00245719" w:rsidRDefault="007A669A" w:rsidP="00A1600C">
            <w:pPr>
              <w:pStyle w:val="TableTextRight"/>
              <w:keepNext/>
              <w:keepLines/>
            </w:pPr>
            <w:r w:rsidRPr="00245719">
              <w:t>484,729</w:t>
            </w:r>
          </w:p>
        </w:tc>
        <w:tc>
          <w:tcPr>
            <w:tcW w:w="741" w:type="pct"/>
            <w:tcBorders>
              <w:top w:val="nil"/>
              <w:left w:val="nil"/>
              <w:bottom w:val="nil"/>
              <w:right w:val="nil"/>
            </w:tcBorders>
            <w:shd w:val="clear" w:color="000000" w:fill="FFFFFF"/>
            <w:noWrap/>
            <w:vAlign w:val="bottom"/>
            <w:hideMark/>
          </w:tcPr>
          <w:p w14:paraId="4395D85D" w14:textId="77777777" w:rsidR="007A669A" w:rsidRPr="00245719" w:rsidRDefault="007A669A" w:rsidP="00A1600C">
            <w:pPr>
              <w:pStyle w:val="TableTextRight"/>
              <w:keepNext/>
              <w:keepLines/>
            </w:pPr>
            <w:r w:rsidRPr="00245719">
              <w:t>88,079</w:t>
            </w:r>
          </w:p>
        </w:tc>
        <w:tc>
          <w:tcPr>
            <w:tcW w:w="738" w:type="pct"/>
            <w:tcBorders>
              <w:top w:val="nil"/>
              <w:left w:val="nil"/>
              <w:bottom w:val="nil"/>
              <w:right w:val="nil"/>
            </w:tcBorders>
            <w:shd w:val="clear" w:color="000000" w:fill="FFFFFF"/>
            <w:noWrap/>
            <w:vAlign w:val="bottom"/>
            <w:hideMark/>
          </w:tcPr>
          <w:p w14:paraId="669A2D64" w14:textId="77777777" w:rsidR="007A669A" w:rsidRPr="00245719" w:rsidRDefault="007A669A" w:rsidP="00A1600C">
            <w:pPr>
              <w:pStyle w:val="TableTextRight"/>
              <w:keepNext/>
              <w:keepLines/>
            </w:pPr>
            <w:r w:rsidRPr="00245719">
              <w:t>2,582,060</w:t>
            </w:r>
          </w:p>
        </w:tc>
      </w:tr>
      <w:tr w:rsidR="00E80550" w:rsidRPr="00245719" w14:paraId="421AAB3A" w14:textId="77777777" w:rsidTr="00E80550">
        <w:trPr>
          <w:trHeight w:val="255"/>
        </w:trPr>
        <w:tc>
          <w:tcPr>
            <w:tcW w:w="571" w:type="pct"/>
            <w:tcBorders>
              <w:top w:val="nil"/>
              <w:left w:val="nil"/>
              <w:bottom w:val="nil"/>
              <w:right w:val="nil"/>
            </w:tcBorders>
            <w:shd w:val="clear" w:color="auto" w:fill="F2F2F2" w:themeFill="background1" w:themeFillShade="F2"/>
            <w:noWrap/>
            <w:vAlign w:val="bottom"/>
            <w:hideMark/>
          </w:tcPr>
          <w:p w14:paraId="0F818506" w14:textId="40C7D5A9" w:rsidR="007A669A" w:rsidRPr="00245719" w:rsidRDefault="007A669A" w:rsidP="00A1600C">
            <w:pPr>
              <w:pStyle w:val="Tabletextcentred"/>
              <w:keepNext/>
              <w:keepLines/>
            </w:pPr>
            <w:r w:rsidRPr="008664C7">
              <w:t>20</w:t>
            </w:r>
            <w:r>
              <w:t>12-</w:t>
            </w:r>
            <w:r w:rsidRPr="008664C7">
              <w:t>13</w:t>
            </w:r>
          </w:p>
        </w:tc>
        <w:tc>
          <w:tcPr>
            <w:tcW w:w="738" w:type="pct"/>
            <w:tcBorders>
              <w:top w:val="nil"/>
              <w:left w:val="nil"/>
              <w:bottom w:val="nil"/>
              <w:right w:val="nil"/>
            </w:tcBorders>
            <w:shd w:val="clear" w:color="auto" w:fill="F2F2F2" w:themeFill="background1" w:themeFillShade="F2"/>
            <w:noWrap/>
            <w:vAlign w:val="bottom"/>
            <w:hideMark/>
          </w:tcPr>
          <w:p w14:paraId="76D8ECFA" w14:textId="77777777" w:rsidR="007A669A" w:rsidRPr="00245719" w:rsidRDefault="007A669A" w:rsidP="00A1600C">
            <w:pPr>
              <w:pStyle w:val="TableTextRight"/>
              <w:keepNext/>
              <w:keepLines/>
            </w:pPr>
            <w:r w:rsidRPr="00245719">
              <w:t>90,641</w:t>
            </w:r>
          </w:p>
        </w:tc>
        <w:tc>
          <w:tcPr>
            <w:tcW w:w="737" w:type="pct"/>
            <w:tcBorders>
              <w:top w:val="nil"/>
              <w:left w:val="nil"/>
              <w:bottom w:val="nil"/>
              <w:right w:val="nil"/>
            </w:tcBorders>
            <w:shd w:val="clear" w:color="auto" w:fill="F2F2F2" w:themeFill="background1" w:themeFillShade="F2"/>
            <w:noWrap/>
            <w:vAlign w:val="bottom"/>
            <w:hideMark/>
          </w:tcPr>
          <w:p w14:paraId="7B081CB1" w14:textId="77777777" w:rsidR="007A669A" w:rsidRPr="00245719" w:rsidRDefault="007A669A" w:rsidP="00A1600C">
            <w:pPr>
              <w:pStyle w:val="TableTextRight"/>
              <w:keepNext/>
              <w:keepLines/>
            </w:pPr>
            <w:r w:rsidRPr="00245719">
              <w:t>168,925</w:t>
            </w:r>
          </w:p>
        </w:tc>
        <w:tc>
          <w:tcPr>
            <w:tcW w:w="737" w:type="pct"/>
            <w:tcBorders>
              <w:top w:val="nil"/>
              <w:left w:val="nil"/>
              <w:bottom w:val="nil"/>
              <w:right w:val="nil"/>
            </w:tcBorders>
            <w:shd w:val="clear" w:color="auto" w:fill="F2F2F2" w:themeFill="background1" w:themeFillShade="F2"/>
            <w:noWrap/>
            <w:vAlign w:val="bottom"/>
            <w:hideMark/>
          </w:tcPr>
          <w:p w14:paraId="0141A578" w14:textId="77777777" w:rsidR="007A669A" w:rsidRPr="00245719" w:rsidRDefault="007A669A" w:rsidP="00A1600C">
            <w:pPr>
              <w:pStyle w:val="TableTextRight"/>
              <w:keepNext/>
              <w:keepLines/>
            </w:pPr>
            <w:r w:rsidRPr="00245719">
              <w:t>386,550</w:t>
            </w:r>
          </w:p>
        </w:tc>
        <w:tc>
          <w:tcPr>
            <w:tcW w:w="737" w:type="pct"/>
            <w:tcBorders>
              <w:top w:val="nil"/>
              <w:left w:val="nil"/>
              <w:bottom w:val="nil"/>
              <w:right w:val="nil"/>
            </w:tcBorders>
            <w:shd w:val="clear" w:color="auto" w:fill="F2F2F2" w:themeFill="background1" w:themeFillShade="F2"/>
            <w:noWrap/>
            <w:vAlign w:val="bottom"/>
            <w:hideMark/>
          </w:tcPr>
          <w:p w14:paraId="4E75A71D" w14:textId="77777777" w:rsidR="007A669A" w:rsidRPr="00245719" w:rsidRDefault="007A669A" w:rsidP="00A1600C">
            <w:pPr>
              <w:pStyle w:val="TableTextRight"/>
              <w:keepNext/>
              <w:keepLines/>
            </w:pPr>
            <w:r w:rsidRPr="00245719">
              <w:t>517,744</w:t>
            </w:r>
          </w:p>
        </w:tc>
        <w:tc>
          <w:tcPr>
            <w:tcW w:w="741" w:type="pct"/>
            <w:tcBorders>
              <w:top w:val="nil"/>
              <w:left w:val="nil"/>
              <w:bottom w:val="nil"/>
              <w:right w:val="nil"/>
            </w:tcBorders>
            <w:shd w:val="clear" w:color="auto" w:fill="F2F2F2" w:themeFill="background1" w:themeFillShade="F2"/>
            <w:noWrap/>
            <w:vAlign w:val="bottom"/>
            <w:hideMark/>
          </w:tcPr>
          <w:p w14:paraId="1298D80F" w14:textId="77777777" w:rsidR="007A669A" w:rsidRPr="00245719" w:rsidRDefault="007A669A" w:rsidP="00A1600C">
            <w:pPr>
              <w:pStyle w:val="TableTextRight"/>
              <w:keepNext/>
              <w:keepLines/>
            </w:pPr>
            <w:r w:rsidRPr="00245719">
              <w:t>84,354</w:t>
            </w:r>
          </w:p>
        </w:tc>
        <w:tc>
          <w:tcPr>
            <w:tcW w:w="738" w:type="pct"/>
            <w:tcBorders>
              <w:top w:val="nil"/>
              <w:left w:val="nil"/>
              <w:bottom w:val="nil"/>
              <w:right w:val="nil"/>
            </w:tcBorders>
            <w:shd w:val="clear" w:color="auto" w:fill="F2F2F2" w:themeFill="background1" w:themeFillShade="F2"/>
            <w:noWrap/>
            <w:vAlign w:val="bottom"/>
            <w:hideMark/>
          </w:tcPr>
          <w:p w14:paraId="0CA57232" w14:textId="77777777" w:rsidR="007A669A" w:rsidRPr="00245719" w:rsidRDefault="007A669A" w:rsidP="00A1600C">
            <w:pPr>
              <w:pStyle w:val="TableTextRight"/>
              <w:keepNext/>
              <w:keepLines/>
            </w:pPr>
            <w:r w:rsidRPr="00245719">
              <w:t>4,086,331</w:t>
            </w:r>
          </w:p>
        </w:tc>
      </w:tr>
      <w:tr w:rsidR="00E80550" w:rsidRPr="00245719" w14:paraId="3797BC84" w14:textId="77777777" w:rsidTr="00E80550">
        <w:trPr>
          <w:trHeight w:val="255"/>
        </w:trPr>
        <w:tc>
          <w:tcPr>
            <w:tcW w:w="571" w:type="pct"/>
            <w:tcBorders>
              <w:top w:val="nil"/>
              <w:left w:val="nil"/>
              <w:bottom w:val="nil"/>
              <w:right w:val="nil"/>
            </w:tcBorders>
            <w:shd w:val="clear" w:color="000000" w:fill="FFFFFF"/>
            <w:noWrap/>
            <w:vAlign w:val="bottom"/>
            <w:hideMark/>
          </w:tcPr>
          <w:p w14:paraId="1427995A" w14:textId="7489D14A" w:rsidR="007A669A" w:rsidRPr="00245719" w:rsidRDefault="007A669A" w:rsidP="00A1600C">
            <w:pPr>
              <w:pStyle w:val="Tabletextcentred"/>
              <w:keepNext/>
              <w:keepLines/>
            </w:pPr>
            <w:r w:rsidRPr="008664C7">
              <w:t>20</w:t>
            </w:r>
            <w:r>
              <w:t>13-</w:t>
            </w:r>
            <w:r w:rsidRPr="008664C7">
              <w:t>14</w:t>
            </w:r>
          </w:p>
        </w:tc>
        <w:tc>
          <w:tcPr>
            <w:tcW w:w="738" w:type="pct"/>
            <w:tcBorders>
              <w:top w:val="nil"/>
              <w:left w:val="nil"/>
              <w:bottom w:val="nil"/>
              <w:right w:val="nil"/>
            </w:tcBorders>
            <w:shd w:val="clear" w:color="000000" w:fill="FFFFFF"/>
            <w:noWrap/>
            <w:vAlign w:val="bottom"/>
            <w:hideMark/>
          </w:tcPr>
          <w:p w14:paraId="4E32DDE6" w14:textId="77777777" w:rsidR="007A669A" w:rsidRPr="00245719" w:rsidRDefault="007A669A" w:rsidP="00A1600C">
            <w:pPr>
              <w:pStyle w:val="TableTextRight"/>
              <w:keepNext/>
              <w:keepLines/>
            </w:pPr>
            <w:r w:rsidRPr="00245719">
              <w:t>91,984</w:t>
            </w:r>
          </w:p>
        </w:tc>
        <w:tc>
          <w:tcPr>
            <w:tcW w:w="737" w:type="pct"/>
            <w:tcBorders>
              <w:top w:val="nil"/>
              <w:left w:val="nil"/>
              <w:bottom w:val="nil"/>
              <w:right w:val="nil"/>
            </w:tcBorders>
            <w:shd w:val="clear" w:color="000000" w:fill="FFFFFF"/>
            <w:noWrap/>
            <w:vAlign w:val="bottom"/>
            <w:hideMark/>
          </w:tcPr>
          <w:p w14:paraId="10778FFB" w14:textId="77777777" w:rsidR="007A669A" w:rsidRPr="00245719" w:rsidRDefault="007A669A" w:rsidP="00A1600C">
            <w:pPr>
              <w:pStyle w:val="TableTextRight"/>
              <w:keepNext/>
              <w:keepLines/>
            </w:pPr>
            <w:r w:rsidRPr="00245719">
              <w:t>172,554</w:t>
            </w:r>
          </w:p>
        </w:tc>
        <w:tc>
          <w:tcPr>
            <w:tcW w:w="737" w:type="pct"/>
            <w:tcBorders>
              <w:top w:val="nil"/>
              <w:left w:val="nil"/>
              <w:bottom w:val="nil"/>
              <w:right w:val="nil"/>
            </w:tcBorders>
            <w:shd w:val="clear" w:color="000000" w:fill="FFFFFF"/>
            <w:noWrap/>
            <w:vAlign w:val="bottom"/>
            <w:hideMark/>
          </w:tcPr>
          <w:p w14:paraId="55DB5857" w14:textId="77777777" w:rsidR="007A669A" w:rsidRPr="00245719" w:rsidRDefault="007A669A" w:rsidP="00A1600C">
            <w:pPr>
              <w:pStyle w:val="TableTextRight"/>
              <w:keepNext/>
              <w:keepLines/>
            </w:pPr>
            <w:r w:rsidRPr="00245719">
              <w:t>398,542</w:t>
            </w:r>
          </w:p>
        </w:tc>
        <w:tc>
          <w:tcPr>
            <w:tcW w:w="737" w:type="pct"/>
            <w:tcBorders>
              <w:top w:val="nil"/>
              <w:left w:val="nil"/>
              <w:bottom w:val="nil"/>
              <w:right w:val="nil"/>
            </w:tcBorders>
            <w:shd w:val="clear" w:color="000000" w:fill="FFFFFF"/>
            <w:noWrap/>
            <w:vAlign w:val="bottom"/>
            <w:hideMark/>
          </w:tcPr>
          <w:p w14:paraId="5AD8D85F" w14:textId="77777777" w:rsidR="007A669A" w:rsidRPr="00245719" w:rsidRDefault="007A669A" w:rsidP="00A1600C">
            <w:pPr>
              <w:pStyle w:val="TableTextRight"/>
              <w:keepNext/>
              <w:keepLines/>
            </w:pPr>
            <w:r w:rsidRPr="00245719">
              <w:t>528,123</w:t>
            </w:r>
          </w:p>
        </w:tc>
        <w:tc>
          <w:tcPr>
            <w:tcW w:w="741" w:type="pct"/>
            <w:tcBorders>
              <w:top w:val="nil"/>
              <w:left w:val="nil"/>
              <w:bottom w:val="nil"/>
              <w:right w:val="nil"/>
            </w:tcBorders>
            <w:shd w:val="clear" w:color="000000" w:fill="FFFFFF"/>
            <w:noWrap/>
            <w:vAlign w:val="bottom"/>
            <w:hideMark/>
          </w:tcPr>
          <w:p w14:paraId="4BF19B63" w14:textId="77777777" w:rsidR="007A669A" w:rsidRPr="00245719" w:rsidRDefault="007A669A" w:rsidP="00A1600C">
            <w:pPr>
              <w:pStyle w:val="TableTextRight"/>
              <w:keepNext/>
              <w:keepLines/>
            </w:pPr>
            <w:r w:rsidRPr="00245719">
              <w:t>78,216</w:t>
            </w:r>
          </w:p>
        </w:tc>
        <w:tc>
          <w:tcPr>
            <w:tcW w:w="738" w:type="pct"/>
            <w:tcBorders>
              <w:top w:val="nil"/>
              <w:left w:val="nil"/>
              <w:bottom w:val="nil"/>
              <w:right w:val="nil"/>
            </w:tcBorders>
            <w:shd w:val="clear" w:color="000000" w:fill="FFFFFF"/>
            <w:noWrap/>
            <w:vAlign w:val="bottom"/>
            <w:hideMark/>
          </w:tcPr>
          <w:p w14:paraId="0EE30DDE" w14:textId="77777777" w:rsidR="007A669A" w:rsidRPr="00245719" w:rsidRDefault="007A669A" w:rsidP="00A1600C">
            <w:pPr>
              <w:pStyle w:val="TableTextRight"/>
              <w:keepNext/>
              <w:keepLines/>
            </w:pPr>
            <w:r w:rsidRPr="00245719">
              <w:t>2,940,271</w:t>
            </w:r>
          </w:p>
        </w:tc>
      </w:tr>
      <w:tr w:rsidR="00E80550" w:rsidRPr="00245719" w14:paraId="4D2C9AD2" w14:textId="77777777" w:rsidTr="00E80550">
        <w:trPr>
          <w:trHeight w:val="255"/>
        </w:trPr>
        <w:tc>
          <w:tcPr>
            <w:tcW w:w="571" w:type="pct"/>
            <w:tcBorders>
              <w:top w:val="nil"/>
              <w:left w:val="nil"/>
              <w:bottom w:val="single" w:sz="4" w:space="0" w:color="auto"/>
              <w:right w:val="nil"/>
            </w:tcBorders>
            <w:shd w:val="clear" w:color="auto" w:fill="F2F2F2" w:themeFill="background1" w:themeFillShade="F2"/>
            <w:noWrap/>
            <w:vAlign w:val="bottom"/>
            <w:hideMark/>
          </w:tcPr>
          <w:p w14:paraId="5327D6A3" w14:textId="360FC27B" w:rsidR="007A669A" w:rsidRPr="00245719" w:rsidRDefault="007A669A" w:rsidP="00A1600C">
            <w:pPr>
              <w:pStyle w:val="Tabletextcentred"/>
              <w:keepNext/>
              <w:keepLines/>
            </w:pPr>
            <w:r w:rsidRPr="008664C7">
              <w:t>20</w:t>
            </w:r>
            <w:r>
              <w:t>14-</w:t>
            </w:r>
            <w:r w:rsidRPr="008664C7">
              <w:t>15</w:t>
            </w:r>
          </w:p>
        </w:tc>
        <w:tc>
          <w:tcPr>
            <w:tcW w:w="738" w:type="pct"/>
            <w:tcBorders>
              <w:top w:val="nil"/>
              <w:left w:val="nil"/>
              <w:bottom w:val="single" w:sz="4" w:space="0" w:color="auto"/>
              <w:right w:val="nil"/>
            </w:tcBorders>
            <w:shd w:val="clear" w:color="auto" w:fill="F2F2F2" w:themeFill="background1" w:themeFillShade="F2"/>
            <w:noWrap/>
            <w:vAlign w:val="bottom"/>
            <w:hideMark/>
          </w:tcPr>
          <w:p w14:paraId="3A621E61" w14:textId="77777777" w:rsidR="007A669A" w:rsidRPr="00245719" w:rsidRDefault="007A669A" w:rsidP="00A1600C">
            <w:pPr>
              <w:pStyle w:val="TableTextRight"/>
              <w:keepNext/>
              <w:keepLines/>
            </w:pPr>
            <w:r w:rsidRPr="00245719">
              <w:t>94,170</w:t>
            </w:r>
          </w:p>
        </w:tc>
        <w:tc>
          <w:tcPr>
            <w:tcW w:w="737" w:type="pct"/>
            <w:tcBorders>
              <w:top w:val="nil"/>
              <w:left w:val="nil"/>
              <w:bottom w:val="single" w:sz="4" w:space="0" w:color="auto"/>
              <w:right w:val="nil"/>
            </w:tcBorders>
            <w:shd w:val="clear" w:color="auto" w:fill="F2F2F2" w:themeFill="background1" w:themeFillShade="F2"/>
            <w:noWrap/>
            <w:vAlign w:val="bottom"/>
            <w:hideMark/>
          </w:tcPr>
          <w:p w14:paraId="6134500B" w14:textId="77777777" w:rsidR="007A669A" w:rsidRPr="00245719" w:rsidRDefault="007A669A" w:rsidP="00A1600C">
            <w:pPr>
              <w:pStyle w:val="TableTextRight"/>
              <w:keepNext/>
              <w:keepLines/>
            </w:pPr>
            <w:r w:rsidRPr="00245719">
              <w:t>178,561</w:t>
            </w:r>
          </w:p>
        </w:tc>
        <w:tc>
          <w:tcPr>
            <w:tcW w:w="737" w:type="pct"/>
            <w:tcBorders>
              <w:top w:val="nil"/>
              <w:left w:val="nil"/>
              <w:bottom w:val="single" w:sz="4" w:space="0" w:color="auto"/>
              <w:right w:val="nil"/>
            </w:tcBorders>
            <w:shd w:val="clear" w:color="auto" w:fill="F2F2F2" w:themeFill="background1" w:themeFillShade="F2"/>
            <w:noWrap/>
            <w:vAlign w:val="bottom"/>
            <w:hideMark/>
          </w:tcPr>
          <w:p w14:paraId="2EEFA9E9" w14:textId="77777777" w:rsidR="007A669A" w:rsidRPr="00245719" w:rsidRDefault="007A669A" w:rsidP="00A1600C">
            <w:pPr>
              <w:pStyle w:val="TableTextRight"/>
              <w:keepNext/>
              <w:keepLines/>
            </w:pPr>
            <w:r w:rsidRPr="00245719">
              <w:t>413,530</w:t>
            </w:r>
          </w:p>
        </w:tc>
        <w:tc>
          <w:tcPr>
            <w:tcW w:w="737" w:type="pct"/>
            <w:tcBorders>
              <w:top w:val="nil"/>
              <w:left w:val="nil"/>
              <w:bottom w:val="single" w:sz="4" w:space="0" w:color="auto"/>
              <w:right w:val="nil"/>
            </w:tcBorders>
            <w:shd w:val="clear" w:color="auto" w:fill="F2F2F2" w:themeFill="background1" w:themeFillShade="F2"/>
            <w:noWrap/>
            <w:vAlign w:val="bottom"/>
            <w:hideMark/>
          </w:tcPr>
          <w:p w14:paraId="3B562969" w14:textId="77777777" w:rsidR="007A669A" w:rsidRPr="00245719" w:rsidRDefault="007A669A" w:rsidP="00A1600C">
            <w:pPr>
              <w:pStyle w:val="TableTextRight"/>
              <w:keepNext/>
              <w:keepLines/>
            </w:pPr>
            <w:r w:rsidRPr="00245719">
              <w:t>545,094</w:t>
            </w:r>
          </w:p>
        </w:tc>
        <w:tc>
          <w:tcPr>
            <w:tcW w:w="741" w:type="pct"/>
            <w:tcBorders>
              <w:top w:val="nil"/>
              <w:left w:val="nil"/>
              <w:bottom w:val="single" w:sz="4" w:space="0" w:color="auto"/>
              <w:right w:val="nil"/>
            </w:tcBorders>
            <w:shd w:val="clear" w:color="auto" w:fill="F2F2F2" w:themeFill="background1" w:themeFillShade="F2"/>
            <w:noWrap/>
            <w:vAlign w:val="bottom"/>
            <w:hideMark/>
          </w:tcPr>
          <w:p w14:paraId="737F6BD8" w14:textId="77777777" w:rsidR="007A669A" w:rsidRPr="00245719" w:rsidRDefault="007A669A" w:rsidP="00A1600C">
            <w:pPr>
              <w:pStyle w:val="TableTextRight"/>
              <w:keepNext/>
              <w:keepLines/>
            </w:pPr>
            <w:r w:rsidRPr="00245719">
              <w:t>84,215</w:t>
            </w:r>
          </w:p>
        </w:tc>
        <w:tc>
          <w:tcPr>
            <w:tcW w:w="738" w:type="pct"/>
            <w:tcBorders>
              <w:top w:val="nil"/>
              <w:left w:val="nil"/>
              <w:bottom w:val="single" w:sz="4" w:space="0" w:color="auto"/>
              <w:right w:val="nil"/>
            </w:tcBorders>
            <w:shd w:val="clear" w:color="auto" w:fill="F2F2F2" w:themeFill="background1" w:themeFillShade="F2"/>
            <w:noWrap/>
            <w:vAlign w:val="bottom"/>
            <w:hideMark/>
          </w:tcPr>
          <w:p w14:paraId="7A594157" w14:textId="77777777" w:rsidR="007A669A" w:rsidRPr="00245719" w:rsidRDefault="007A669A" w:rsidP="00A1600C">
            <w:pPr>
              <w:pStyle w:val="TableTextRight"/>
              <w:keepNext/>
              <w:keepLines/>
            </w:pPr>
            <w:r w:rsidRPr="00245719">
              <w:t>3,036,955</w:t>
            </w:r>
          </w:p>
        </w:tc>
      </w:tr>
    </w:tbl>
    <w:p w14:paraId="433C39A3" w14:textId="22D9EE2C" w:rsidR="00877FE2" w:rsidRPr="00A25BFA" w:rsidRDefault="00877FE2" w:rsidP="00E80550">
      <w:pPr>
        <w:pStyle w:val="ChartorTableNote"/>
        <w:spacing w:after="0"/>
      </w:pPr>
      <w:r w:rsidRPr="00A25BFA">
        <w:t>Source: BLADE.</w:t>
      </w:r>
    </w:p>
    <w:p w14:paraId="2999AE03" w14:textId="77777777" w:rsidR="00E80550" w:rsidRPr="00E80550" w:rsidRDefault="00E80550" w:rsidP="00E80550"/>
    <w:p w14:paraId="07B57CF0" w14:textId="77777777" w:rsidR="00E80550" w:rsidRPr="00E80550" w:rsidRDefault="00E80550" w:rsidP="00E80550"/>
    <w:p w14:paraId="683CEA3D" w14:textId="487584AE" w:rsidR="0015720F" w:rsidRPr="00E80550" w:rsidRDefault="0015720F" w:rsidP="00E80550">
      <w:r w:rsidRPr="00E80550">
        <w:br w:type="page"/>
      </w:r>
    </w:p>
    <w:p w14:paraId="2DD362B7" w14:textId="1C931206" w:rsidR="00B0628F" w:rsidRDefault="0002527D" w:rsidP="00F12EE0">
      <w:pPr>
        <w:pStyle w:val="TableMainHeading"/>
      </w:pPr>
      <w:r>
        <w:lastRenderedPageBreak/>
        <w:t>Table B7</w:t>
      </w:r>
      <w:r w:rsidRPr="00245719">
        <w:t xml:space="preserve">: </w:t>
      </w:r>
      <w:r>
        <w:t>Western Australia</w:t>
      </w:r>
    </w:p>
    <w:tbl>
      <w:tblPr>
        <w:tblW w:w="4981" w:type="pct"/>
        <w:tblLook w:val="04A0" w:firstRow="1" w:lastRow="0" w:firstColumn="1" w:lastColumn="0" w:noHBand="0" w:noVBand="1"/>
      </w:tblPr>
      <w:tblGrid>
        <w:gridCol w:w="1080"/>
        <w:gridCol w:w="1401"/>
        <w:gridCol w:w="1401"/>
        <w:gridCol w:w="1401"/>
        <w:gridCol w:w="1401"/>
        <w:gridCol w:w="1401"/>
        <w:gridCol w:w="1393"/>
      </w:tblGrid>
      <w:tr w:rsidR="00E80550" w:rsidRPr="005C7317" w14:paraId="4731D8C2" w14:textId="77777777" w:rsidTr="00E80550">
        <w:trPr>
          <w:trHeight w:val="255"/>
        </w:trPr>
        <w:tc>
          <w:tcPr>
            <w:tcW w:w="570" w:type="pct"/>
            <w:tcBorders>
              <w:top w:val="single" w:sz="4" w:space="0" w:color="auto"/>
              <w:left w:val="nil"/>
              <w:bottom w:val="single" w:sz="4" w:space="0" w:color="auto"/>
              <w:right w:val="nil"/>
            </w:tcBorders>
            <w:shd w:val="clear" w:color="auto" w:fill="C6D9F1" w:themeFill="text2" w:themeFillTint="33"/>
            <w:noWrap/>
            <w:vAlign w:val="bottom"/>
            <w:hideMark/>
          </w:tcPr>
          <w:p w14:paraId="09EFB227" w14:textId="77777777" w:rsidR="00E80550" w:rsidRPr="005C7317" w:rsidRDefault="00E80550" w:rsidP="001B6D05">
            <w:pPr>
              <w:pStyle w:val="TableColumnHeadingCentred"/>
            </w:pPr>
            <w:r w:rsidRPr="005C7317">
              <w:t>Year</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B92374B" w14:textId="77777777" w:rsidR="00E80550" w:rsidRPr="005C7317" w:rsidRDefault="00E80550" w:rsidP="00116242">
            <w:pPr>
              <w:pStyle w:val="TableColumnHeadingRight"/>
            </w:pPr>
            <w:r w:rsidRPr="005C7317">
              <w:t>25</w:t>
            </w:r>
            <w:r w:rsidRPr="00C90461">
              <w:rPr>
                <w:vertAlign w:val="superscript"/>
              </w:rPr>
              <w:t>th</w:t>
            </w:r>
            <w:r>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36009C5" w14:textId="77777777" w:rsidR="00E80550" w:rsidRPr="005C7317" w:rsidRDefault="00E80550" w:rsidP="00116242">
            <w:pPr>
              <w:pStyle w:val="TableColumnHeadingRight"/>
            </w:pPr>
            <w:r>
              <w:t>M</w:t>
            </w:r>
            <w:r w:rsidRPr="005C7317">
              <w:t>edian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56639605" w14:textId="77777777" w:rsidR="00E80550" w:rsidRPr="005C7317" w:rsidRDefault="00E80550" w:rsidP="00116242">
            <w:pPr>
              <w:pStyle w:val="TableColumnHeadingRight"/>
            </w:pPr>
            <w:r w:rsidRPr="005C7317">
              <w:t>75</w:t>
            </w:r>
            <w:r w:rsidRPr="00C90461">
              <w:rPr>
                <w:vertAlign w:val="superscript"/>
              </w:rPr>
              <w:t>th</w:t>
            </w:r>
            <w:r>
              <w:br/>
            </w:r>
            <w:r w:rsidRPr="005C7317">
              <w:t>percentile</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457F1449" w14:textId="77777777" w:rsidR="00E80550" w:rsidRPr="005C7317" w:rsidRDefault="00E80550" w:rsidP="00116242">
            <w:pPr>
              <w:pStyle w:val="TableColumnHeadingRight"/>
            </w:pPr>
            <w:r>
              <w:t>M</w:t>
            </w:r>
            <w:r w:rsidRPr="005C7317">
              <w:t>ean</w:t>
            </w:r>
          </w:p>
        </w:tc>
        <w:tc>
          <w:tcPr>
            <w:tcW w:w="739" w:type="pct"/>
            <w:tcBorders>
              <w:top w:val="single" w:sz="4" w:space="0" w:color="auto"/>
              <w:left w:val="nil"/>
              <w:bottom w:val="single" w:sz="4" w:space="0" w:color="auto"/>
              <w:right w:val="nil"/>
            </w:tcBorders>
            <w:shd w:val="clear" w:color="auto" w:fill="C6D9F1" w:themeFill="text2" w:themeFillTint="33"/>
            <w:noWrap/>
            <w:vAlign w:val="bottom"/>
            <w:hideMark/>
          </w:tcPr>
          <w:p w14:paraId="3739FF86" w14:textId="77777777" w:rsidR="00E80550" w:rsidRPr="005C7317" w:rsidRDefault="00E80550" w:rsidP="00116242">
            <w:pPr>
              <w:pStyle w:val="TableColumnHeadingRight"/>
            </w:pPr>
            <w:r>
              <w:t>T</w:t>
            </w:r>
            <w:r w:rsidRPr="005C7317">
              <w:t>otal no.</w:t>
            </w:r>
            <w:r>
              <w:br/>
            </w:r>
            <w:r w:rsidRPr="005C7317">
              <w:t>of firms</w:t>
            </w:r>
          </w:p>
        </w:tc>
        <w:tc>
          <w:tcPr>
            <w:tcW w:w="736" w:type="pct"/>
            <w:tcBorders>
              <w:top w:val="single" w:sz="4" w:space="0" w:color="auto"/>
              <w:left w:val="nil"/>
              <w:bottom w:val="single" w:sz="4" w:space="0" w:color="auto"/>
              <w:right w:val="nil"/>
            </w:tcBorders>
            <w:shd w:val="clear" w:color="auto" w:fill="C6D9F1" w:themeFill="text2" w:themeFillTint="33"/>
            <w:noWrap/>
            <w:vAlign w:val="bottom"/>
            <w:hideMark/>
          </w:tcPr>
          <w:p w14:paraId="470C8AB3" w14:textId="77777777" w:rsidR="00E80550" w:rsidRPr="005C7317" w:rsidRDefault="00E80550" w:rsidP="00116242">
            <w:pPr>
              <w:pStyle w:val="TableColumnHeadingRight"/>
            </w:pPr>
            <w:r>
              <w:t>S</w:t>
            </w:r>
            <w:r w:rsidRPr="005C7317">
              <w:t>tandard</w:t>
            </w:r>
            <w:r>
              <w:br/>
            </w:r>
            <w:r w:rsidRPr="005C7317">
              <w:t>deviation</w:t>
            </w:r>
          </w:p>
        </w:tc>
      </w:tr>
      <w:tr w:rsidR="007A669A" w:rsidRPr="005C7317" w14:paraId="7659D57F" w14:textId="77777777" w:rsidTr="00E80550">
        <w:trPr>
          <w:trHeight w:val="255"/>
        </w:trPr>
        <w:tc>
          <w:tcPr>
            <w:tcW w:w="570" w:type="pct"/>
            <w:tcBorders>
              <w:top w:val="nil"/>
              <w:left w:val="nil"/>
              <w:bottom w:val="nil"/>
              <w:right w:val="nil"/>
            </w:tcBorders>
            <w:shd w:val="clear" w:color="000000" w:fill="FFFFFF"/>
            <w:noWrap/>
            <w:vAlign w:val="bottom"/>
            <w:hideMark/>
          </w:tcPr>
          <w:p w14:paraId="4CA4E429" w14:textId="635CC24A" w:rsidR="007A669A" w:rsidRPr="005C7317" w:rsidRDefault="007A669A" w:rsidP="00A1600C">
            <w:pPr>
              <w:pStyle w:val="Tabletextcentred"/>
              <w:keepNext/>
              <w:keepLines/>
            </w:pPr>
            <w:r w:rsidRPr="008664C7">
              <w:t>200</w:t>
            </w:r>
            <w:r>
              <w:t>1-0</w:t>
            </w:r>
            <w:r w:rsidRPr="008664C7">
              <w:t>2</w:t>
            </w:r>
          </w:p>
        </w:tc>
        <w:tc>
          <w:tcPr>
            <w:tcW w:w="739" w:type="pct"/>
            <w:tcBorders>
              <w:top w:val="nil"/>
              <w:left w:val="nil"/>
              <w:bottom w:val="nil"/>
              <w:right w:val="nil"/>
            </w:tcBorders>
            <w:shd w:val="clear" w:color="000000" w:fill="FFFFFF"/>
            <w:noWrap/>
            <w:vAlign w:val="bottom"/>
            <w:hideMark/>
          </w:tcPr>
          <w:p w14:paraId="6CD1DEDF" w14:textId="77777777" w:rsidR="007A669A" w:rsidRPr="005C7317" w:rsidRDefault="007A669A" w:rsidP="00A1600C">
            <w:pPr>
              <w:pStyle w:val="TableTextRight"/>
              <w:keepNext/>
              <w:keepLines/>
            </w:pPr>
            <w:r w:rsidRPr="005C7317">
              <w:t>81,171</w:t>
            </w:r>
          </w:p>
        </w:tc>
        <w:tc>
          <w:tcPr>
            <w:tcW w:w="739" w:type="pct"/>
            <w:tcBorders>
              <w:top w:val="nil"/>
              <w:left w:val="nil"/>
              <w:bottom w:val="nil"/>
              <w:right w:val="nil"/>
            </w:tcBorders>
            <w:shd w:val="clear" w:color="000000" w:fill="FFFFFF"/>
            <w:noWrap/>
            <w:vAlign w:val="bottom"/>
            <w:hideMark/>
          </w:tcPr>
          <w:p w14:paraId="4A5FF305" w14:textId="77777777" w:rsidR="007A669A" w:rsidRPr="005C7317" w:rsidRDefault="007A669A" w:rsidP="00A1600C">
            <w:pPr>
              <w:pStyle w:val="TableTextRight"/>
              <w:keepNext/>
              <w:keepLines/>
            </w:pPr>
            <w:r w:rsidRPr="005C7317">
              <w:t>133,998</w:t>
            </w:r>
          </w:p>
        </w:tc>
        <w:tc>
          <w:tcPr>
            <w:tcW w:w="739" w:type="pct"/>
            <w:tcBorders>
              <w:top w:val="nil"/>
              <w:left w:val="nil"/>
              <w:bottom w:val="nil"/>
              <w:right w:val="nil"/>
            </w:tcBorders>
            <w:shd w:val="clear" w:color="000000" w:fill="FFFFFF"/>
            <w:noWrap/>
            <w:vAlign w:val="bottom"/>
            <w:hideMark/>
          </w:tcPr>
          <w:p w14:paraId="5DFAD0C5" w14:textId="77777777" w:rsidR="007A669A" w:rsidRPr="005C7317" w:rsidRDefault="007A669A" w:rsidP="00A1600C">
            <w:pPr>
              <w:pStyle w:val="TableTextRight"/>
              <w:keepNext/>
              <w:keepLines/>
            </w:pPr>
            <w:r w:rsidRPr="005C7317">
              <w:t>265,396</w:t>
            </w:r>
          </w:p>
        </w:tc>
        <w:tc>
          <w:tcPr>
            <w:tcW w:w="739" w:type="pct"/>
            <w:tcBorders>
              <w:top w:val="nil"/>
              <w:left w:val="nil"/>
              <w:bottom w:val="nil"/>
              <w:right w:val="nil"/>
            </w:tcBorders>
            <w:shd w:val="clear" w:color="000000" w:fill="FFFFFF"/>
            <w:noWrap/>
            <w:vAlign w:val="bottom"/>
            <w:hideMark/>
          </w:tcPr>
          <w:p w14:paraId="7A27FA1E" w14:textId="77777777" w:rsidR="007A669A" w:rsidRPr="005C7317" w:rsidRDefault="007A669A" w:rsidP="00A1600C">
            <w:pPr>
              <w:pStyle w:val="TableTextRight"/>
              <w:keepNext/>
              <w:keepLines/>
            </w:pPr>
            <w:r w:rsidRPr="005C7317">
              <w:t>342,684</w:t>
            </w:r>
          </w:p>
        </w:tc>
        <w:tc>
          <w:tcPr>
            <w:tcW w:w="739" w:type="pct"/>
            <w:tcBorders>
              <w:top w:val="nil"/>
              <w:left w:val="nil"/>
              <w:bottom w:val="nil"/>
              <w:right w:val="nil"/>
            </w:tcBorders>
            <w:shd w:val="clear" w:color="000000" w:fill="FFFFFF"/>
            <w:noWrap/>
            <w:vAlign w:val="bottom"/>
            <w:hideMark/>
          </w:tcPr>
          <w:p w14:paraId="6AB347F5" w14:textId="77777777" w:rsidR="007A669A" w:rsidRPr="005C7317" w:rsidRDefault="007A669A" w:rsidP="00A1600C">
            <w:pPr>
              <w:pStyle w:val="TableTextRight"/>
              <w:keepNext/>
              <w:keepLines/>
            </w:pPr>
            <w:r w:rsidRPr="005C7317">
              <w:t>25,454</w:t>
            </w:r>
          </w:p>
        </w:tc>
        <w:tc>
          <w:tcPr>
            <w:tcW w:w="735" w:type="pct"/>
            <w:tcBorders>
              <w:top w:val="nil"/>
              <w:left w:val="nil"/>
              <w:bottom w:val="nil"/>
              <w:right w:val="nil"/>
            </w:tcBorders>
            <w:shd w:val="clear" w:color="000000" w:fill="FFFFFF"/>
            <w:noWrap/>
            <w:vAlign w:val="bottom"/>
            <w:hideMark/>
          </w:tcPr>
          <w:p w14:paraId="7ADC73F7" w14:textId="77777777" w:rsidR="007A669A" w:rsidRPr="005C7317" w:rsidRDefault="007A669A" w:rsidP="00A1600C">
            <w:pPr>
              <w:pStyle w:val="TableTextRight"/>
              <w:keepNext/>
              <w:keepLines/>
            </w:pPr>
            <w:r w:rsidRPr="005C7317">
              <w:t>2,136,228</w:t>
            </w:r>
          </w:p>
        </w:tc>
      </w:tr>
      <w:tr w:rsidR="007A669A" w:rsidRPr="005C7317" w14:paraId="4C79A14A"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6F605242" w14:textId="409F8951" w:rsidR="007A669A" w:rsidRPr="005C7317" w:rsidRDefault="007A669A" w:rsidP="00A1600C">
            <w:pPr>
              <w:pStyle w:val="Tabletextcentred"/>
              <w:keepNext/>
              <w:keepLines/>
            </w:pPr>
            <w:r w:rsidRPr="008664C7">
              <w:t>200</w:t>
            </w:r>
            <w:r>
              <w:t>2-0</w:t>
            </w:r>
            <w:r w:rsidRPr="008664C7">
              <w:t>3</w:t>
            </w:r>
          </w:p>
        </w:tc>
        <w:tc>
          <w:tcPr>
            <w:tcW w:w="739" w:type="pct"/>
            <w:tcBorders>
              <w:top w:val="nil"/>
              <w:left w:val="nil"/>
              <w:bottom w:val="nil"/>
              <w:right w:val="nil"/>
            </w:tcBorders>
            <w:shd w:val="clear" w:color="auto" w:fill="F2F2F2" w:themeFill="background1" w:themeFillShade="F2"/>
            <w:noWrap/>
            <w:vAlign w:val="bottom"/>
            <w:hideMark/>
          </w:tcPr>
          <w:p w14:paraId="5D40A82F" w14:textId="77777777" w:rsidR="007A669A" w:rsidRPr="005C7317" w:rsidRDefault="007A669A" w:rsidP="00A1600C">
            <w:pPr>
              <w:pStyle w:val="TableTextRight"/>
              <w:keepNext/>
              <w:keepLines/>
            </w:pPr>
            <w:r w:rsidRPr="005C7317">
              <w:t>82,775</w:t>
            </w:r>
          </w:p>
        </w:tc>
        <w:tc>
          <w:tcPr>
            <w:tcW w:w="739" w:type="pct"/>
            <w:tcBorders>
              <w:top w:val="nil"/>
              <w:left w:val="nil"/>
              <w:bottom w:val="nil"/>
              <w:right w:val="nil"/>
            </w:tcBorders>
            <w:shd w:val="clear" w:color="auto" w:fill="F2F2F2" w:themeFill="background1" w:themeFillShade="F2"/>
            <w:noWrap/>
            <w:vAlign w:val="bottom"/>
            <w:hideMark/>
          </w:tcPr>
          <w:p w14:paraId="1480F6CF" w14:textId="77777777" w:rsidR="007A669A" w:rsidRPr="005C7317" w:rsidRDefault="007A669A" w:rsidP="00A1600C">
            <w:pPr>
              <w:pStyle w:val="TableTextRight"/>
              <w:keepNext/>
              <w:keepLines/>
            </w:pPr>
            <w:r w:rsidRPr="005C7317">
              <w:t>139,465</w:t>
            </w:r>
          </w:p>
        </w:tc>
        <w:tc>
          <w:tcPr>
            <w:tcW w:w="739" w:type="pct"/>
            <w:tcBorders>
              <w:top w:val="nil"/>
              <w:left w:val="nil"/>
              <w:bottom w:val="nil"/>
              <w:right w:val="nil"/>
            </w:tcBorders>
            <w:shd w:val="clear" w:color="auto" w:fill="F2F2F2" w:themeFill="background1" w:themeFillShade="F2"/>
            <w:noWrap/>
            <w:vAlign w:val="bottom"/>
            <w:hideMark/>
          </w:tcPr>
          <w:p w14:paraId="32890D9C" w14:textId="77777777" w:rsidR="007A669A" w:rsidRPr="005C7317" w:rsidRDefault="007A669A" w:rsidP="00A1600C">
            <w:pPr>
              <w:pStyle w:val="TableTextRight"/>
              <w:keepNext/>
              <w:keepLines/>
            </w:pPr>
            <w:r w:rsidRPr="005C7317">
              <w:t>285,088</w:t>
            </w:r>
          </w:p>
        </w:tc>
        <w:tc>
          <w:tcPr>
            <w:tcW w:w="739" w:type="pct"/>
            <w:tcBorders>
              <w:top w:val="nil"/>
              <w:left w:val="nil"/>
              <w:bottom w:val="nil"/>
              <w:right w:val="nil"/>
            </w:tcBorders>
            <w:shd w:val="clear" w:color="auto" w:fill="F2F2F2" w:themeFill="background1" w:themeFillShade="F2"/>
            <w:noWrap/>
            <w:vAlign w:val="bottom"/>
            <w:hideMark/>
          </w:tcPr>
          <w:p w14:paraId="4EDBEC2B" w14:textId="77777777" w:rsidR="007A669A" w:rsidRPr="005C7317" w:rsidRDefault="007A669A" w:rsidP="00A1600C">
            <w:pPr>
              <w:pStyle w:val="TableTextRight"/>
              <w:keepNext/>
              <w:keepLines/>
            </w:pPr>
            <w:r w:rsidRPr="005C7317">
              <w:t>360,177</w:t>
            </w:r>
          </w:p>
        </w:tc>
        <w:tc>
          <w:tcPr>
            <w:tcW w:w="739" w:type="pct"/>
            <w:tcBorders>
              <w:top w:val="nil"/>
              <w:left w:val="nil"/>
              <w:bottom w:val="nil"/>
              <w:right w:val="nil"/>
            </w:tcBorders>
            <w:shd w:val="clear" w:color="auto" w:fill="F2F2F2" w:themeFill="background1" w:themeFillShade="F2"/>
            <w:noWrap/>
            <w:vAlign w:val="bottom"/>
            <w:hideMark/>
          </w:tcPr>
          <w:p w14:paraId="660006EF" w14:textId="77777777" w:rsidR="007A669A" w:rsidRPr="005C7317" w:rsidRDefault="007A669A" w:rsidP="00A1600C">
            <w:pPr>
              <w:pStyle w:val="TableTextRight"/>
              <w:keepNext/>
              <w:keepLines/>
            </w:pPr>
            <w:r w:rsidRPr="005C7317">
              <w:t>23,929</w:t>
            </w:r>
          </w:p>
        </w:tc>
        <w:tc>
          <w:tcPr>
            <w:tcW w:w="735" w:type="pct"/>
            <w:tcBorders>
              <w:top w:val="nil"/>
              <w:left w:val="nil"/>
              <w:bottom w:val="nil"/>
              <w:right w:val="nil"/>
            </w:tcBorders>
            <w:shd w:val="clear" w:color="auto" w:fill="F2F2F2" w:themeFill="background1" w:themeFillShade="F2"/>
            <w:noWrap/>
            <w:vAlign w:val="bottom"/>
            <w:hideMark/>
          </w:tcPr>
          <w:p w14:paraId="2A16EC72" w14:textId="77777777" w:rsidR="007A669A" w:rsidRPr="005C7317" w:rsidRDefault="007A669A" w:rsidP="00A1600C">
            <w:pPr>
              <w:pStyle w:val="TableTextRight"/>
              <w:keepNext/>
              <w:keepLines/>
            </w:pPr>
            <w:r w:rsidRPr="005C7317">
              <w:t>2,174,288</w:t>
            </w:r>
          </w:p>
        </w:tc>
      </w:tr>
      <w:tr w:rsidR="007A669A" w:rsidRPr="005C7317" w14:paraId="7604C48F" w14:textId="77777777" w:rsidTr="00E80550">
        <w:trPr>
          <w:trHeight w:val="255"/>
        </w:trPr>
        <w:tc>
          <w:tcPr>
            <w:tcW w:w="570" w:type="pct"/>
            <w:tcBorders>
              <w:top w:val="nil"/>
              <w:left w:val="nil"/>
              <w:bottom w:val="nil"/>
              <w:right w:val="nil"/>
            </w:tcBorders>
            <w:shd w:val="clear" w:color="000000" w:fill="FFFFFF"/>
            <w:noWrap/>
            <w:vAlign w:val="bottom"/>
            <w:hideMark/>
          </w:tcPr>
          <w:p w14:paraId="712D5F7C" w14:textId="61F5E0D8" w:rsidR="007A669A" w:rsidRPr="005C7317" w:rsidRDefault="007A669A" w:rsidP="00A1600C">
            <w:pPr>
              <w:pStyle w:val="Tabletextcentred"/>
              <w:keepNext/>
              <w:keepLines/>
            </w:pPr>
            <w:r w:rsidRPr="008664C7">
              <w:t>200</w:t>
            </w:r>
            <w:r>
              <w:t>3-0</w:t>
            </w:r>
            <w:r w:rsidRPr="008664C7">
              <w:t>4</w:t>
            </w:r>
          </w:p>
        </w:tc>
        <w:tc>
          <w:tcPr>
            <w:tcW w:w="739" w:type="pct"/>
            <w:tcBorders>
              <w:top w:val="nil"/>
              <w:left w:val="nil"/>
              <w:bottom w:val="nil"/>
              <w:right w:val="nil"/>
            </w:tcBorders>
            <w:shd w:val="clear" w:color="000000" w:fill="FFFFFF"/>
            <w:noWrap/>
            <w:vAlign w:val="bottom"/>
            <w:hideMark/>
          </w:tcPr>
          <w:p w14:paraId="74B4FC73" w14:textId="77777777" w:rsidR="007A669A" w:rsidRPr="005C7317" w:rsidRDefault="007A669A" w:rsidP="00A1600C">
            <w:pPr>
              <w:pStyle w:val="TableTextRight"/>
              <w:keepNext/>
              <w:keepLines/>
            </w:pPr>
            <w:r w:rsidRPr="005C7317">
              <w:t>84,225</w:t>
            </w:r>
          </w:p>
        </w:tc>
        <w:tc>
          <w:tcPr>
            <w:tcW w:w="739" w:type="pct"/>
            <w:tcBorders>
              <w:top w:val="nil"/>
              <w:left w:val="nil"/>
              <w:bottom w:val="nil"/>
              <w:right w:val="nil"/>
            </w:tcBorders>
            <w:shd w:val="clear" w:color="000000" w:fill="FFFFFF"/>
            <w:noWrap/>
            <w:vAlign w:val="bottom"/>
            <w:hideMark/>
          </w:tcPr>
          <w:p w14:paraId="5E45B0E6" w14:textId="77777777" w:rsidR="007A669A" w:rsidRPr="005C7317" w:rsidRDefault="007A669A" w:rsidP="00A1600C">
            <w:pPr>
              <w:pStyle w:val="TableTextRight"/>
              <w:keepNext/>
              <w:keepLines/>
            </w:pPr>
            <w:r w:rsidRPr="005C7317">
              <w:t>143,448</w:t>
            </w:r>
          </w:p>
        </w:tc>
        <w:tc>
          <w:tcPr>
            <w:tcW w:w="739" w:type="pct"/>
            <w:tcBorders>
              <w:top w:val="nil"/>
              <w:left w:val="nil"/>
              <w:bottom w:val="nil"/>
              <w:right w:val="nil"/>
            </w:tcBorders>
            <w:shd w:val="clear" w:color="000000" w:fill="FFFFFF"/>
            <w:noWrap/>
            <w:vAlign w:val="bottom"/>
            <w:hideMark/>
          </w:tcPr>
          <w:p w14:paraId="32A061C4" w14:textId="77777777" w:rsidR="007A669A" w:rsidRPr="005C7317" w:rsidRDefault="007A669A" w:rsidP="00A1600C">
            <w:pPr>
              <w:pStyle w:val="TableTextRight"/>
              <w:keepNext/>
              <w:keepLines/>
            </w:pPr>
            <w:r w:rsidRPr="005C7317">
              <w:t>296,625</w:t>
            </w:r>
          </w:p>
        </w:tc>
        <w:tc>
          <w:tcPr>
            <w:tcW w:w="739" w:type="pct"/>
            <w:tcBorders>
              <w:top w:val="nil"/>
              <w:left w:val="nil"/>
              <w:bottom w:val="nil"/>
              <w:right w:val="nil"/>
            </w:tcBorders>
            <w:shd w:val="clear" w:color="000000" w:fill="FFFFFF"/>
            <w:noWrap/>
            <w:vAlign w:val="bottom"/>
            <w:hideMark/>
          </w:tcPr>
          <w:p w14:paraId="4DD3597E" w14:textId="77777777" w:rsidR="007A669A" w:rsidRPr="005C7317" w:rsidRDefault="007A669A" w:rsidP="00A1600C">
            <w:pPr>
              <w:pStyle w:val="TableTextRight"/>
              <w:keepNext/>
              <w:keepLines/>
            </w:pPr>
            <w:r w:rsidRPr="005C7317">
              <w:t>372,861</w:t>
            </w:r>
          </w:p>
        </w:tc>
        <w:tc>
          <w:tcPr>
            <w:tcW w:w="739" w:type="pct"/>
            <w:tcBorders>
              <w:top w:val="nil"/>
              <w:left w:val="nil"/>
              <w:bottom w:val="nil"/>
              <w:right w:val="nil"/>
            </w:tcBorders>
            <w:shd w:val="clear" w:color="000000" w:fill="FFFFFF"/>
            <w:noWrap/>
            <w:vAlign w:val="bottom"/>
            <w:hideMark/>
          </w:tcPr>
          <w:p w14:paraId="401D26F1" w14:textId="77777777" w:rsidR="007A669A" w:rsidRPr="005C7317" w:rsidRDefault="007A669A" w:rsidP="00A1600C">
            <w:pPr>
              <w:pStyle w:val="TableTextRight"/>
              <w:keepNext/>
              <w:keepLines/>
            </w:pPr>
            <w:r w:rsidRPr="005C7317">
              <w:t>23,726</w:t>
            </w:r>
          </w:p>
        </w:tc>
        <w:tc>
          <w:tcPr>
            <w:tcW w:w="735" w:type="pct"/>
            <w:tcBorders>
              <w:top w:val="nil"/>
              <w:left w:val="nil"/>
              <w:bottom w:val="nil"/>
              <w:right w:val="nil"/>
            </w:tcBorders>
            <w:shd w:val="clear" w:color="000000" w:fill="FFFFFF"/>
            <w:noWrap/>
            <w:vAlign w:val="bottom"/>
            <w:hideMark/>
          </w:tcPr>
          <w:p w14:paraId="396BC22B" w14:textId="77777777" w:rsidR="007A669A" w:rsidRPr="005C7317" w:rsidRDefault="007A669A" w:rsidP="00A1600C">
            <w:pPr>
              <w:pStyle w:val="TableTextRight"/>
              <w:keepNext/>
              <w:keepLines/>
            </w:pPr>
            <w:r w:rsidRPr="005C7317">
              <w:t>2,412,590</w:t>
            </w:r>
          </w:p>
        </w:tc>
      </w:tr>
      <w:tr w:rsidR="007A669A" w:rsidRPr="005C7317" w14:paraId="7C9E0E56"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2FF59318" w14:textId="42E0CDC0" w:rsidR="007A669A" w:rsidRPr="005C7317" w:rsidRDefault="007A669A" w:rsidP="00A1600C">
            <w:pPr>
              <w:pStyle w:val="Tabletextcentred"/>
              <w:keepNext/>
              <w:keepLines/>
            </w:pPr>
            <w:r w:rsidRPr="008664C7">
              <w:t>200</w:t>
            </w:r>
            <w:r>
              <w:t>4-0</w:t>
            </w:r>
            <w:r w:rsidRPr="008664C7">
              <w:t>5</w:t>
            </w:r>
          </w:p>
        </w:tc>
        <w:tc>
          <w:tcPr>
            <w:tcW w:w="739" w:type="pct"/>
            <w:tcBorders>
              <w:top w:val="nil"/>
              <w:left w:val="nil"/>
              <w:bottom w:val="nil"/>
              <w:right w:val="nil"/>
            </w:tcBorders>
            <w:shd w:val="clear" w:color="auto" w:fill="F2F2F2" w:themeFill="background1" w:themeFillShade="F2"/>
            <w:noWrap/>
            <w:vAlign w:val="bottom"/>
            <w:hideMark/>
          </w:tcPr>
          <w:p w14:paraId="7B18BDD5" w14:textId="77777777" w:rsidR="007A669A" w:rsidRPr="005C7317" w:rsidRDefault="007A669A" w:rsidP="00A1600C">
            <w:pPr>
              <w:pStyle w:val="TableTextRight"/>
              <w:keepNext/>
              <w:keepLines/>
            </w:pPr>
            <w:r w:rsidRPr="005C7317">
              <w:t>86,204</w:t>
            </w:r>
          </w:p>
        </w:tc>
        <w:tc>
          <w:tcPr>
            <w:tcW w:w="739" w:type="pct"/>
            <w:tcBorders>
              <w:top w:val="nil"/>
              <w:left w:val="nil"/>
              <w:bottom w:val="nil"/>
              <w:right w:val="nil"/>
            </w:tcBorders>
            <w:shd w:val="clear" w:color="auto" w:fill="F2F2F2" w:themeFill="background1" w:themeFillShade="F2"/>
            <w:noWrap/>
            <w:vAlign w:val="bottom"/>
            <w:hideMark/>
          </w:tcPr>
          <w:p w14:paraId="7F378478" w14:textId="77777777" w:rsidR="007A669A" w:rsidRPr="005C7317" w:rsidRDefault="007A669A" w:rsidP="00A1600C">
            <w:pPr>
              <w:pStyle w:val="TableTextRight"/>
              <w:keepNext/>
              <w:keepLines/>
            </w:pPr>
            <w:r w:rsidRPr="005C7317">
              <w:t>149,579</w:t>
            </w:r>
          </w:p>
        </w:tc>
        <w:tc>
          <w:tcPr>
            <w:tcW w:w="739" w:type="pct"/>
            <w:tcBorders>
              <w:top w:val="nil"/>
              <w:left w:val="nil"/>
              <w:bottom w:val="nil"/>
              <w:right w:val="nil"/>
            </w:tcBorders>
            <w:shd w:val="clear" w:color="auto" w:fill="F2F2F2" w:themeFill="background1" w:themeFillShade="F2"/>
            <w:noWrap/>
            <w:vAlign w:val="bottom"/>
            <w:hideMark/>
          </w:tcPr>
          <w:p w14:paraId="0FE1E59C" w14:textId="77777777" w:rsidR="007A669A" w:rsidRPr="005C7317" w:rsidRDefault="007A669A" w:rsidP="00A1600C">
            <w:pPr>
              <w:pStyle w:val="TableTextRight"/>
              <w:keepNext/>
              <w:keepLines/>
            </w:pPr>
            <w:r w:rsidRPr="005C7317">
              <w:t>312,166</w:t>
            </w:r>
          </w:p>
        </w:tc>
        <w:tc>
          <w:tcPr>
            <w:tcW w:w="739" w:type="pct"/>
            <w:tcBorders>
              <w:top w:val="nil"/>
              <w:left w:val="nil"/>
              <w:bottom w:val="nil"/>
              <w:right w:val="nil"/>
            </w:tcBorders>
            <w:shd w:val="clear" w:color="auto" w:fill="F2F2F2" w:themeFill="background1" w:themeFillShade="F2"/>
            <w:noWrap/>
            <w:vAlign w:val="bottom"/>
            <w:hideMark/>
          </w:tcPr>
          <w:p w14:paraId="68324871" w14:textId="77777777" w:rsidR="007A669A" w:rsidRPr="005C7317" w:rsidRDefault="007A669A" w:rsidP="00A1600C">
            <w:pPr>
              <w:pStyle w:val="TableTextRight"/>
              <w:keepNext/>
              <w:keepLines/>
            </w:pPr>
            <w:r w:rsidRPr="005C7317">
              <w:t>390,176</w:t>
            </w:r>
          </w:p>
        </w:tc>
        <w:tc>
          <w:tcPr>
            <w:tcW w:w="739" w:type="pct"/>
            <w:tcBorders>
              <w:top w:val="nil"/>
              <w:left w:val="nil"/>
              <w:bottom w:val="nil"/>
              <w:right w:val="nil"/>
            </w:tcBorders>
            <w:shd w:val="clear" w:color="auto" w:fill="F2F2F2" w:themeFill="background1" w:themeFillShade="F2"/>
            <w:noWrap/>
            <w:vAlign w:val="bottom"/>
            <w:hideMark/>
          </w:tcPr>
          <w:p w14:paraId="6C120EC9" w14:textId="77777777" w:rsidR="007A669A" w:rsidRPr="005C7317" w:rsidRDefault="007A669A" w:rsidP="00A1600C">
            <w:pPr>
              <w:pStyle w:val="TableTextRight"/>
              <w:keepNext/>
              <w:keepLines/>
            </w:pPr>
            <w:r w:rsidRPr="005C7317">
              <w:t>30,096</w:t>
            </w:r>
          </w:p>
        </w:tc>
        <w:tc>
          <w:tcPr>
            <w:tcW w:w="735" w:type="pct"/>
            <w:tcBorders>
              <w:top w:val="nil"/>
              <w:left w:val="nil"/>
              <w:bottom w:val="nil"/>
              <w:right w:val="nil"/>
            </w:tcBorders>
            <w:shd w:val="clear" w:color="auto" w:fill="F2F2F2" w:themeFill="background1" w:themeFillShade="F2"/>
            <w:noWrap/>
            <w:vAlign w:val="bottom"/>
            <w:hideMark/>
          </w:tcPr>
          <w:p w14:paraId="0BCE18E7" w14:textId="77777777" w:rsidR="007A669A" w:rsidRPr="005C7317" w:rsidRDefault="007A669A" w:rsidP="00A1600C">
            <w:pPr>
              <w:pStyle w:val="TableTextRight"/>
              <w:keepNext/>
              <w:keepLines/>
            </w:pPr>
            <w:r w:rsidRPr="005C7317">
              <w:t>2,554,020</w:t>
            </w:r>
          </w:p>
        </w:tc>
      </w:tr>
      <w:tr w:rsidR="007A669A" w:rsidRPr="005C7317" w14:paraId="6C6F0378" w14:textId="77777777" w:rsidTr="00E80550">
        <w:trPr>
          <w:trHeight w:val="255"/>
        </w:trPr>
        <w:tc>
          <w:tcPr>
            <w:tcW w:w="570" w:type="pct"/>
            <w:tcBorders>
              <w:top w:val="nil"/>
              <w:left w:val="nil"/>
              <w:bottom w:val="nil"/>
              <w:right w:val="nil"/>
            </w:tcBorders>
            <w:shd w:val="clear" w:color="000000" w:fill="FFFFFF"/>
            <w:noWrap/>
            <w:vAlign w:val="bottom"/>
            <w:hideMark/>
          </w:tcPr>
          <w:p w14:paraId="5698F0D4" w14:textId="10F30A58" w:rsidR="007A669A" w:rsidRPr="005C7317" w:rsidRDefault="007A669A" w:rsidP="00A1600C">
            <w:pPr>
              <w:pStyle w:val="Tabletextcentred"/>
              <w:keepNext/>
              <w:keepLines/>
            </w:pPr>
            <w:r w:rsidRPr="008664C7">
              <w:t>200</w:t>
            </w:r>
            <w:r>
              <w:t>5-0</w:t>
            </w:r>
            <w:r w:rsidRPr="008664C7">
              <w:t>6</w:t>
            </w:r>
          </w:p>
        </w:tc>
        <w:tc>
          <w:tcPr>
            <w:tcW w:w="739" w:type="pct"/>
            <w:tcBorders>
              <w:top w:val="nil"/>
              <w:left w:val="nil"/>
              <w:bottom w:val="nil"/>
              <w:right w:val="nil"/>
            </w:tcBorders>
            <w:shd w:val="clear" w:color="000000" w:fill="FFFFFF"/>
            <w:noWrap/>
            <w:vAlign w:val="bottom"/>
            <w:hideMark/>
          </w:tcPr>
          <w:p w14:paraId="445BCAF5" w14:textId="77777777" w:rsidR="007A669A" w:rsidRPr="005C7317" w:rsidRDefault="007A669A" w:rsidP="00A1600C">
            <w:pPr>
              <w:pStyle w:val="TableTextRight"/>
              <w:keepNext/>
              <w:keepLines/>
            </w:pPr>
            <w:r w:rsidRPr="005C7317">
              <w:t>89,189</w:t>
            </w:r>
          </w:p>
        </w:tc>
        <w:tc>
          <w:tcPr>
            <w:tcW w:w="739" w:type="pct"/>
            <w:tcBorders>
              <w:top w:val="nil"/>
              <w:left w:val="nil"/>
              <w:bottom w:val="nil"/>
              <w:right w:val="nil"/>
            </w:tcBorders>
            <w:shd w:val="clear" w:color="000000" w:fill="FFFFFF"/>
            <w:noWrap/>
            <w:vAlign w:val="bottom"/>
            <w:hideMark/>
          </w:tcPr>
          <w:p w14:paraId="1085FFF5" w14:textId="77777777" w:rsidR="007A669A" w:rsidRPr="005C7317" w:rsidRDefault="007A669A" w:rsidP="00A1600C">
            <w:pPr>
              <w:pStyle w:val="TableTextRight"/>
              <w:keepNext/>
              <w:keepLines/>
            </w:pPr>
            <w:r w:rsidRPr="005C7317">
              <w:t>158,445</w:t>
            </w:r>
          </w:p>
        </w:tc>
        <w:tc>
          <w:tcPr>
            <w:tcW w:w="739" w:type="pct"/>
            <w:tcBorders>
              <w:top w:val="nil"/>
              <w:left w:val="nil"/>
              <w:bottom w:val="nil"/>
              <w:right w:val="nil"/>
            </w:tcBorders>
            <w:shd w:val="clear" w:color="000000" w:fill="FFFFFF"/>
            <w:noWrap/>
            <w:vAlign w:val="bottom"/>
            <w:hideMark/>
          </w:tcPr>
          <w:p w14:paraId="7FB92381" w14:textId="77777777" w:rsidR="007A669A" w:rsidRPr="005C7317" w:rsidRDefault="007A669A" w:rsidP="00A1600C">
            <w:pPr>
              <w:pStyle w:val="TableTextRight"/>
              <w:keepNext/>
              <w:keepLines/>
            </w:pPr>
            <w:r w:rsidRPr="005C7317">
              <w:t>334,991</w:t>
            </w:r>
          </w:p>
        </w:tc>
        <w:tc>
          <w:tcPr>
            <w:tcW w:w="739" w:type="pct"/>
            <w:tcBorders>
              <w:top w:val="nil"/>
              <w:left w:val="nil"/>
              <w:bottom w:val="nil"/>
              <w:right w:val="nil"/>
            </w:tcBorders>
            <w:shd w:val="clear" w:color="000000" w:fill="FFFFFF"/>
            <w:noWrap/>
            <w:vAlign w:val="bottom"/>
            <w:hideMark/>
          </w:tcPr>
          <w:p w14:paraId="7C941355" w14:textId="77777777" w:rsidR="007A669A" w:rsidRPr="005C7317" w:rsidRDefault="007A669A" w:rsidP="00A1600C">
            <w:pPr>
              <w:pStyle w:val="TableTextRight"/>
              <w:keepNext/>
              <w:keepLines/>
            </w:pPr>
            <w:r w:rsidRPr="005C7317">
              <w:t>420,913</w:t>
            </w:r>
          </w:p>
        </w:tc>
        <w:tc>
          <w:tcPr>
            <w:tcW w:w="739" w:type="pct"/>
            <w:tcBorders>
              <w:top w:val="nil"/>
              <w:left w:val="nil"/>
              <w:bottom w:val="nil"/>
              <w:right w:val="nil"/>
            </w:tcBorders>
            <w:shd w:val="clear" w:color="000000" w:fill="FFFFFF"/>
            <w:noWrap/>
            <w:vAlign w:val="bottom"/>
            <w:hideMark/>
          </w:tcPr>
          <w:p w14:paraId="57B68D4D" w14:textId="77777777" w:rsidR="007A669A" w:rsidRPr="005C7317" w:rsidRDefault="007A669A" w:rsidP="00A1600C">
            <w:pPr>
              <w:pStyle w:val="TableTextRight"/>
              <w:keepNext/>
              <w:keepLines/>
            </w:pPr>
            <w:r w:rsidRPr="005C7317">
              <w:t>35,482</w:t>
            </w:r>
          </w:p>
        </w:tc>
        <w:tc>
          <w:tcPr>
            <w:tcW w:w="735" w:type="pct"/>
            <w:tcBorders>
              <w:top w:val="nil"/>
              <w:left w:val="nil"/>
              <w:bottom w:val="nil"/>
              <w:right w:val="nil"/>
            </w:tcBorders>
            <w:shd w:val="clear" w:color="000000" w:fill="FFFFFF"/>
            <w:noWrap/>
            <w:vAlign w:val="bottom"/>
            <w:hideMark/>
          </w:tcPr>
          <w:p w14:paraId="1157B2B2" w14:textId="77777777" w:rsidR="007A669A" w:rsidRPr="005C7317" w:rsidRDefault="007A669A" w:rsidP="00A1600C">
            <w:pPr>
              <w:pStyle w:val="TableTextRight"/>
              <w:keepNext/>
              <w:keepLines/>
            </w:pPr>
            <w:r w:rsidRPr="005C7317">
              <w:t>3,799,888</w:t>
            </w:r>
          </w:p>
        </w:tc>
      </w:tr>
      <w:tr w:rsidR="007A669A" w:rsidRPr="005C7317" w14:paraId="7E21A41E"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79E50442" w14:textId="00CD9CAC" w:rsidR="007A669A" w:rsidRPr="005C7317" w:rsidRDefault="007A669A" w:rsidP="00A1600C">
            <w:pPr>
              <w:pStyle w:val="Tabletextcentred"/>
              <w:keepNext/>
              <w:keepLines/>
            </w:pPr>
            <w:r w:rsidRPr="008664C7">
              <w:t>200</w:t>
            </w:r>
            <w:r>
              <w:t>6-0</w:t>
            </w:r>
            <w:r w:rsidRPr="008664C7">
              <w:t>7</w:t>
            </w:r>
          </w:p>
        </w:tc>
        <w:tc>
          <w:tcPr>
            <w:tcW w:w="739" w:type="pct"/>
            <w:tcBorders>
              <w:top w:val="nil"/>
              <w:left w:val="nil"/>
              <w:bottom w:val="nil"/>
              <w:right w:val="nil"/>
            </w:tcBorders>
            <w:shd w:val="clear" w:color="auto" w:fill="F2F2F2" w:themeFill="background1" w:themeFillShade="F2"/>
            <w:noWrap/>
            <w:vAlign w:val="bottom"/>
            <w:hideMark/>
          </w:tcPr>
          <w:p w14:paraId="61E146F2" w14:textId="77777777" w:rsidR="007A669A" w:rsidRPr="005C7317" w:rsidRDefault="007A669A" w:rsidP="00A1600C">
            <w:pPr>
              <w:pStyle w:val="TableTextRight"/>
              <w:keepNext/>
              <w:keepLines/>
            </w:pPr>
            <w:r w:rsidRPr="005C7317">
              <w:t>94,644</w:t>
            </w:r>
          </w:p>
        </w:tc>
        <w:tc>
          <w:tcPr>
            <w:tcW w:w="739" w:type="pct"/>
            <w:tcBorders>
              <w:top w:val="nil"/>
              <w:left w:val="nil"/>
              <w:bottom w:val="nil"/>
              <w:right w:val="nil"/>
            </w:tcBorders>
            <w:shd w:val="clear" w:color="auto" w:fill="F2F2F2" w:themeFill="background1" w:themeFillShade="F2"/>
            <w:noWrap/>
            <w:vAlign w:val="bottom"/>
            <w:hideMark/>
          </w:tcPr>
          <w:p w14:paraId="1A6B8C35" w14:textId="77777777" w:rsidR="007A669A" w:rsidRPr="005C7317" w:rsidRDefault="007A669A" w:rsidP="00A1600C">
            <w:pPr>
              <w:pStyle w:val="TableTextRight"/>
              <w:keepNext/>
              <w:keepLines/>
            </w:pPr>
            <w:r w:rsidRPr="005C7317">
              <w:t>173,692</w:t>
            </w:r>
          </w:p>
        </w:tc>
        <w:tc>
          <w:tcPr>
            <w:tcW w:w="739" w:type="pct"/>
            <w:tcBorders>
              <w:top w:val="nil"/>
              <w:left w:val="nil"/>
              <w:bottom w:val="nil"/>
              <w:right w:val="nil"/>
            </w:tcBorders>
            <w:shd w:val="clear" w:color="auto" w:fill="F2F2F2" w:themeFill="background1" w:themeFillShade="F2"/>
            <w:noWrap/>
            <w:vAlign w:val="bottom"/>
            <w:hideMark/>
          </w:tcPr>
          <w:p w14:paraId="2AEE7C03" w14:textId="77777777" w:rsidR="007A669A" w:rsidRPr="005C7317" w:rsidRDefault="007A669A" w:rsidP="00A1600C">
            <w:pPr>
              <w:pStyle w:val="TableTextRight"/>
              <w:keepNext/>
              <w:keepLines/>
            </w:pPr>
            <w:r w:rsidRPr="005C7317">
              <w:t>365,963</w:t>
            </w:r>
          </w:p>
        </w:tc>
        <w:tc>
          <w:tcPr>
            <w:tcW w:w="739" w:type="pct"/>
            <w:tcBorders>
              <w:top w:val="nil"/>
              <w:left w:val="nil"/>
              <w:bottom w:val="nil"/>
              <w:right w:val="nil"/>
            </w:tcBorders>
            <w:shd w:val="clear" w:color="auto" w:fill="F2F2F2" w:themeFill="background1" w:themeFillShade="F2"/>
            <w:noWrap/>
            <w:vAlign w:val="bottom"/>
            <w:hideMark/>
          </w:tcPr>
          <w:p w14:paraId="1A183FC1" w14:textId="77777777" w:rsidR="007A669A" w:rsidRPr="005C7317" w:rsidRDefault="007A669A" w:rsidP="00A1600C">
            <w:pPr>
              <w:pStyle w:val="TableTextRight"/>
              <w:keepNext/>
              <w:keepLines/>
            </w:pPr>
            <w:r w:rsidRPr="005C7317">
              <w:t>485,967</w:t>
            </w:r>
          </w:p>
        </w:tc>
        <w:tc>
          <w:tcPr>
            <w:tcW w:w="739" w:type="pct"/>
            <w:tcBorders>
              <w:top w:val="nil"/>
              <w:left w:val="nil"/>
              <w:bottom w:val="nil"/>
              <w:right w:val="nil"/>
            </w:tcBorders>
            <w:shd w:val="clear" w:color="auto" w:fill="F2F2F2" w:themeFill="background1" w:themeFillShade="F2"/>
            <w:noWrap/>
            <w:vAlign w:val="bottom"/>
            <w:hideMark/>
          </w:tcPr>
          <w:p w14:paraId="2F529F96" w14:textId="77777777" w:rsidR="007A669A" w:rsidRPr="005C7317" w:rsidRDefault="007A669A" w:rsidP="00A1600C">
            <w:pPr>
              <w:pStyle w:val="TableTextRight"/>
              <w:keepNext/>
              <w:keepLines/>
            </w:pPr>
            <w:r w:rsidRPr="005C7317">
              <w:t>36,265</w:t>
            </w:r>
          </w:p>
        </w:tc>
        <w:tc>
          <w:tcPr>
            <w:tcW w:w="735" w:type="pct"/>
            <w:tcBorders>
              <w:top w:val="nil"/>
              <w:left w:val="nil"/>
              <w:bottom w:val="nil"/>
              <w:right w:val="nil"/>
            </w:tcBorders>
            <w:shd w:val="clear" w:color="auto" w:fill="F2F2F2" w:themeFill="background1" w:themeFillShade="F2"/>
            <w:noWrap/>
            <w:vAlign w:val="bottom"/>
            <w:hideMark/>
          </w:tcPr>
          <w:p w14:paraId="0FC11A7B" w14:textId="77777777" w:rsidR="007A669A" w:rsidRPr="005C7317" w:rsidRDefault="007A669A" w:rsidP="00A1600C">
            <w:pPr>
              <w:pStyle w:val="TableTextRight"/>
              <w:keepNext/>
              <w:keepLines/>
            </w:pPr>
            <w:r w:rsidRPr="005C7317">
              <w:t>5,182,332</w:t>
            </w:r>
          </w:p>
        </w:tc>
      </w:tr>
      <w:tr w:rsidR="007A669A" w:rsidRPr="005C7317" w14:paraId="1A3EA09F" w14:textId="77777777" w:rsidTr="00E80550">
        <w:trPr>
          <w:trHeight w:val="255"/>
        </w:trPr>
        <w:tc>
          <w:tcPr>
            <w:tcW w:w="570" w:type="pct"/>
            <w:tcBorders>
              <w:top w:val="nil"/>
              <w:left w:val="nil"/>
              <w:bottom w:val="nil"/>
              <w:right w:val="nil"/>
            </w:tcBorders>
            <w:shd w:val="clear" w:color="000000" w:fill="FFFFFF"/>
            <w:noWrap/>
            <w:vAlign w:val="bottom"/>
            <w:hideMark/>
          </w:tcPr>
          <w:p w14:paraId="6BA1FF05" w14:textId="00F951D2" w:rsidR="007A669A" w:rsidRPr="005C7317" w:rsidRDefault="007A669A" w:rsidP="00A1600C">
            <w:pPr>
              <w:pStyle w:val="Tabletextcentred"/>
              <w:keepNext/>
              <w:keepLines/>
            </w:pPr>
            <w:r w:rsidRPr="008664C7">
              <w:t>200</w:t>
            </w:r>
            <w:r>
              <w:t>7-0</w:t>
            </w:r>
            <w:r w:rsidRPr="008664C7">
              <w:t>8</w:t>
            </w:r>
          </w:p>
        </w:tc>
        <w:tc>
          <w:tcPr>
            <w:tcW w:w="739" w:type="pct"/>
            <w:tcBorders>
              <w:top w:val="nil"/>
              <w:left w:val="nil"/>
              <w:bottom w:val="nil"/>
              <w:right w:val="nil"/>
            </w:tcBorders>
            <w:shd w:val="clear" w:color="000000" w:fill="FFFFFF"/>
            <w:noWrap/>
            <w:vAlign w:val="bottom"/>
            <w:hideMark/>
          </w:tcPr>
          <w:p w14:paraId="40C140DA" w14:textId="77777777" w:rsidR="007A669A" w:rsidRPr="005C7317" w:rsidRDefault="007A669A" w:rsidP="00A1600C">
            <w:pPr>
              <w:pStyle w:val="TableTextRight"/>
              <w:keepNext/>
              <w:keepLines/>
            </w:pPr>
            <w:r w:rsidRPr="005C7317">
              <w:t>96,134</w:t>
            </w:r>
          </w:p>
        </w:tc>
        <w:tc>
          <w:tcPr>
            <w:tcW w:w="739" w:type="pct"/>
            <w:tcBorders>
              <w:top w:val="nil"/>
              <w:left w:val="nil"/>
              <w:bottom w:val="nil"/>
              <w:right w:val="nil"/>
            </w:tcBorders>
            <w:shd w:val="clear" w:color="000000" w:fill="FFFFFF"/>
            <w:noWrap/>
            <w:vAlign w:val="bottom"/>
            <w:hideMark/>
          </w:tcPr>
          <w:p w14:paraId="50E1C389" w14:textId="77777777" w:rsidR="007A669A" w:rsidRPr="005C7317" w:rsidRDefault="007A669A" w:rsidP="00A1600C">
            <w:pPr>
              <w:pStyle w:val="TableTextRight"/>
              <w:keepNext/>
              <w:keepLines/>
            </w:pPr>
            <w:r w:rsidRPr="005C7317">
              <w:t>181,937</w:t>
            </w:r>
          </w:p>
        </w:tc>
        <w:tc>
          <w:tcPr>
            <w:tcW w:w="739" w:type="pct"/>
            <w:tcBorders>
              <w:top w:val="nil"/>
              <w:left w:val="nil"/>
              <w:bottom w:val="nil"/>
              <w:right w:val="nil"/>
            </w:tcBorders>
            <w:shd w:val="clear" w:color="000000" w:fill="FFFFFF"/>
            <w:noWrap/>
            <w:vAlign w:val="bottom"/>
            <w:hideMark/>
          </w:tcPr>
          <w:p w14:paraId="00173E88" w14:textId="77777777" w:rsidR="007A669A" w:rsidRPr="005C7317" w:rsidRDefault="007A669A" w:rsidP="00A1600C">
            <w:pPr>
              <w:pStyle w:val="TableTextRight"/>
              <w:keepNext/>
              <w:keepLines/>
            </w:pPr>
            <w:r w:rsidRPr="005C7317">
              <w:t>399,775</w:t>
            </w:r>
          </w:p>
        </w:tc>
        <w:tc>
          <w:tcPr>
            <w:tcW w:w="739" w:type="pct"/>
            <w:tcBorders>
              <w:top w:val="nil"/>
              <w:left w:val="nil"/>
              <w:bottom w:val="nil"/>
              <w:right w:val="nil"/>
            </w:tcBorders>
            <w:shd w:val="clear" w:color="000000" w:fill="FFFFFF"/>
            <w:noWrap/>
            <w:vAlign w:val="bottom"/>
            <w:hideMark/>
          </w:tcPr>
          <w:p w14:paraId="16C6A021" w14:textId="77777777" w:rsidR="007A669A" w:rsidRPr="005C7317" w:rsidRDefault="007A669A" w:rsidP="00A1600C">
            <w:pPr>
              <w:pStyle w:val="TableTextRight"/>
              <w:keepNext/>
              <w:keepLines/>
            </w:pPr>
            <w:r w:rsidRPr="005C7317">
              <w:t>528,906</w:t>
            </w:r>
          </w:p>
        </w:tc>
        <w:tc>
          <w:tcPr>
            <w:tcW w:w="739" w:type="pct"/>
            <w:tcBorders>
              <w:top w:val="nil"/>
              <w:left w:val="nil"/>
              <w:bottom w:val="nil"/>
              <w:right w:val="nil"/>
            </w:tcBorders>
            <w:shd w:val="clear" w:color="000000" w:fill="FFFFFF"/>
            <w:noWrap/>
            <w:vAlign w:val="bottom"/>
            <w:hideMark/>
          </w:tcPr>
          <w:p w14:paraId="5CF9D8B8" w14:textId="77777777" w:rsidR="007A669A" w:rsidRPr="005C7317" w:rsidRDefault="007A669A" w:rsidP="00A1600C">
            <w:pPr>
              <w:pStyle w:val="TableTextRight"/>
              <w:keepNext/>
              <w:keepLines/>
            </w:pPr>
            <w:r w:rsidRPr="005C7317">
              <w:t>29,466</w:t>
            </w:r>
          </w:p>
        </w:tc>
        <w:tc>
          <w:tcPr>
            <w:tcW w:w="735" w:type="pct"/>
            <w:tcBorders>
              <w:top w:val="nil"/>
              <w:left w:val="nil"/>
              <w:bottom w:val="nil"/>
              <w:right w:val="nil"/>
            </w:tcBorders>
            <w:shd w:val="clear" w:color="000000" w:fill="FFFFFF"/>
            <w:noWrap/>
            <w:vAlign w:val="bottom"/>
            <w:hideMark/>
          </w:tcPr>
          <w:p w14:paraId="77FC0451" w14:textId="77777777" w:rsidR="007A669A" w:rsidRPr="005C7317" w:rsidRDefault="007A669A" w:rsidP="00A1600C">
            <w:pPr>
              <w:pStyle w:val="TableTextRight"/>
              <w:keepNext/>
              <w:keepLines/>
            </w:pPr>
            <w:r w:rsidRPr="005C7317">
              <w:t>4,893,864</w:t>
            </w:r>
          </w:p>
        </w:tc>
      </w:tr>
      <w:tr w:rsidR="007A669A" w:rsidRPr="005C7317" w14:paraId="2BEC5D58"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6FA4BDB7" w14:textId="491D4BCB" w:rsidR="007A669A" w:rsidRPr="005C7317" w:rsidRDefault="007A669A" w:rsidP="00A1600C">
            <w:pPr>
              <w:pStyle w:val="Tabletextcentred"/>
              <w:keepNext/>
              <w:keepLines/>
            </w:pPr>
            <w:r w:rsidRPr="008664C7">
              <w:t>200</w:t>
            </w:r>
            <w:r>
              <w:t>8-0</w:t>
            </w:r>
            <w:r w:rsidRPr="008664C7">
              <w:t>9</w:t>
            </w:r>
          </w:p>
        </w:tc>
        <w:tc>
          <w:tcPr>
            <w:tcW w:w="739" w:type="pct"/>
            <w:tcBorders>
              <w:top w:val="nil"/>
              <w:left w:val="nil"/>
              <w:bottom w:val="nil"/>
              <w:right w:val="nil"/>
            </w:tcBorders>
            <w:shd w:val="clear" w:color="auto" w:fill="F2F2F2" w:themeFill="background1" w:themeFillShade="F2"/>
            <w:noWrap/>
            <w:vAlign w:val="bottom"/>
            <w:hideMark/>
          </w:tcPr>
          <w:p w14:paraId="1E0EFA09" w14:textId="77777777" w:rsidR="007A669A" w:rsidRPr="005C7317" w:rsidRDefault="007A669A" w:rsidP="00A1600C">
            <w:pPr>
              <w:pStyle w:val="TableTextRight"/>
              <w:keepNext/>
              <w:keepLines/>
            </w:pPr>
            <w:r w:rsidRPr="005C7317">
              <w:t>100,000</w:t>
            </w:r>
          </w:p>
        </w:tc>
        <w:tc>
          <w:tcPr>
            <w:tcW w:w="739" w:type="pct"/>
            <w:tcBorders>
              <w:top w:val="nil"/>
              <w:left w:val="nil"/>
              <w:bottom w:val="nil"/>
              <w:right w:val="nil"/>
            </w:tcBorders>
            <w:shd w:val="clear" w:color="auto" w:fill="F2F2F2" w:themeFill="background1" w:themeFillShade="F2"/>
            <w:noWrap/>
            <w:vAlign w:val="bottom"/>
            <w:hideMark/>
          </w:tcPr>
          <w:p w14:paraId="3F9AFBF8" w14:textId="77777777" w:rsidR="007A669A" w:rsidRPr="005C7317" w:rsidRDefault="007A669A" w:rsidP="00A1600C">
            <w:pPr>
              <w:pStyle w:val="TableTextRight"/>
              <w:keepNext/>
              <w:keepLines/>
            </w:pPr>
            <w:r w:rsidRPr="005C7317">
              <w:t>189,330</w:t>
            </w:r>
          </w:p>
        </w:tc>
        <w:tc>
          <w:tcPr>
            <w:tcW w:w="739" w:type="pct"/>
            <w:tcBorders>
              <w:top w:val="nil"/>
              <w:left w:val="nil"/>
              <w:bottom w:val="nil"/>
              <w:right w:val="nil"/>
            </w:tcBorders>
            <w:shd w:val="clear" w:color="auto" w:fill="F2F2F2" w:themeFill="background1" w:themeFillShade="F2"/>
            <w:noWrap/>
            <w:vAlign w:val="bottom"/>
            <w:hideMark/>
          </w:tcPr>
          <w:p w14:paraId="37C1249F" w14:textId="77777777" w:rsidR="007A669A" w:rsidRPr="005C7317" w:rsidRDefault="007A669A" w:rsidP="00A1600C">
            <w:pPr>
              <w:pStyle w:val="TableTextRight"/>
              <w:keepNext/>
              <w:keepLines/>
            </w:pPr>
            <w:r w:rsidRPr="005C7317">
              <w:t>412,488</w:t>
            </w:r>
          </w:p>
        </w:tc>
        <w:tc>
          <w:tcPr>
            <w:tcW w:w="739" w:type="pct"/>
            <w:tcBorders>
              <w:top w:val="nil"/>
              <w:left w:val="nil"/>
              <w:bottom w:val="nil"/>
              <w:right w:val="nil"/>
            </w:tcBorders>
            <w:shd w:val="clear" w:color="auto" w:fill="F2F2F2" w:themeFill="background1" w:themeFillShade="F2"/>
            <w:noWrap/>
            <w:vAlign w:val="bottom"/>
            <w:hideMark/>
          </w:tcPr>
          <w:p w14:paraId="07A6C533" w14:textId="77777777" w:rsidR="007A669A" w:rsidRPr="005C7317" w:rsidRDefault="007A669A" w:rsidP="00A1600C">
            <w:pPr>
              <w:pStyle w:val="TableTextRight"/>
              <w:keepNext/>
              <w:keepLines/>
            </w:pPr>
            <w:r w:rsidRPr="005C7317">
              <w:t>540,428</w:t>
            </w:r>
          </w:p>
        </w:tc>
        <w:tc>
          <w:tcPr>
            <w:tcW w:w="739" w:type="pct"/>
            <w:tcBorders>
              <w:top w:val="nil"/>
              <w:left w:val="nil"/>
              <w:bottom w:val="nil"/>
              <w:right w:val="nil"/>
            </w:tcBorders>
            <w:shd w:val="clear" w:color="auto" w:fill="F2F2F2" w:themeFill="background1" w:themeFillShade="F2"/>
            <w:noWrap/>
            <w:vAlign w:val="bottom"/>
            <w:hideMark/>
          </w:tcPr>
          <w:p w14:paraId="23E7FC69" w14:textId="77777777" w:rsidR="007A669A" w:rsidRPr="005C7317" w:rsidRDefault="007A669A" w:rsidP="00A1600C">
            <w:pPr>
              <w:pStyle w:val="TableTextRight"/>
              <w:keepNext/>
              <w:keepLines/>
            </w:pPr>
            <w:r w:rsidRPr="005C7317">
              <w:t>37,547</w:t>
            </w:r>
          </w:p>
        </w:tc>
        <w:tc>
          <w:tcPr>
            <w:tcW w:w="735" w:type="pct"/>
            <w:tcBorders>
              <w:top w:val="nil"/>
              <w:left w:val="nil"/>
              <w:bottom w:val="nil"/>
              <w:right w:val="nil"/>
            </w:tcBorders>
            <w:shd w:val="clear" w:color="auto" w:fill="F2F2F2" w:themeFill="background1" w:themeFillShade="F2"/>
            <w:noWrap/>
            <w:vAlign w:val="bottom"/>
            <w:hideMark/>
          </w:tcPr>
          <w:p w14:paraId="15CB1B8B" w14:textId="77777777" w:rsidR="007A669A" w:rsidRPr="005C7317" w:rsidRDefault="007A669A" w:rsidP="00A1600C">
            <w:pPr>
              <w:pStyle w:val="TableTextRight"/>
              <w:keepNext/>
              <w:keepLines/>
            </w:pPr>
            <w:r w:rsidRPr="005C7317">
              <w:t>5,367,586</w:t>
            </w:r>
          </w:p>
        </w:tc>
      </w:tr>
      <w:tr w:rsidR="007A669A" w:rsidRPr="005C7317" w14:paraId="5FC225AC" w14:textId="77777777" w:rsidTr="00E80550">
        <w:trPr>
          <w:trHeight w:val="255"/>
        </w:trPr>
        <w:tc>
          <w:tcPr>
            <w:tcW w:w="570" w:type="pct"/>
            <w:tcBorders>
              <w:top w:val="nil"/>
              <w:left w:val="nil"/>
              <w:bottom w:val="nil"/>
              <w:right w:val="nil"/>
            </w:tcBorders>
            <w:shd w:val="clear" w:color="000000" w:fill="FFFFFF"/>
            <w:noWrap/>
            <w:vAlign w:val="bottom"/>
            <w:hideMark/>
          </w:tcPr>
          <w:p w14:paraId="25C5B523" w14:textId="65276CC3" w:rsidR="007A669A" w:rsidRPr="005C7317" w:rsidRDefault="007A669A" w:rsidP="00A1600C">
            <w:pPr>
              <w:pStyle w:val="Tabletextcentred"/>
              <w:keepNext/>
              <w:keepLines/>
            </w:pPr>
            <w:r w:rsidRPr="008664C7">
              <w:t>20</w:t>
            </w:r>
            <w:r>
              <w:t>09-</w:t>
            </w:r>
            <w:r w:rsidRPr="008664C7">
              <w:t>10</w:t>
            </w:r>
          </w:p>
        </w:tc>
        <w:tc>
          <w:tcPr>
            <w:tcW w:w="739" w:type="pct"/>
            <w:tcBorders>
              <w:top w:val="nil"/>
              <w:left w:val="nil"/>
              <w:bottom w:val="nil"/>
              <w:right w:val="nil"/>
            </w:tcBorders>
            <w:shd w:val="clear" w:color="000000" w:fill="FFFFFF"/>
            <w:noWrap/>
            <w:vAlign w:val="bottom"/>
            <w:hideMark/>
          </w:tcPr>
          <w:p w14:paraId="2CC2D416" w14:textId="77777777" w:rsidR="007A669A" w:rsidRPr="005C7317" w:rsidRDefault="007A669A" w:rsidP="00A1600C">
            <w:pPr>
              <w:pStyle w:val="TableTextRight"/>
              <w:keepNext/>
              <w:keepLines/>
            </w:pPr>
            <w:r w:rsidRPr="005C7317">
              <w:t>97,603</w:t>
            </w:r>
          </w:p>
        </w:tc>
        <w:tc>
          <w:tcPr>
            <w:tcW w:w="739" w:type="pct"/>
            <w:tcBorders>
              <w:top w:val="nil"/>
              <w:left w:val="nil"/>
              <w:bottom w:val="nil"/>
              <w:right w:val="nil"/>
            </w:tcBorders>
            <w:shd w:val="clear" w:color="000000" w:fill="FFFFFF"/>
            <w:noWrap/>
            <w:vAlign w:val="bottom"/>
            <w:hideMark/>
          </w:tcPr>
          <w:p w14:paraId="494F17B3" w14:textId="77777777" w:rsidR="007A669A" w:rsidRPr="005C7317" w:rsidRDefault="007A669A" w:rsidP="00A1600C">
            <w:pPr>
              <w:pStyle w:val="TableTextRight"/>
              <w:keepNext/>
              <w:keepLines/>
            </w:pPr>
            <w:r w:rsidRPr="005C7317">
              <w:t>183,230</w:t>
            </w:r>
          </w:p>
        </w:tc>
        <w:tc>
          <w:tcPr>
            <w:tcW w:w="739" w:type="pct"/>
            <w:tcBorders>
              <w:top w:val="nil"/>
              <w:left w:val="nil"/>
              <w:bottom w:val="nil"/>
              <w:right w:val="nil"/>
            </w:tcBorders>
            <w:shd w:val="clear" w:color="000000" w:fill="FFFFFF"/>
            <w:noWrap/>
            <w:vAlign w:val="bottom"/>
            <w:hideMark/>
          </w:tcPr>
          <w:p w14:paraId="7A4D0158" w14:textId="77777777" w:rsidR="007A669A" w:rsidRPr="005C7317" w:rsidRDefault="007A669A" w:rsidP="00A1600C">
            <w:pPr>
              <w:pStyle w:val="TableTextRight"/>
              <w:keepNext/>
              <w:keepLines/>
            </w:pPr>
            <w:r w:rsidRPr="005C7317">
              <w:t>404,721</w:t>
            </w:r>
          </w:p>
        </w:tc>
        <w:tc>
          <w:tcPr>
            <w:tcW w:w="739" w:type="pct"/>
            <w:tcBorders>
              <w:top w:val="nil"/>
              <w:left w:val="nil"/>
              <w:bottom w:val="nil"/>
              <w:right w:val="nil"/>
            </w:tcBorders>
            <w:shd w:val="clear" w:color="000000" w:fill="FFFFFF"/>
            <w:noWrap/>
            <w:vAlign w:val="bottom"/>
            <w:hideMark/>
          </w:tcPr>
          <w:p w14:paraId="77398C92" w14:textId="77777777" w:rsidR="007A669A" w:rsidRPr="005C7317" w:rsidRDefault="007A669A" w:rsidP="00A1600C">
            <w:pPr>
              <w:pStyle w:val="TableTextRight"/>
              <w:keepNext/>
              <w:keepLines/>
            </w:pPr>
            <w:r w:rsidRPr="005C7317">
              <w:t>557,716</w:t>
            </w:r>
          </w:p>
        </w:tc>
        <w:tc>
          <w:tcPr>
            <w:tcW w:w="739" w:type="pct"/>
            <w:tcBorders>
              <w:top w:val="nil"/>
              <w:left w:val="nil"/>
              <w:bottom w:val="nil"/>
              <w:right w:val="nil"/>
            </w:tcBorders>
            <w:shd w:val="clear" w:color="000000" w:fill="FFFFFF"/>
            <w:noWrap/>
            <w:vAlign w:val="bottom"/>
            <w:hideMark/>
          </w:tcPr>
          <w:p w14:paraId="75D2A3C3" w14:textId="77777777" w:rsidR="007A669A" w:rsidRPr="005C7317" w:rsidRDefault="007A669A" w:rsidP="00A1600C">
            <w:pPr>
              <w:pStyle w:val="TableTextRight"/>
              <w:keepNext/>
              <w:keepLines/>
            </w:pPr>
            <w:r w:rsidRPr="005C7317">
              <w:t>39,333</w:t>
            </w:r>
          </w:p>
        </w:tc>
        <w:tc>
          <w:tcPr>
            <w:tcW w:w="735" w:type="pct"/>
            <w:tcBorders>
              <w:top w:val="nil"/>
              <w:left w:val="nil"/>
              <w:bottom w:val="nil"/>
              <w:right w:val="nil"/>
            </w:tcBorders>
            <w:shd w:val="clear" w:color="000000" w:fill="FFFFFF"/>
            <w:noWrap/>
            <w:vAlign w:val="bottom"/>
            <w:hideMark/>
          </w:tcPr>
          <w:p w14:paraId="2CE1713E" w14:textId="77777777" w:rsidR="007A669A" w:rsidRPr="005C7317" w:rsidRDefault="007A669A" w:rsidP="00A1600C">
            <w:pPr>
              <w:pStyle w:val="TableTextRight"/>
              <w:keepNext/>
              <w:keepLines/>
            </w:pPr>
            <w:r w:rsidRPr="005C7317">
              <w:t>6,436,538</w:t>
            </w:r>
          </w:p>
        </w:tc>
      </w:tr>
      <w:tr w:rsidR="007A669A" w:rsidRPr="005C7317" w14:paraId="061DF98C"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362C22A2" w14:textId="57D300F2" w:rsidR="007A669A" w:rsidRPr="005C7317" w:rsidRDefault="007A669A" w:rsidP="00A1600C">
            <w:pPr>
              <w:pStyle w:val="Tabletextcentred"/>
              <w:keepNext/>
              <w:keepLines/>
            </w:pPr>
            <w:r w:rsidRPr="008664C7">
              <w:t>20</w:t>
            </w:r>
            <w:r>
              <w:t>10-</w:t>
            </w:r>
            <w:r w:rsidRPr="008664C7">
              <w:t>11</w:t>
            </w:r>
          </w:p>
        </w:tc>
        <w:tc>
          <w:tcPr>
            <w:tcW w:w="739" w:type="pct"/>
            <w:tcBorders>
              <w:top w:val="nil"/>
              <w:left w:val="nil"/>
              <w:bottom w:val="nil"/>
              <w:right w:val="nil"/>
            </w:tcBorders>
            <w:shd w:val="clear" w:color="auto" w:fill="F2F2F2" w:themeFill="background1" w:themeFillShade="F2"/>
            <w:noWrap/>
            <w:vAlign w:val="bottom"/>
            <w:hideMark/>
          </w:tcPr>
          <w:p w14:paraId="563970F3" w14:textId="77777777" w:rsidR="007A669A" w:rsidRPr="005C7317" w:rsidRDefault="007A669A" w:rsidP="00A1600C">
            <w:pPr>
              <w:pStyle w:val="TableTextRight"/>
              <w:keepNext/>
              <w:keepLines/>
            </w:pPr>
            <w:r w:rsidRPr="005C7317">
              <w:t>100,072</w:t>
            </w:r>
          </w:p>
        </w:tc>
        <w:tc>
          <w:tcPr>
            <w:tcW w:w="739" w:type="pct"/>
            <w:tcBorders>
              <w:top w:val="nil"/>
              <w:left w:val="nil"/>
              <w:bottom w:val="nil"/>
              <w:right w:val="nil"/>
            </w:tcBorders>
            <w:shd w:val="clear" w:color="auto" w:fill="F2F2F2" w:themeFill="background1" w:themeFillShade="F2"/>
            <w:noWrap/>
            <w:vAlign w:val="bottom"/>
            <w:hideMark/>
          </w:tcPr>
          <w:p w14:paraId="74AEFAC8" w14:textId="77777777" w:rsidR="007A669A" w:rsidRPr="005C7317" w:rsidRDefault="007A669A" w:rsidP="00A1600C">
            <w:pPr>
              <w:pStyle w:val="TableTextRight"/>
              <w:keepNext/>
              <w:keepLines/>
            </w:pPr>
            <w:r w:rsidRPr="005C7317">
              <w:t>191,493</w:t>
            </w:r>
          </w:p>
        </w:tc>
        <w:tc>
          <w:tcPr>
            <w:tcW w:w="739" w:type="pct"/>
            <w:tcBorders>
              <w:top w:val="nil"/>
              <w:left w:val="nil"/>
              <w:bottom w:val="nil"/>
              <w:right w:val="nil"/>
            </w:tcBorders>
            <w:shd w:val="clear" w:color="auto" w:fill="F2F2F2" w:themeFill="background1" w:themeFillShade="F2"/>
            <w:noWrap/>
            <w:vAlign w:val="bottom"/>
            <w:hideMark/>
          </w:tcPr>
          <w:p w14:paraId="77D7C90F" w14:textId="77777777" w:rsidR="007A669A" w:rsidRPr="005C7317" w:rsidRDefault="007A669A" w:rsidP="00A1600C">
            <w:pPr>
              <w:pStyle w:val="TableTextRight"/>
              <w:keepNext/>
              <w:keepLines/>
            </w:pPr>
            <w:r w:rsidRPr="005C7317">
              <w:t>428,964</w:t>
            </w:r>
          </w:p>
        </w:tc>
        <w:tc>
          <w:tcPr>
            <w:tcW w:w="739" w:type="pct"/>
            <w:tcBorders>
              <w:top w:val="nil"/>
              <w:left w:val="nil"/>
              <w:bottom w:val="nil"/>
              <w:right w:val="nil"/>
            </w:tcBorders>
            <w:shd w:val="clear" w:color="auto" w:fill="F2F2F2" w:themeFill="background1" w:themeFillShade="F2"/>
            <w:noWrap/>
            <w:vAlign w:val="bottom"/>
            <w:hideMark/>
          </w:tcPr>
          <w:p w14:paraId="2C492EC6" w14:textId="77777777" w:rsidR="007A669A" w:rsidRPr="005C7317" w:rsidRDefault="007A669A" w:rsidP="00A1600C">
            <w:pPr>
              <w:pStyle w:val="TableTextRight"/>
              <w:keepNext/>
              <w:keepLines/>
            </w:pPr>
            <w:r w:rsidRPr="005C7317">
              <w:t>612,583</w:t>
            </w:r>
          </w:p>
        </w:tc>
        <w:tc>
          <w:tcPr>
            <w:tcW w:w="739" w:type="pct"/>
            <w:tcBorders>
              <w:top w:val="nil"/>
              <w:left w:val="nil"/>
              <w:bottom w:val="nil"/>
              <w:right w:val="nil"/>
            </w:tcBorders>
            <w:shd w:val="clear" w:color="auto" w:fill="F2F2F2" w:themeFill="background1" w:themeFillShade="F2"/>
            <w:noWrap/>
            <w:vAlign w:val="bottom"/>
            <w:hideMark/>
          </w:tcPr>
          <w:p w14:paraId="0E94322E" w14:textId="77777777" w:rsidR="007A669A" w:rsidRPr="005C7317" w:rsidRDefault="007A669A" w:rsidP="00A1600C">
            <w:pPr>
              <w:pStyle w:val="TableTextRight"/>
              <w:keepNext/>
              <w:keepLines/>
            </w:pPr>
            <w:r w:rsidRPr="005C7317">
              <w:t>39,665</w:t>
            </w:r>
          </w:p>
        </w:tc>
        <w:tc>
          <w:tcPr>
            <w:tcW w:w="735" w:type="pct"/>
            <w:tcBorders>
              <w:top w:val="nil"/>
              <w:left w:val="nil"/>
              <w:bottom w:val="nil"/>
              <w:right w:val="nil"/>
            </w:tcBorders>
            <w:shd w:val="clear" w:color="auto" w:fill="F2F2F2" w:themeFill="background1" w:themeFillShade="F2"/>
            <w:noWrap/>
            <w:vAlign w:val="bottom"/>
            <w:hideMark/>
          </w:tcPr>
          <w:p w14:paraId="6655D6CA" w14:textId="77777777" w:rsidR="007A669A" w:rsidRPr="005C7317" w:rsidRDefault="007A669A" w:rsidP="00A1600C">
            <w:pPr>
              <w:pStyle w:val="TableTextRight"/>
              <w:keepNext/>
              <w:keepLines/>
            </w:pPr>
            <w:r w:rsidRPr="005C7317">
              <w:t>7,515,693</w:t>
            </w:r>
          </w:p>
        </w:tc>
      </w:tr>
      <w:tr w:rsidR="007A669A" w:rsidRPr="005C7317" w14:paraId="42774CDA" w14:textId="77777777" w:rsidTr="00E80550">
        <w:trPr>
          <w:trHeight w:val="255"/>
        </w:trPr>
        <w:tc>
          <w:tcPr>
            <w:tcW w:w="570" w:type="pct"/>
            <w:tcBorders>
              <w:top w:val="nil"/>
              <w:left w:val="nil"/>
              <w:bottom w:val="nil"/>
              <w:right w:val="nil"/>
            </w:tcBorders>
            <w:shd w:val="clear" w:color="000000" w:fill="FFFFFF"/>
            <w:noWrap/>
            <w:vAlign w:val="bottom"/>
            <w:hideMark/>
          </w:tcPr>
          <w:p w14:paraId="46FB347E" w14:textId="01310FD8" w:rsidR="007A669A" w:rsidRPr="005C7317" w:rsidRDefault="007A669A" w:rsidP="00A1600C">
            <w:pPr>
              <w:pStyle w:val="Tabletextcentred"/>
              <w:keepNext/>
              <w:keepLines/>
            </w:pPr>
            <w:r w:rsidRPr="008664C7">
              <w:t>20</w:t>
            </w:r>
            <w:r>
              <w:t>11-</w:t>
            </w:r>
            <w:r w:rsidRPr="008664C7">
              <w:t>12</w:t>
            </w:r>
          </w:p>
        </w:tc>
        <w:tc>
          <w:tcPr>
            <w:tcW w:w="739" w:type="pct"/>
            <w:tcBorders>
              <w:top w:val="nil"/>
              <w:left w:val="nil"/>
              <w:bottom w:val="nil"/>
              <w:right w:val="nil"/>
            </w:tcBorders>
            <w:shd w:val="clear" w:color="000000" w:fill="FFFFFF"/>
            <w:noWrap/>
            <w:vAlign w:val="bottom"/>
            <w:hideMark/>
          </w:tcPr>
          <w:p w14:paraId="2E19AE4D" w14:textId="77777777" w:rsidR="007A669A" w:rsidRPr="005C7317" w:rsidRDefault="007A669A" w:rsidP="00A1600C">
            <w:pPr>
              <w:pStyle w:val="TableTextRight"/>
              <w:keepNext/>
              <w:keepLines/>
            </w:pPr>
            <w:r w:rsidRPr="005C7317">
              <w:t>101,860</w:t>
            </w:r>
          </w:p>
        </w:tc>
        <w:tc>
          <w:tcPr>
            <w:tcW w:w="739" w:type="pct"/>
            <w:tcBorders>
              <w:top w:val="nil"/>
              <w:left w:val="nil"/>
              <w:bottom w:val="nil"/>
              <w:right w:val="nil"/>
            </w:tcBorders>
            <w:shd w:val="clear" w:color="000000" w:fill="FFFFFF"/>
            <w:noWrap/>
            <w:vAlign w:val="bottom"/>
            <w:hideMark/>
          </w:tcPr>
          <w:p w14:paraId="2A40825C" w14:textId="77777777" w:rsidR="007A669A" w:rsidRPr="005C7317" w:rsidRDefault="007A669A" w:rsidP="00A1600C">
            <w:pPr>
              <w:pStyle w:val="TableTextRight"/>
              <w:keepNext/>
              <w:keepLines/>
            </w:pPr>
            <w:r w:rsidRPr="005C7317">
              <w:t>197,143</w:t>
            </w:r>
          </w:p>
        </w:tc>
        <w:tc>
          <w:tcPr>
            <w:tcW w:w="739" w:type="pct"/>
            <w:tcBorders>
              <w:top w:val="nil"/>
              <w:left w:val="nil"/>
              <w:bottom w:val="nil"/>
              <w:right w:val="nil"/>
            </w:tcBorders>
            <w:shd w:val="clear" w:color="000000" w:fill="FFFFFF"/>
            <w:noWrap/>
            <w:vAlign w:val="bottom"/>
            <w:hideMark/>
          </w:tcPr>
          <w:p w14:paraId="07D5DAB8" w14:textId="77777777" w:rsidR="007A669A" w:rsidRPr="005C7317" w:rsidRDefault="007A669A" w:rsidP="00A1600C">
            <w:pPr>
              <w:pStyle w:val="TableTextRight"/>
              <w:keepNext/>
              <w:keepLines/>
            </w:pPr>
            <w:r w:rsidRPr="005C7317">
              <w:t>442,856</w:t>
            </w:r>
          </w:p>
        </w:tc>
        <w:tc>
          <w:tcPr>
            <w:tcW w:w="739" w:type="pct"/>
            <w:tcBorders>
              <w:top w:val="nil"/>
              <w:left w:val="nil"/>
              <w:bottom w:val="nil"/>
              <w:right w:val="nil"/>
            </w:tcBorders>
            <w:shd w:val="clear" w:color="000000" w:fill="FFFFFF"/>
            <w:noWrap/>
            <w:vAlign w:val="bottom"/>
            <w:hideMark/>
          </w:tcPr>
          <w:p w14:paraId="32346969" w14:textId="77777777" w:rsidR="007A669A" w:rsidRPr="005C7317" w:rsidRDefault="007A669A" w:rsidP="00A1600C">
            <w:pPr>
              <w:pStyle w:val="TableTextRight"/>
              <w:keepNext/>
              <w:keepLines/>
            </w:pPr>
            <w:r w:rsidRPr="005C7317">
              <w:t>681,243</w:t>
            </w:r>
          </w:p>
        </w:tc>
        <w:tc>
          <w:tcPr>
            <w:tcW w:w="739" w:type="pct"/>
            <w:tcBorders>
              <w:top w:val="nil"/>
              <w:left w:val="nil"/>
              <w:bottom w:val="nil"/>
              <w:right w:val="nil"/>
            </w:tcBorders>
            <w:shd w:val="clear" w:color="000000" w:fill="FFFFFF"/>
            <w:noWrap/>
            <w:vAlign w:val="bottom"/>
            <w:hideMark/>
          </w:tcPr>
          <w:p w14:paraId="1FBCAD33" w14:textId="77777777" w:rsidR="007A669A" w:rsidRPr="005C7317" w:rsidRDefault="007A669A" w:rsidP="00A1600C">
            <w:pPr>
              <w:pStyle w:val="TableTextRight"/>
              <w:keepNext/>
              <w:keepLines/>
            </w:pPr>
            <w:r w:rsidRPr="005C7317">
              <w:t>40,879</w:t>
            </w:r>
          </w:p>
        </w:tc>
        <w:tc>
          <w:tcPr>
            <w:tcW w:w="735" w:type="pct"/>
            <w:tcBorders>
              <w:top w:val="nil"/>
              <w:left w:val="nil"/>
              <w:bottom w:val="nil"/>
              <w:right w:val="nil"/>
            </w:tcBorders>
            <w:shd w:val="clear" w:color="000000" w:fill="FFFFFF"/>
            <w:noWrap/>
            <w:vAlign w:val="bottom"/>
            <w:hideMark/>
          </w:tcPr>
          <w:p w14:paraId="244D3F04" w14:textId="77777777" w:rsidR="007A669A" w:rsidRPr="005C7317" w:rsidRDefault="007A669A" w:rsidP="00A1600C">
            <w:pPr>
              <w:pStyle w:val="TableTextRight"/>
              <w:keepNext/>
              <w:keepLines/>
            </w:pPr>
            <w:r w:rsidRPr="005C7317">
              <w:t>9,773,172</w:t>
            </w:r>
          </w:p>
        </w:tc>
      </w:tr>
      <w:tr w:rsidR="007A669A" w:rsidRPr="005C7317" w14:paraId="4BA779F9" w14:textId="77777777" w:rsidTr="00E80550">
        <w:trPr>
          <w:trHeight w:val="255"/>
        </w:trPr>
        <w:tc>
          <w:tcPr>
            <w:tcW w:w="570" w:type="pct"/>
            <w:tcBorders>
              <w:top w:val="nil"/>
              <w:left w:val="nil"/>
              <w:bottom w:val="nil"/>
              <w:right w:val="nil"/>
            </w:tcBorders>
            <w:shd w:val="clear" w:color="auto" w:fill="F2F2F2" w:themeFill="background1" w:themeFillShade="F2"/>
            <w:noWrap/>
            <w:vAlign w:val="bottom"/>
            <w:hideMark/>
          </w:tcPr>
          <w:p w14:paraId="75CC1D36" w14:textId="00D9AA2E" w:rsidR="007A669A" w:rsidRPr="005C7317" w:rsidRDefault="007A669A" w:rsidP="00A1600C">
            <w:pPr>
              <w:pStyle w:val="Tabletextcentred"/>
              <w:keepNext/>
              <w:keepLines/>
            </w:pPr>
            <w:r w:rsidRPr="008664C7">
              <w:t>20</w:t>
            </w:r>
            <w:r>
              <w:t>12-</w:t>
            </w:r>
            <w:r w:rsidRPr="008664C7">
              <w:t>13</w:t>
            </w:r>
          </w:p>
        </w:tc>
        <w:tc>
          <w:tcPr>
            <w:tcW w:w="739" w:type="pct"/>
            <w:tcBorders>
              <w:top w:val="nil"/>
              <w:left w:val="nil"/>
              <w:bottom w:val="nil"/>
              <w:right w:val="nil"/>
            </w:tcBorders>
            <w:shd w:val="clear" w:color="auto" w:fill="F2F2F2" w:themeFill="background1" w:themeFillShade="F2"/>
            <w:noWrap/>
            <w:vAlign w:val="bottom"/>
            <w:hideMark/>
          </w:tcPr>
          <w:p w14:paraId="32898E8A" w14:textId="77777777" w:rsidR="007A669A" w:rsidRPr="005C7317" w:rsidRDefault="007A669A" w:rsidP="00A1600C">
            <w:pPr>
              <w:pStyle w:val="TableTextRight"/>
              <w:keepNext/>
              <w:keepLines/>
            </w:pPr>
            <w:r w:rsidRPr="005C7317">
              <w:t>102,674</w:t>
            </w:r>
          </w:p>
        </w:tc>
        <w:tc>
          <w:tcPr>
            <w:tcW w:w="739" w:type="pct"/>
            <w:tcBorders>
              <w:top w:val="nil"/>
              <w:left w:val="nil"/>
              <w:bottom w:val="nil"/>
              <w:right w:val="nil"/>
            </w:tcBorders>
            <w:shd w:val="clear" w:color="auto" w:fill="F2F2F2" w:themeFill="background1" w:themeFillShade="F2"/>
            <w:noWrap/>
            <w:vAlign w:val="bottom"/>
            <w:hideMark/>
          </w:tcPr>
          <w:p w14:paraId="622E0997" w14:textId="77777777" w:rsidR="007A669A" w:rsidRPr="005C7317" w:rsidRDefault="007A669A" w:rsidP="00A1600C">
            <w:pPr>
              <w:pStyle w:val="TableTextRight"/>
              <w:keepNext/>
              <w:keepLines/>
            </w:pPr>
            <w:r w:rsidRPr="005C7317">
              <w:t>200,935</w:t>
            </w:r>
          </w:p>
        </w:tc>
        <w:tc>
          <w:tcPr>
            <w:tcW w:w="739" w:type="pct"/>
            <w:tcBorders>
              <w:top w:val="nil"/>
              <w:left w:val="nil"/>
              <w:bottom w:val="nil"/>
              <w:right w:val="nil"/>
            </w:tcBorders>
            <w:shd w:val="clear" w:color="auto" w:fill="F2F2F2" w:themeFill="background1" w:themeFillShade="F2"/>
            <w:noWrap/>
            <w:vAlign w:val="bottom"/>
            <w:hideMark/>
          </w:tcPr>
          <w:p w14:paraId="1B32CE4F" w14:textId="77777777" w:rsidR="007A669A" w:rsidRPr="005C7317" w:rsidRDefault="007A669A" w:rsidP="00A1600C">
            <w:pPr>
              <w:pStyle w:val="TableTextRight"/>
              <w:keepNext/>
              <w:keepLines/>
            </w:pPr>
            <w:r w:rsidRPr="005C7317">
              <w:t>459,406</w:t>
            </w:r>
          </w:p>
        </w:tc>
        <w:tc>
          <w:tcPr>
            <w:tcW w:w="739" w:type="pct"/>
            <w:tcBorders>
              <w:top w:val="nil"/>
              <w:left w:val="nil"/>
              <w:bottom w:val="nil"/>
              <w:right w:val="nil"/>
            </w:tcBorders>
            <w:shd w:val="clear" w:color="auto" w:fill="F2F2F2" w:themeFill="background1" w:themeFillShade="F2"/>
            <w:noWrap/>
            <w:vAlign w:val="bottom"/>
            <w:hideMark/>
          </w:tcPr>
          <w:p w14:paraId="0721681F" w14:textId="77777777" w:rsidR="007A669A" w:rsidRPr="005C7317" w:rsidRDefault="007A669A" w:rsidP="00A1600C">
            <w:pPr>
              <w:pStyle w:val="TableTextRight"/>
              <w:keepNext/>
              <w:keepLines/>
            </w:pPr>
            <w:r w:rsidRPr="005C7317">
              <w:t>711,860</w:t>
            </w:r>
          </w:p>
        </w:tc>
        <w:tc>
          <w:tcPr>
            <w:tcW w:w="739" w:type="pct"/>
            <w:tcBorders>
              <w:top w:val="nil"/>
              <w:left w:val="nil"/>
              <w:bottom w:val="nil"/>
              <w:right w:val="nil"/>
            </w:tcBorders>
            <w:shd w:val="clear" w:color="auto" w:fill="F2F2F2" w:themeFill="background1" w:themeFillShade="F2"/>
            <w:noWrap/>
            <w:vAlign w:val="bottom"/>
            <w:hideMark/>
          </w:tcPr>
          <w:p w14:paraId="27A42250" w14:textId="77777777" w:rsidR="007A669A" w:rsidRPr="005C7317" w:rsidRDefault="007A669A" w:rsidP="00A1600C">
            <w:pPr>
              <w:pStyle w:val="TableTextRight"/>
              <w:keepNext/>
              <w:keepLines/>
            </w:pPr>
            <w:r w:rsidRPr="005C7317">
              <w:t>39,133</w:t>
            </w:r>
          </w:p>
        </w:tc>
        <w:tc>
          <w:tcPr>
            <w:tcW w:w="735" w:type="pct"/>
            <w:tcBorders>
              <w:top w:val="nil"/>
              <w:left w:val="nil"/>
              <w:bottom w:val="nil"/>
              <w:right w:val="nil"/>
            </w:tcBorders>
            <w:shd w:val="clear" w:color="auto" w:fill="F2F2F2" w:themeFill="background1" w:themeFillShade="F2"/>
            <w:noWrap/>
            <w:vAlign w:val="bottom"/>
            <w:hideMark/>
          </w:tcPr>
          <w:p w14:paraId="5EC5219D" w14:textId="77777777" w:rsidR="007A669A" w:rsidRPr="005C7317" w:rsidRDefault="007A669A" w:rsidP="00A1600C">
            <w:pPr>
              <w:pStyle w:val="TableTextRight"/>
              <w:keepNext/>
              <w:keepLines/>
            </w:pPr>
            <w:r w:rsidRPr="005C7317">
              <w:t>10,423,617</w:t>
            </w:r>
          </w:p>
        </w:tc>
      </w:tr>
      <w:tr w:rsidR="007A669A" w:rsidRPr="005C7317" w14:paraId="2C766C7D" w14:textId="77777777" w:rsidTr="00E80550">
        <w:trPr>
          <w:trHeight w:val="255"/>
        </w:trPr>
        <w:tc>
          <w:tcPr>
            <w:tcW w:w="570" w:type="pct"/>
            <w:tcBorders>
              <w:top w:val="nil"/>
              <w:left w:val="nil"/>
              <w:bottom w:val="nil"/>
              <w:right w:val="nil"/>
            </w:tcBorders>
            <w:shd w:val="clear" w:color="000000" w:fill="FFFFFF"/>
            <w:noWrap/>
            <w:vAlign w:val="bottom"/>
            <w:hideMark/>
          </w:tcPr>
          <w:p w14:paraId="72FF1B8C" w14:textId="0F38BD72" w:rsidR="007A669A" w:rsidRPr="005C7317" w:rsidRDefault="007A669A" w:rsidP="00A1600C">
            <w:pPr>
              <w:pStyle w:val="Tabletextcentred"/>
              <w:keepNext/>
              <w:keepLines/>
            </w:pPr>
            <w:r w:rsidRPr="008664C7">
              <w:t>20</w:t>
            </w:r>
            <w:r>
              <w:t>13-</w:t>
            </w:r>
            <w:r w:rsidRPr="008664C7">
              <w:t>14</w:t>
            </w:r>
          </w:p>
        </w:tc>
        <w:tc>
          <w:tcPr>
            <w:tcW w:w="739" w:type="pct"/>
            <w:tcBorders>
              <w:top w:val="nil"/>
              <w:left w:val="nil"/>
              <w:bottom w:val="nil"/>
              <w:right w:val="nil"/>
            </w:tcBorders>
            <w:shd w:val="clear" w:color="000000" w:fill="FFFFFF"/>
            <w:noWrap/>
            <w:vAlign w:val="bottom"/>
            <w:hideMark/>
          </w:tcPr>
          <w:p w14:paraId="3FD0BEBF" w14:textId="77777777" w:rsidR="007A669A" w:rsidRPr="005C7317" w:rsidRDefault="007A669A" w:rsidP="00A1600C">
            <w:pPr>
              <w:pStyle w:val="TableTextRight"/>
              <w:keepNext/>
              <w:keepLines/>
            </w:pPr>
            <w:r w:rsidRPr="005C7317">
              <w:t>101,811</w:t>
            </w:r>
          </w:p>
        </w:tc>
        <w:tc>
          <w:tcPr>
            <w:tcW w:w="739" w:type="pct"/>
            <w:tcBorders>
              <w:top w:val="nil"/>
              <w:left w:val="nil"/>
              <w:bottom w:val="nil"/>
              <w:right w:val="nil"/>
            </w:tcBorders>
            <w:shd w:val="clear" w:color="000000" w:fill="FFFFFF"/>
            <w:noWrap/>
            <w:vAlign w:val="bottom"/>
            <w:hideMark/>
          </w:tcPr>
          <w:p w14:paraId="46328D03" w14:textId="77777777" w:rsidR="007A669A" w:rsidRPr="005C7317" w:rsidRDefault="007A669A" w:rsidP="00A1600C">
            <w:pPr>
              <w:pStyle w:val="TableTextRight"/>
              <w:keepNext/>
              <w:keepLines/>
            </w:pPr>
            <w:r w:rsidRPr="005C7317">
              <w:t>201,876</w:t>
            </w:r>
          </w:p>
        </w:tc>
        <w:tc>
          <w:tcPr>
            <w:tcW w:w="739" w:type="pct"/>
            <w:tcBorders>
              <w:top w:val="nil"/>
              <w:left w:val="nil"/>
              <w:bottom w:val="nil"/>
              <w:right w:val="nil"/>
            </w:tcBorders>
            <w:shd w:val="clear" w:color="000000" w:fill="FFFFFF"/>
            <w:noWrap/>
            <w:vAlign w:val="bottom"/>
            <w:hideMark/>
          </w:tcPr>
          <w:p w14:paraId="1C588DF3" w14:textId="77777777" w:rsidR="007A669A" w:rsidRPr="005C7317" w:rsidRDefault="007A669A" w:rsidP="00A1600C">
            <w:pPr>
              <w:pStyle w:val="TableTextRight"/>
              <w:keepNext/>
              <w:keepLines/>
            </w:pPr>
            <w:r w:rsidRPr="005C7317">
              <w:t>470,748</w:t>
            </w:r>
          </w:p>
        </w:tc>
        <w:tc>
          <w:tcPr>
            <w:tcW w:w="739" w:type="pct"/>
            <w:tcBorders>
              <w:top w:val="nil"/>
              <w:left w:val="nil"/>
              <w:bottom w:val="nil"/>
              <w:right w:val="nil"/>
            </w:tcBorders>
            <w:shd w:val="clear" w:color="000000" w:fill="FFFFFF"/>
            <w:noWrap/>
            <w:vAlign w:val="bottom"/>
            <w:hideMark/>
          </w:tcPr>
          <w:p w14:paraId="0C4A5F4C" w14:textId="77777777" w:rsidR="007A669A" w:rsidRPr="005C7317" w:rsidRDefault="007A669A" w:rsidP="00A1600C">
            <w:pPr>
              <w:pStyle w:val="TableTextRight"/>
              <w:keepNext/>
              <w:keepLines/>
            </w:pPr>
            <w:r w:rsidRPr="005C7317">
              <w:t>768,823</w:t>
            </w:r>
          </w:p>
        </w:tc>
        <w:tc>
          <w:tcPr>
            <w:tcW w:w="739" w:type="pct"/>
            <w:tcBorders>
              <w:top w:val="nil"/>
              <w:left w:val="nil"/>
              <w:bottom w:val="nil"/>
              <w:right w:val="nil"/>
            </w:tcBorders>
            <w:shd w:val="clear" w:color="000000" w:fill="FFFFFF"/>
            <w:noWrap/>
            <w:vAlign w:val="bottom"/>
            <w:hideMark/>
          </w:tcPr>
          <w:p w14:paraId="1C36AD0B" w14:textId="77777777" w:rsidR="007A669A" w:rsidRPr="005C7317" w:rsidRDefault="007A669A" w:rsidP="00A1600C">
            <w:pPr>
              <w:pStyle w:val="TableTextRight"/>
              <w:keepNext/>
              <w:keepLines/>
            </w:pPr>
            <w:r w:rsidRPr="005C7317">
              <w:t>37,123</w:t>
            </w:r>
          </w:p>
        </w:tc>
        <w:tc>
          <w:tcPr>
            <w:tcW w:w="735" w:type="pct"/>
            <w:tcBorders>
              <w:top w:val="nil"/>
              <w:left w:val="nil"/>
              <w:bottom w:val="nil"/>
              <w:right w:val="nil"/>
            </w:tcBorders>
            <w:shd w:val="clear" w:color="000000" w:fill="FFFFFF"/>
            <w:noWrap/>
            <w:vAlign w:val="bottom"/>
            <w:hideMark/>
          </w:tcPr>
          <w:p w14:paraId="78994EF1" w14:textId="77777777" w:rsidR="007A669A" w:rsidRPr="005C7317" w:rsidRDefault="007A669A" w:rsidP="00A1600C">
            <w:pPr>
              <w:pStyle w:val="TableTextRight"/>
              <w:keepNext/>
              <w:keepLines/>
            </w:pPr>
            <w:r w:rsidRPr="005C7317">
              <w:t>14,542,252</w:t>
            </w:r>
          </w:p>
        </w:tc>
      </w:tr>
      <w:tr w:rsidR="007A669A" w:rsidRPr="005C7317" w14:paraId="3B8CCEB6" w14:textId="77777777" w:rsidTr="00E80550">
        <w:trPr>
          <w:trHeight w:val="255"/>
        </w:trPr>
        <w:tc>
          <w:tcPr>
            <w:tcW w:w="570" w:type="pct"/>
            <w:tcBorders>
              <w:top w:val="nil"/>
              <w:left w:val="nil"/>
              <w:bottom w:val="single" w:sz="4" w:space="0" w:color="auto"/>
              <w:right w:val="nil"/>
            </w:tcBorders>
            <w:shd w:val="clear" w:color="auto" w:fill="F2F2F2" w:themeFill="background1" w:themeFillShade="F2"/>
            <w:noWrap/>
            <w:vAlign w:val="bottom"/>
            <w:hideMark/>
          </w:tcPr>
          <w:p w14:paraId="562CB154" w14:textId="3E639FDC" w:rsidR="007A669A" w:rsidRPr="005C7317" w:rsidRDefault="007A669A" w:rsidP="00A1600C">
            <w:pPr>
              <w:pStyle w:val="Tabletextcentred"/>
              <w:keepNext/>
              <w:keepLines/>
            </w:pPr>
            <w:r w:rsidRPr="008664C7">
              <w:t>20</w:t>
            </w:r>
            <w:r>
              <w:t>14-</w:t>
            </w:r>
            <w:r w:rsidRPr="008664C7">
              <w:t>15</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B9BCD05" w14:textId="77777777" w:rsidR="007A669A" w:rsidRPr="005C7317" w:rsidRDefault="007A669A" w:rsidP="00A1600C">
            <w:pPr>
              <w:pStyle w:val="TableTextRight"/>
              <w:keepNext/>
              <w:keepLines/>
            </w:pPr>
            <w:r w:rsidRPr="005C7317">
              <w:t>103,184</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7314E2B3" w14:textId="77777777" w:rsidR="007A669A" w:rsidRPr="005C7317" w:rsidRDefault="007A669A" w:rsidP="00A1600C">
            <w:pPr>
              <w:pStyle w:val="TableTextRight"/>
              <w:keepNext/>
              <w:keepLines/>
            </w:pPr>
            <w:r w:rsidRPr="005C7317">
              <w:t>204,324</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349DB7A" w14:textId="77777777" w:rsidR="007A669A" w:rsidRPr="005C7317" w:rsidRDefault="007A669A" w:rsidP="00A1600C">
            <w:pPr>
              <w:pStyle w:val="TableTextRight"/>
              <w:keepNext/>
              <w:keepLines/>
            </w:pPr>
            <w:r w:rsidRPr="005C7317">
              <w:t>475,926</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437580C1" w14:textId="77777777" w:rsidR="007A669A" w:rsidRPr="005C7317" w:rsidRDefault="007A669A" w:rsidP="00A1600C">
            <w:pPr>
              <w:pStyle w:val="TableTextRight"/>
              <w:keepNext/>
              <w:keepLines/>
            </w:pPr>
            <w:r w:rsidRPr="005C7317">
              <w:t>757,128</w:t>
            </w:r>
          </w:p>
        </w:tc>
        <w:tc>
          <w:tcPr>
            <w:tcW w:w="739" w:type="pct"/>
            <w:tcBorders>
              <w:top w:val="nil"/>
              <w:left w:val="nil"/>
              <w:bottom w:val="single" w:sz="4" w:space="0" w:color="auto"/>
              <w:right w:val="nil"/>
            </w:tcBorders>
            <w:shd w:val="clear" w:color="auto" w:fill="F2F2F2" w:themeFill="background1" w:themeFillShade="F2"/>
            <w:noWrap/>
            <w:vAlign w:val="bottom"/>
            <w:hideMark/>
          </w:tcPr>
          <w:p w14:paraId="0DD9571E" w14:textId="77777777" w:rsidR="007A669A" w:rsidRPr="005C7317" w:rsidRDefault="007A669A" w:rsidP="00A1600C">
            <w:pPr>
              <w:pStyle w:val="TableTextRight"/>
              <w:keepNext/>
              <w:keepLines/>
            </w:pPr>
            <w:r w:rsidRPr="005C7317">
              <w:t>39,003</w:t>
            </w:r>
          </w:p>
        </w:tc>
        <w:tc>
          <w:tcPr>
            <w:tcW w:w="735" w:type="pct"/>
            <w:tcBorders>
              <w:top w:val="nil"/>
              <w:left w:val="nil"/>
              <w:bottom w:val="single" w:sz="4" w:space="0" w:color="auto"/>
              <w:right w:val="nil"/>
            </w:tcBorders>
            <w:shd w:val="clear" w:color="auto" w:fill="F2F2F2" w:themeFill="background1" w:themeFillShade="F2"/>
            <w:noWrap/>
            <w:vAlign w:val="bottom"/>
            <w:hideMark/>
          </w:tcPr>
          <w:p w14:paraId="65EFCCB3" w14:textId="77777777" w:rsidR="007A669A" w:rsidRPr="005C7317" w:rsidRDefault="007A669A" w:rsidP="00A1600C">
            <w:pPr>
              <w:pStyle w:val="TableTextRight"/>
              <w:keepNext/>
              <w:keepLines/>
            </w:pPr>
            <w:r w:rsidRPr="005C7317">
              <w:t>13,072,094</w:t>
            </w:r>
          </w:p>
        </w:tc>
      </w:tr>
    </w:tbl>
    <w:p w14:paraId="23E2F43C" w14:textId="7423F77A" w:rsidR="00877FE2" w:rsidRDefault="00877FE2" w:rsidP="00E80550">
      <w:pPr>
        <w:pStyle w:val="ChartorTableNote"/>
        <w:spacing w:after="0"/>
      </w:pPr>
      <w:r w:rsidRPr="00A25BFA">
        <w:t>Source: BLADE.</w:t>
      </w:r>
    </w:p>
    <w:p w14:paraId="7F77FE64" w14:textId="77777777" w:rsidR="00E80550" w:rsidRDefault="00E80550" w:rsidP="00E80550">
      <w:pPr>
        <w:rPr>
          <w:lang w:eastAsia="en-AU"/>
        </w:rPr>
      </w:pPr>
    </w:p>
    <w:p w14:paraId="39674A79" w14:textId="77777777" w:rsidR="00E80550" w:rsidRDefault="00E80550" w:rsidP="00E80550">
      <w:pPr>
        <w:rPr>
          <w:lang w:eastAsia="en-AU"/>
        </w:rPr>
      </w:pPr>
    </w:p>
    <w:p w14:paraId="4AA0DF72" w14:textId="77777777" w:rsidR="00E80550" w:rsidRDefault="00E80550" w:rsidP="00E80550">
      <w:pPr>
        <w:rPr>
          <w:lang w:eastAsia="en-AU"/>
        </w:rPr>
      </w:pPr>
    </w:p>
    <w:p w14:paraId="204BD50C" w14:textId="77777777" w:rsidR="00E80550" w:rsidRDefault="00E80550" w:rsidP="00E80550">
      <w:pPr>
        <w:rPr>
          <w:lang w:eastAsia="en-AU"/>
        </w:rPr>
        <w:sectPr w:rsidR="00E80550" w:rsidSect="00D22AF2">
          <w:pgSz w:w="11906" w:h="16838" w:code="9"/>
          <w:pgMar w:top="1418" w:right="1304" w:bottom="1418" w:left="1304" w:header="567" w:footer="567" w:gutter="0"/>
          <w:cols w:space="708"/>
          <w:titlePg/>
          <w:docGrid w:linePitch="360"/>
        </w:sectPr>
      </w:pPr>
    </w:p>
    <w:p w14:paraId="25812385" w14:textId="77777777" w:rsidR="00222F39" w:rsidRDefault="00222F39" w:rsidP="00222F39">
      <w:pPr>
        <w:pStyle w:val="AppendixHeadingLevel2NotNumbered"/>
      </w:pPr>
      <w:bookmarkStart w:id="15" w:name="_Toc509306069"/>
      <w:r>
        <w:lastRenderedPageBreak/>
        <w:t>Appendix C</w:t>
      </w:r>
      <w:bookmarkEnd w:id="15"/>
    </w:p>
    <w:p w14:paraId="7DAEEC4B" w14:textId="007C40B6" w:rsidR="00504851" w:rsidRDefault="00504851" w:rsidP="00F12EE0">
      <w:pPr>
        <w:pStyle w:val="TableMainHeading"/>
      </w:pPr>
      <w:r w:rsidRPr="00222F39">
        <w:t xml:space="preserve">Table C1: t-statistics for bunching </w:t>
      </w:r>
      <w:r>
        <w:t xml:space="preserve">tests </w:t>
      </w:r>
      <w:r w:rsidRPr="00222F39">
        <w:t>near threshold</w:t>
      </w:r>
      <w:r>
        <w:t xml:space="preserve"> – 2001-02 to 2007-08</w:t>
      </w:r>
    </w:p>
    <w:tbl>
      <w:tblPr>
        <w:tblW w:w="5000" w:type="pct"/>
        <w:tblLook w:val="04A0" w:firstRow="1" w:lastRow="0" w:firstColumn="1" w:lastColumn="0" w:noHBand="0" w:noVBand="1"/>
      </w:tblPr>
      <w:tblGrid>
        <w:gridCol w:w="1960"/>
        <w:gridCol w:w="1080"/>
        <w:gridCol w:w="1079"/>
        <w:gridCol w:w="1079"/>
        <w:gridCol w:w="1079"/>
        <w:gridCol w:w="1079"/>
        <w:gridCol w:w="1079"/>
        <w:gridCol w:w="1079"/>
      </w:tblGrid>
      <w:tr w:rsidR="00B33DC9" w:rsidRPr="00222F39" w14:paraId="3BFEF646" w14:textId="77777777" w:rsidTr="004272FE">
        <w:trPr>
          <w:trHeight w:val="300"/>
        </w:trPr>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39CB3EB0" w14:textId="77777777" w:rsidR="00504851" w:rsidRPr="00222F39" w:rsidRDefault="00504851" w:rsidP="00B33DC9">
            <w:pPr>
              <w:pStyle w:val="TableColumnHeadingLeft"/>
              <w:spacing w:before="50" w:after="50"/>
            </w:pPr>
            <w:r w:rsidRPr="00222F39">
              <w:t>State</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4530C519" w14:textId="0AA5A267" w:rsidR="00504851" w:rsidRPr="00222F39" w:rsidRDefault="00F12EE0" w:rsidP="00B33DC9">
            <w:pPr>
              <w:pStyle w:val="TableColumnHeadingCentred"/>
              <w:spacing w:before="50" w:after="50"/>
            </w:pPr>
            <w:r>
              <w:t>2001–</w:t>
            </w:r>
            <w:r w:rsidR="00504851" w:rsidRPr="00222F39">
              <w:t>02</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7B06293E" w14:textId="0C76148A" w:rsidR="00504851" w:rsidRPr="00222F39" w:rsidRDefault="00F12EE0" w:rsidP="00B33DC9">
            <w:pPr>
              <w:pStyle w:val="TableColumnHeadingCentred"/>
              <w:spacing w:before="50" w:after="50"/>
            </w:pPr>
            <w:r>
              <w:t>2002–</w:t>
            </w:r>
            <w:r w:rsidR="00504851" w:rsidRPr="00222F39">
              <w:t>03</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36693592" w14:textId="3E8E9097" w:rsidR="00504851" w:rsidRPr="00222F39" w:rsidRDefault="00F12EE0" w:rsidP="00B33DC9">
            <w:pPr>
              <w:pStyle w:val="TableColumnHeadingCentred"/>
              <w:spacing w:before="50" w:after="50"/>
            </w:pPr>
            <w:r>
              <w:t>2003–</w:t>
            </w:r>
            <w:r w:rsidR="00504851" w:rsidRPr="00222F39">
              <w:t>04</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7D38FA3A" w14:textId="517DE4EA" w:rsidR="00504851" w:rsidRPr="00222F39" w:rsidRDefault="00F12EE0" w:rsidP="00B33DC9">
            <w:pPr>
              <w:pStyle w:val="TableColumnHeadingCentred"/>
              <w:spacing w:before="50" w:after="50"/>
            </w:pPr>
            <w:r>
              <w:t>2004–</w:t>
            </w:r>
            <w:r w:rsidR="00504851" w:rsidRPr="00222F39">
              <w:t>05</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0DE47B42" w14:textId="0CF9FAB3" w:rsidR="00504851" w:rsidRPr="00222F39" w:rsidRDefault="00F12EE0" w:rsidP="00B33DC9">
            <w:pPr>
              <w:pStyle w:val="TableColumnHeadingCentred"/>
              <w:spacing w:before="50" w:after="50"/>
            </w:pPr>
            <w:r>
              <w:t>2005–</w:t>
            </w:r>
            <w:r w:rsidR="00504851" w:rsidRPr="00222F39">
              <w:t>06</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115953F1" w14:textId="0B92ED6A" w:rsidR="00504851" w:rsidRPr="00222F39" w:rsidRDefault="00F12EE0" w:rsidP="00B33DC9">
            <w:pPr>
              <w:pStyle w:val="TableColumnHeadingCentred"/>
              <w:spacing w:before="50" w:after="50"/>
            </w:pPr>
            <w:r>
              <w:t>2006–</w:t>
            </w:r>
            <w:r w:rsidR="00504851" w:rsidRPr="00222F39">
              <w:t>07</w:t>
            </w:r>
          </w:p>
        </w:tc>
        <w:tc>
          <w:tcPr>
            <w:tcW w:w="0" w:type="auto"/>
            <w:tcBorders>
              <w:top w:val="single" w:sz="4" w:space="0" w:color="auto"/>
              <w:left w:val="nil"/>
              <w:bottom w:val="single" w:sz="4" w:space="0" w:color="auto"/>
              <w:right w:val="nil"/>
            </w:tcBorders>
            <w:shd w:val="clear" w:color="auto" w:fill="C6D9F1" w:themeFill="text2" w:themeFillTint="33"/>
            <w:noWrap/>
            <w:vAlign w:val="bottom"/>
            <w:hideMark/>
          </w:tcPr>
          <w:p w14:paraId="2AF60A89" w14:textId="38538F2C" w:rsidR="00504851" w:rsidRPr="00222F39" w:rsidRDefault="00F12EE0" w:rsidP="00B33DC9">
            <w:pPr>
              <w:pStyle w:val="TableColumnHeadingCentred"/>
              <w:spacing w:before="50" w:after="50"/>
            </w:pPr>
            <w:r>
              <w:t>2007–</w:t>
            </w:r>
            <w:r w:rsidR="00504851" w:rsidRPr="00222F39">
              <w:t>08</w:t>
            </w:r>
          </w:p>
        </w:tc>
      </w:tr>
      <w:tr w:rsidR="00B33DC9" w:rsidRPr="00222F39" w14:paraId="0DA78B3A" w14:textId="77777777" w:rsidTr="004272FE">
        <w:trPr>
          <w:trHeight w:val="300"/>
        </w:trPr>
        <w:tc>
          <w:tcPr>
            <w:tcW w:w="0" w:type="auto"/>
            <w:tcBorders>
              <w:top w:val="single" w:sz="4" w:space="0" w:color="auto"/>
              <w:left w:val="nil"/>
              <w:bottom w:val="nil"/>
              <w:right w:val="nil"/>
            </w:tcBorders>
            <w:shd w:val="clear" w:color="000000" w:fill="FFFFFF"/>
            <w:vAlign w:val="center"/>
            <w:hideMark/>
          </w:tcPr>
          <w:p w14:paraId="3F3AA05D" w14:textId="77777777" w:rsidR="00504851" w:rsidRPr="00222F39" w:rsidRDefault="00504851" w:rsidP="00B33DC9">
            <w:pPr>
              <w:pStyle w:val="Tabletextleft0"/>
              <w:spacing w:before="50" w:after="50"/>
            </w:pPr>
            <w:r w:rsidRPr="00222F39">
              <w:t>New South Wales</w:t>
            </w:r>
          </w:p>
        </w:tc>
        <w:tc>
          <w:tcPr>
            <w:tcW w:w="0" w:type="auto"/>
            <w:tcBorders>
              <w:top w:val="single" w:sz="4" w:space="0" w:color="auto"/>
              <w:left w:val="nil"/>
              <w:bottom w:val="nil"/>
              <w:right w:val="nil"/>
            </w:tcBorders>
            <w:shd w:val="clear" w:color="000000" w:fill="FFFFFF"/>
            <w:noWrap/>
            <w:vAlign w:val="center"/>
            <w:hideMark/>
          </w:tcPr>
          <w:p w14:paraId="4726EDD2" w14:textId="77777777" w:rsidR="00504851" w:rsidRPr="00222F39" w:rsidRDefault="00504851" w:rsidP="00B33DC9">
            <w:pPr>
              <w:pStyle w:val="Tabletextcentred"/>
              <w:spacing w:before="50" w:after="50"/>
            </w:pPr>
            <w:r w:rsidRPr="00222F39">
              <w:t>1.1676</w:t>
            </w:r>
          </w:p>
        </w:tc>
        <w:tc>
          <w:tcPr>
            <w:tcW w:w="0" w:type="auto"/>
            <w:tcBorders>
              <w:top w:val="single" w:sz="4" w:space="0" w:color="auto"/>
              <w:left w:val="nil"/>
              <w:bottom w:val="nil"/>
              <w:right w:val="nil"/>
            </w:tcBorders>
            <w:shd w:val="clear" w:color="000000" w:fill="FFFFFF"/>
            <w:noWrap/>
            <w:vAlign w:val="center"/>
            <w:hideMark/>
          </w:tcPr>
          <w:p w14:paraId="3B7E698E" w14:textId="77777777" w:rsidR="00504851" w:rsidRPr="00222F39" w:rsidRDefault="00504851" w:rsidP="00B33DC9">
            <w:pPr>
              <w:pStyle w:val="Tabletextcentred"/>
              <w:spacing w:before="50" w:after="50"/>
            </w:pPr>
            <w:r w:rsidRPr="00222F39">
              <w:t>0.2881</w:t>
            </w:r>
          </w:p>
        </w:tc>
        <w:tc>
          <w:tcPr>
            <w:tcW w:w="0" w:type="auto"/>
            <w:tcBorders>
              <w:top w:val="single" w:sz="4" w:space="0" w:color="auto"/>
              <w:left w:val="nil"/>
              <w:bottom w:val="nil"/>
              <w:right w:val="nil"/>
            </w:tcBorders>
            <w:shd w:val="clear" w:color="000000" w:fill="FFFFFF"/>
            <w:noWrap/>
            <w:vAlign w:val="center"/>
            <w:hideMark/>
          </w:tcPr>
          <w:p w14:paraId="7BA4455F" w14:textId="77777777" w:rsidR="00504851" w:rsidRPr="00222F39" w:rsidRDefault="00504851" w:rsidP="00B33DC9">
            <w:pPr>
              <w:pStyle w:val="Tabletextcentred"/>
              <w:spacing w:before="50" w:after="50"/>
            </w:pPr>
            <w:r w:rsidRPr="00222F39">
              <w:t>-0.1252</w:t>
            </w:r>
          </w:p>
        </w:tc>
        <w:tc>
          <w:tcPr>
            <w:tcW w:w="0" w:type="auto"/>
            <w:tcBorders>
              <w:top w:val="single" w:sz="4" w:space="0" w:color="auto"/>
              <w:left w:val="nil"/>
              <w:bottom w:val="nil"/>
              <w:right w:val="nil"/>
            </w:tcBorders>
            <w:shd w:val="clear" w:color="000000" w:fill="FFFFFF"/>
            <w:noWrap/>
            <w:vAlign w:val="center"/>
            <w:hideMark/>
          </w:tcPr>
          <w:p w14:paraId="68065714" w14:textId="77777777" w:rsidR="00504851" w:rsidRPr="00222F39" w:rsidRDefault="00504851" w:rsidP="00B33DC9">
            <w:pPr>
              <w:pStyle w:val="Tabletextcentred"/>
              <w:spacing w:before="50" w:after="50"/>
            </w:pPr>
            <w:r w:rsidRPr="00222F39">
              <w:t>0.3148</w:t>
            </w:r>
          </w:p>
        </w:tc>
        <w:tc>
          <w:tcPr>
            <w:tcW w:w="0" w:type="auto"/>
            <w:tcBorders>
              <w:top w:val="single" w:sz="4" w:space="0" w:color="auto"/>
              <w:left w:val="nil"/>
              <w:bottom w:val="nil"/>
              <w:right w:val="nil"/>
            </w:tcBorders>
            <w:shd w:val="clear" w:color="000000" w:fill="FFFFFF"/>
            <w:noWrap/>
            <w:vAlign w:val="center"/>
            <w:hideMark/>
          </w:tcPr>
          <w:p w14:paraId="564786FC" w14:textId="77777777" w:rsidR="00504851" w:rsidRPr="00222F39" w:rsidRDefault="00504851" w:rsidP="00B33DC9">
            <w:pPr>
              <w:pStyle w:val="Tabletextcentred"/>
              <w:spacing w:before="50" w:after="50"/>
            </w:pPr>
            <w:r w:rsidRPr="00222F39">
              <w:t>1.578</w:t>
            </w:r>
          </w:p>
        </w:tc>
        <w:tc>
          <w:tcPr>
            <w:tcW w:w="0" w:type="auto"/>
            <w:tcBorders>
              <w:top w:val="single" w:sz="4" w:space="0" w:color="auto"/>
              <w:left w:val="nil"/>
              <w:bottom w:val="nil"/>
              <w:right w:val="nil"/>
            </w:tcBorders>
            <w:shd w:val="clear" w:color="000000" w:fill="FFFFFF"/>
            <w:noWrap/>
            <w:vAlign w:val="center"/>
            <w:hideMark/>
          </w:tcPr>
          <w:p w14:paraId="111260E5" w14:textId="77777777" w:rsidR="00504851" w:rsidRPr="00222F39" w:rsidRDefault="00504851" w:rsidP="00B33DC9">
            <w:pPr>
              <w:pStyle w:val="Tabletextcentred"/>
              <w:spacing w:before="50" w:after="50"/>
            </w:pPr>
            <w:r w:rsidRPr="00222F39">
              <w:t>-0.2271</w:t>
            </w:r>
          </w:p>
        </w:tc>
        <w:tc>
          <w:tcPr>
            <w:tcW w:w="0" w:type="auto"/>
            <w:tcBorders>
              <w:top w:val="single" w:sz="4" w:space="0" w:color="auto"/>
              <w:left w:val="nil"/>
              <w:bottom w:val="nil"/>
              <w:right w:val="nil"/>
            </w:tcBorders>
            <w:shd w:val="clear" w:color="000000" w:fill="FFFFFF"/>
            <w:noWrap/>
            <w:vAlign w:val="center"/>
            <w:hideMark/>
          </w:tcPr>
          <w:p w14:paraId="091BE186" w14:textId="77777777" w:rsidR="00504851" w:rsidRPr="00222F39" w:rsidRDefault="00504851" w:rsidP="00B33DC9">
            <w:pPr>
              <w:pStyle w:val="Tabletextcentred"/>
              <w:spacing w:before="50" w:after="50"/>
            </w:pPr>
            <w:r w:rsidRPr="00222F39">
              <w:t>-2.6061</w:t>
            </w:r>
          </w:p>
        </w:tc>
      </w:tr>
      <w:tr w:rsidR="00B33DC9" w:rsidRPr="00222F39" w14:paraId="273DCBB8" w14:textId="77777777" w:rsidTr="004272FE">
        <w:trPr>
          <w:trHeight w:val="300"/>
        </w:trPr>
        <w:tc>
          <w:tcPr>
            <w:tcW w:w="0" w:type="auto"/>
            <w:tcBorders>
              <w:top w:val="nil"/>
              <w:left w:val="nil"/>
              <w:bottom w:val="nil"/>
              <w:right w:val="nil"/>
            </w:tcBorders>
            <w:shd w:val="clear" w:color="auto" w:fill="F2F2F2" w:themeFill="background1" w:themeFillShade="F2"/>
            <w:vAlign w:val="center"/>
            <w:hideMark/>
          </w:tcPr>
          <w:p w14:paraId="6F94F6BA" w14:textId="77777777" w:rsidR="00504851" w:rsidRPr="00222F39" w:rsidRDefault="00504851" w:rsidP="00B33DC9">
            <w:pPr>
              <w:pStyle w:val="Tabletextleft0"/>
              <w:spacing w:before="50" w:after="50"/>
            </w:pPr>
            <w:r w:rsidRPr="00222F39">
              <w:t>Northern Territory</w:t>
            </w:r>
          </w:p>
        </w:tc>
        <w:tc>
          <w:tcPr>
            <w:tcW w:w="0" w:type="auto"/>
            <w:tcBorders>
              <w:top w:val="nil"/>
              <w:left w:val="nil"/>
              <w:bottom w:val="nil"/>
              <w:right w:val="nil"/>
            </w:tcBorders>
            <w:shd w:val="clear" w:color="auto" w:fill="F2F2F2" w:themeFill="background1" w:themeFillShade="F2"/>
            <w:noWrap/>
            <w:vAlign w:val="center"/>
            <w:hideMark/>
          </w:tcPr>
          <w:p w14:paraId="40CA226D" w14:textId="77777777" w:rsidR="00504851" w:rsidRPr="00222F39" w:rsidRDefault="00504851" w:rsidP="00B33DC9">
            <w:pPr>
              <w:pStyle w:val="Tabletextcentred"/>
              <w:spacing w:before="50" w:after="50"/>
            </w:pPr>
            <w:r w:rsidRPr="00222F39">
              <w:t>-0.4188</w:t>
            </w:r>
          </w:p>
        </w:tc>
        <w:tc>
          <w:tcPr>
            <w:tcW w:w="0" w:type="auto"/>
            <w:tcBorders>
              <w:top w:val="nil"/>
              <w:left w:val="nil"/>
              <w:bottom w:val="nil"/>
              <w:right w:val="nil"/>
            </w:tcBorders>
            <w:shd w:val="clear" w:color="auto" w:fill="F2F2F2" w:themeFill="background1" w:themeFillShade="F2"/>
            <w:noWrap/>
            <w:vAlign w:val="center"/>
            <w:hideMark/>
          </w:tcPr>
          <w:p w14:paraId="259775CF" w14:textId="77777777" w:rsidR="00504851" w:rsidRPr="00222F39" w:rsidRDefault="00504851" w:rsidP="00B33DC9">
            <w:pPr>
              <w:pStyle w:val="Tabletextcentred"/>
              <w:spacing w:before="50" w:after="50"/>
            </w:pPr>
            <w:r w:rsidRPr="00222F39">
              <w:t>-0.9621</w:t>
            </w:r>
          </w:p>
        </w:tc>
        <w:tc>
          <w:tcPr>
            <w:tcW w:w="0" w:type="auto"/>
            <w:tcBorders>
              <w:top w:val="nil"/>
              <w:left w:val="nil"/>
              <w:bottom w:val="nil"/>
              <w:right w:val="nil"/>
            </w:tcBorders>
            <w:shd w:val="clear" w:color="auto" w:fill="F2F2F2" w:themeFill="background1" w:themeFillShade="F2"/>
            <w:noWrap/>
            <w:vAlign w:val="center"/>
            <w:hideMark/>
          </w:tcPr>
          <w:p w14:paraId="3E8F413E" w14:textId="77777777" w:rsidR="00504851" w:rsidRPr="00222F39" w:rsidRDefault="00504851" w:rsidP="00B33DC9">
            <w:pPr>
              <w:pStyle w:val="Tabletextcentred"/>
              <w:spacing w:before="50" w:after="50"/>
            </w:pPr>
            <w:r w:rsidRPr="00222F39">
              <w:t>0.4742</w:t>
            </w:r>
          </w:p>
        </w:tc>
        <w:tc>
          <w:tcPr>
            <w:tcW w:w="0" w:type="auto"/>
            <w:tcBorders>
              <w:top w:val="nil"/>
              <w:left w:val="nil"/>
              <w:bottom w:val="nil"/>
              <w:right w:val="nil"/>
            </w:tcBorders>
            <w:shd w:val="clear" w:color="auto" w:fill="F2F2F2" w:themeFill="background1" w:themeFillShade="F2"/>
            <w:noWrap/>
            <w:vAlign w:val="center"/>
            <w:hideMark/>
          </w:tcPr>
          <w:p w14:paraId="18C6C676" w14:textId="77777777" w:rsidR="00504851" w:rsidRPr="00222F39" w:rsidRDefault="00504851" w:rsidP="00B33DC9">
            <w:pPr>
              <w:pStyle w:val="Tabletextcentred"/>
              <w:spacing w:before="50" w:after="50"/>
            </w:pPr>
            <w:r w:rsidRPr="00222F39">
              <w:t>N/A</w:t>
            </w:r>
          </w:p>
        </w:tc>
        <w:tc>
          <w:tcPr>
            <w:tcW w:w="0" w:type="auto"/>
            <w:tcBorders>
              <w:top w:val="nil"/>
              <w:left w:val="nil"/>
              <w:bottom w:val="nil"/>
              <w:right w:val="nil"/>
            </w:tcBorders>
            <w:shd w:val="clear" w:color="auto" w:fill="F2F2F2" w:themeFill="background1" w:themeFillShade="F2"/>
            <w:noWrap/>
            <w:vAlign w:val="center"/>
            <w:hideMark/>
          </w:tcPr>
          <w:p w14:paraId="1CB855AA" w14:textId="77777777" w:rsidR="00504851" w:rsidRPr="00222F39" w:rsidRDefault="00504851" w:rsidP="00B33DC9">
            <w:pPr>
              <w:pStyle w:val="Tabletextcentred"/>
              <w:spacing w:before="50" w:after="50"/>
            </w:pPr>
            <w:r w:rsidRPr="00222F39">
              <w:t>N/A</w:t>
            </w:r>
          </w:p>
        </w:tc>
        <w:tc>
          <w:tcPr>
            <w:tcW w:w="0" w:type="auto"/>
            <w:tcBorders>
              <w:top w:val="nil"/>
              <w:left w:val="nil"/>
              <w:bottom w:val="nil"/>
              <w:right w:val="nil"/>
            </w:tcBorders>
            <w:shd w:val="clear" w:color="auto" w:fill="F2F2F2" w:themeFill="background1" w:themeFillShade="F2"/>
            <w:noWrap/>
            <w:vAlign w:val="center"/>
            <w:hideMark/>
          </w:tcPr>
          <w:p w14:paraId="66BB2875" w14:textId="77777777" w:rsidR="00504851" w:rsidRPr="00222F39" w:rsidRDefault="00504851" w:rsidP="00B33DC9">
            <w:pPr>
              <w:pStyle w:val="Tabletextcentred"/>
              <w:spacing w:before="50" w:after="50"/>
            </w:pPr>
            <w:r w:rsidRPr="00222F39">
              <w:t>-0.8357</w:t>
            </w:r>
          </w:p>
        </w:tc>
        <w:tc>
          <w:tcPr>
            <w:tcW w:w="0" w:type="auto"/>
            <w:tcBorders>
              <w:top w:val="nil"/>
              <w:left w:val="nil"/>
              <w:bottom w:val="nil"/>
              <w:right w:val="nil"/>
            </w:tcBorders>
            <w:shd w:val="clear" w:color="auto" w:fill="F2F2F2" w:themeFill="background1" w:themeFillShade="F2"/>
            <w:noWrap/>
            <w:vAlign w:val="center"/>
            <w:hideMark/>
          </w:tcPr>
          <w:p w14:paraId="350BF835" w14:textId="77777777" w:rsidR="00504851" w:rsidRPr="00222F39" w:rsidRDefault="00504851" w:rsidP="00B33DC9">
            <w:pPr>
              <w:pStyle w:val="Tabletextcentred"/>
              <w:spacing w:before="50" w:after="50"/>
            </w:pPr>
            <w:r w:rsidRPr="00222F39">
              <w:t>1.2029</w:t>
            </w:r>
          </w:p>
        </w:tc>
      </w:tr>
      <w:tr w:rsidR="00B33DC9" w:rsidRPr="00222F39" w14:paraId="4E534311" w14:textId="77777777" w:rsidTr="004272FE">
        <w:trPr>
          <w:trHeight w:val="300"/>
        </w:trPr>
        <w:tc>
          <w:tcPr>
            <w:tcW w:w="0" w:type="auto"/>
            <w:tcBorders>
              <w:top w:val="nil"/>
              <w:left w:val="nil"/>
              <w:bottom w:val="nil"/>
              <w:right w:val="nil"/>
            </w:tcBorders>
            <w:shd w:val="clear" w:color="000000" w:fill="FFFFFF"/>
            <w:vAlign w:val="center"/>
            <w:hideMark/>
          </w:tcPr>
          <w:p w14:paraId="08BD09BE" w14:textId="77777777" w:rsidR="00504851" w:rsidRPr="00222F39" w:rsidRDefault="00504851" w:rsidP="00B33DC9">
            <w:pPr>
              <w:pStyle w:val="Tabletextleft0"/>
              <w:spacing w:before="50" w:after="50"/>
            </w:pPr>
            <w:r w:rsidRPr="00222F39">
              <w:t>Queensland</w:t>
            </w:r>
          </w:p>
        </w:tc>
        <w:tc>
          <w:tcPr>
            <w:tcW w:w="0" w:type="auto"/>
            <w:tcBorders>
              <w:top w:val="nil"/>
              <w:left w:val="nil"/>
              <w:bottom w:val="nil"/>
              <w:right w:val="nil"/>
            </w:tcBorders>
            <w:shd w:val="clear" w:color="000000" w:fill="FFFFFF"/>
            <w:noWrap/>
            <w:vAlign w:val="center"/>
            <w:hideMark/>
          </w:tcPr>
          <w:p w14:paraId="572B84D4" w14:textId="77777777" w:rsidR="00504851" w:rsidRPr="00222F39" w:rsidRDefault="00504851" w:rsidP="00B33DC9">
            <w:pPr>
              <w:pStyle w:val="Tabletextcentred"/>
              <w:spacing w:before="50" w:after="50"/>
            </w:pPr>
            <w:r w:rsidRPr="00222F39">
              <w:t>-1.0859</w:t>
            </w:r>
          </w:p>
        </w:tc>
        <w:tc>
          <w:tcPr>
            <w:tcW w:w="0" w:type="auto"/>
            <w:tcBorders>
              <w:top w:val="nil"/>
              <w:left w:val="nil"/>
              <w:bottom w:val="nil"/>
              <w:right w:val="nil"/>
            </w:tcBorders>
            <w:shd w:val="clear" w:color="000000" w:fill="FFFFFF"/>
            <w:noWrap/>
            <w:vAlign w:val="center"/>
            <w:hideMark/>
          </w:tcPr>
          <w:p w14:paraId="3B93ABCE" w14:textId="77777777" w:rsidR="00504851" w:rsidRPr="00222F39" w:rsidRDefault="00504851" w:rsidP="00B33DC9">
            <w:pPr>
              <w:pStyle w:val="Tabletextcentred"/>
              <w:spacing w:before="50" w:after="50"/>
            </w:pPr>
            <w:r w:rsidRPr="00222F39">
              <w:t>-0.3516</w:t>
            </w:r>
          </w:p>
        </w:tc>
        <w:tc>
          <w:tcPr>
            <w:tcW w:w="0" w:type="auto"/>
            <w:tcBorders>
              <w:top w:val="nil"/>
              <w:left w:val="nil"/>
              <w:bottom w:val="nil"/>
              <w:right w:val="nil"/>
            </w:tcBorders>
            <w:shd w:val="clear" w:color="000000" w:fill="FFFFFF"/>
            <w:noWrap/>
            <w:vAlign w:val="center"/>
            <w:hideMark/>
          </w:tcPr>
          <w:p w14:paraId="2B32E22B" w14:textId="77777777" w:rsidR="00504851" w:rsidRPr="00222F39" w:rsidRDefault="00504851" w:rsidP="00B33DC9">
            <w:pPr>
              <w:pStyle w:val="Tabletextcentred"/>
              <w:spacing w:before="50" w:after="50"/>
            </w:pPr>
            <w:r w:rsidRPr="00222F39">
              <w:t>0.2848</w:t>
            </w:r>
          </w:p>
        </w:tc>
        <w:tc>
          <w:tcPr>
            <w:tcW w:w="0" w:type="auto"/>
            <w:tcBorders>
              <w:top w:val="nil"/>
              <w:left w:val="nil"/>
              <w:bottom w:val="nil"/>
              <w:right w:val="nil"/>
            </w:tcBorders>
            <w:shd w:val="clear" w:color="000000" w:fill="FFFFFF"/>
            <w:noWrap/>
            <w:vAlign w:val="center"/>
            <w:hideMark/>
          </w:tcPr>
          <w:p w14:paraId="5A1B476A" w14:textId="77777777" w:rsidR="00504851" w:rsidRPr="00222F39" w:rsidRDefault="00504851" w:rsidP="00B33DC9">
            <w:pPr>
              <w:pStyle w:val="Tabletextcentred"/>
              <w:spacing w:before="50" w:after="50"/>
            </w:pPr>
            <w:r w:rsidRPr="00222F39">
              <w:t>-1.6433</w:t>
            </w:r>
          </w:p>
        </w:tc>
        <w:tc>
          <w:tcPr>
            <w:tcW w:w="0" w:type="auto"/>
            <w:tcBorders>
              <w:top w:val="nil"/>
              <w:left w:val="nil"/>
              <w:bottom w:val="nil"/>
              <w:right w:val="nil"/>
            </w:tcBorders>
            <w:shd w:val="clear" w:color="000000" w:fill="FFFFFF"/>
            <w:noWrap/>
            <w:vAlign w:val="center"/>
            <w:hideMark/>
          </w:tcPr>
          <w:p w14:paraId="638F8566" w14:textId="77777777" w:rsidR="00504851" w:rsidRPr="00222F39" w:rsidRDefault="00504851" w:rsidP="00B33DC9">
            <w:pPr>
              <w:pStyle w:val="Tabletextcentred"/>
              <w:spacing w:before="50" w:after="50"/>
            </w:pPr>
            <w:r w:rsidRPr="00222F39">
              <w:t>1.1571</w:t>
            </w:r>
          </w:p>
        </w:tc>
        <w:tc>
          <w:tcPr>
            <w:tcW w:w="0" w:type="auto"/>
            <w:tcBorders>
              <w:top w:val="nil"/>
              <w:left w:val="nil"/>
              <w:bottom w:val="nil"/>
              <w:right w:val="nil"/>
            </w:tcBorders>
            <w:shd w:val="clear" w:color="000000" w:fill="FFFFFF"/>
            <w:noWrap/>
            <w:vAlign w:val="center"/>
            <w:hideMark/>
          </w:tcPr>
          <w:p w14:paraId="13FD765F" w14:textId="77777777" w:rsidR="00504851" w:rsidRPr="00222F39" w:rsidRDefault="00504851" w:rsidP="00B33DC9">
            <w:pPr>
              <w:pStyle w:val="Tabletextcentred"/>
              <w:spacing w:before="50" w:after="50"/>
            </w:pPr>
            <w:r w:rsidRPr="00222F39">
              <w:t>-0.3708</w:t>
            </w:r>
          </w:p>
        </w:tc>
        <w:tc>
          <w:tcPr>
            <w:tcW w:w="0" w:type="auto"/>
            <w:tcBorders>
              <w:top w:val="nil"/>
              <w:left w:val="nil"/>
              <w:bottom w:val="nil"/>
              <w:right w:val="nil"/>
            </w:tcBorders>
            <w:shd w:val="clear" w:color="000000" w:fill="FFFFFF"/>
            <w:noWrap/>
            <w:vAlign w:val="center"/>
            <w:hideMark/>
          </w:tcPr>
          <w:p w14:paraId="7DB2C598" w14:textId="77777777" w:rsidR="00504851" w:rsidRPr="00222F39" w:rsidRDefault="00504851" w:rsidP="00B33DC9">
            <w:pPr>
              <w:pStyle w:val="Tabletextcentred"/>
              <w:spacing w:before="50" w:after="50"/>
            </w:pPr>
            <w:r w:rsidRPr="00222F39">
              <w:t>0.6796</w:t>
            </w:r>
          </w:p>
        </w:tc>
      </w:tr>
      <w:tr w:rsidR="00B33DC9" w:rsidRPr="00222F39" w14:paraId="28FB3A1B" w14:textId="77777777" w:rsidTr="004272FE">
        <w:trPr>
          <w:trHeight w:val="300"/>
        </w:trPr>
        <w:tc>
          <w:tcPr>
            <w:tcW w:w="0" w:type="auto"/>
            <w:tcBorders>
              <w:top w:val="nil"/>
              <w:left w:val="nil"/>
              <w:bottom w:val="nil"/>
              <w:right w:val="nil"/>
            </w:tcBorders>
            <w:shd w:val="clear" w:color="auto" w:fill="F2F2F2" w:themeFill="background1" w:themeFillShade="F2"/>
            <w:vAlign w:val="center"/>
            <w:hideMark/>
          </w:tcPr>
          <w:p w14:paraId="6B40BDC3" w14:textId="77777777" w:rsidR="00504851" w:rsidRPr="00222F39" w:rsidRDefault="00504851" w:rsidP="00B33DC9">
            <w:pPr>
              <w:pStyle w:val="Tabletextleft0"/>
              <w:spacing w:before="50" w:after="50"/>
            </w:pPr>
            <w:r w:rsidRPr="00222F39">
              <w:t>South Australia</w:t>
            </w:r>
          </w:p>
        </w:tc>
        <w:tc>
          <w:tcPr>
            <w:tcW w:w="0" w:type="auto"/>
            <w:tcBorders>
              <w:top w:val="nil"/>
              <w:left w:val="nil"/>
              <w:bottom w:val="nil"/>
              <w:right w:val="nil"/>
            </w:tcBorders>
            <w:shd w:val="clear" w:color="auto" w:fill="F2F2F2" w:themeFill="background1" w:themeFillShade="F2"/>
            <w:noWrap/>
            <w:vAlign w:val="center"/>
            <w:hideMark/>
          </w:tcPr>
          <w:p w14:paraId="2DBCD2D5" w14:textId="77777777" w:rsidR="00504851" w:rsidRPr="00222F39" w:rsidRDefault="00504851" w:rsidP="00B33DC9">
            <w:pPr>
              <w:pStyle w:val="Tabletextcentred"/>
              <w:spacing w:before="50" w:after="50"/>
            </w:pPr>
            <w:r w:rsidRPr="00222F39">
              <w:t>0.8433</w:t>
            </w:r>
          </w:p>
        </w:tc>
        <w:tc>
          <w:tcPr>
            <w:tcW w:w="0" w:type="auto"/>
            <w:tcBorders>
              <w:top w:val="nil"/>
              <w:left w:val="nil"/>
              <w:bottom w:val="nil"/>
              <w:right w:val="nil"/>
            </w:tcBorders>
            <w:shd w:val="clear" w:color="auto" w:fill="F2F2F2" w:themeFill="background1" w:themeFillShade="F2"/>
            <w:noWrap/>
            <w:vAlign w:val="center"/>
            <w:hideMark/>
          </w:tcPr>
          <w:p w14:paraId="3FF10BEC" w14:textId="77777777" w:rsidR="00504851" w:rsidRPr="00222F39" w:rsidRDefault="00504851" w:rsidP="00B33DC9">
            <w:pPr>
              <w:pStyle w:val="Tabletextcentred"/>
              <w:spacing w:before="50" w:after="50"/>
            </w:pPr>
            <w:r w:rsidRPr="00222F39">
              <w:t>-0.46</w:t>
            </w:r>
          </w:p>
        </w:tc>
        <w:tc>
          <w:tcPr>
            <w:tcW w:w="0" w:type="auto"/>
            <w:tcBorders>
              <w:top w:val="nil"/>
              <w:left w:val="nil"/>
              <w:bottom w:val="nil"/>
              <w:right w:val="nil"/>
            </w:tcBorders>
            <w:shd w:val="clear" w:color="auto" w:fill="F2F2F2" w:themeFill="background1" w:themeFillShade="F2"/>
            <w:noWrap/>
            <w:vAlign w:val="center"/>
            <w:hideMark/>
          </w:tcPr>
          <w:p w14:paraId="1D632EB5" w14:textId="77777777" w:rsidR="00504851" w:rsidRPr="00222F39" w:rsidRDefault="00504851" w:rsidP="00B33DC9">
            <w:pPr>
              <w:pStyle w:val="Tabletextcentred"/>
              <w:spacing w:before="50" w:after="50"/>
            </w:pPr>
            <w:r w:rsidRPr="00222F39">
              <w:t>-0.2815</w:t>
            </w:r>
          </w:p>
        </w:tc>
        <w:tc>
          <w:tcPr>
            <w:tcW w:w="0" w:type="auto"/>
            <w:tcBorders>
              <w:top w:val="nil"/>
              <w:left w:val="nil"/>
              <w:bottom w:val="nil"/>
              <w:right w:val="nil"/>
            </w:tcBorders>
            <w:shd w:val="clear" w:color="auto" w:fill="F2F2F2" w:themeFill="background1" w:themeFillShade="F2"/>
            <w:noWrap/>
            <w:vAlign w:val="center"/>
            <w:hideMark/>
          </w:tcPr>
          <w:p w14:paraId="0103A4A8" w14:textId="77777777" w:rsidR="00504851" w:rsidRPr="00222F39" w:rsidRDefault="00504851" w:rsidP="00B33DC9">
            <w:pPr>
              <w:pStyle w:val="Tabletextcentred"/>
              <w:spacing w:before="50" w:after="50"/>
            </w:pPr>
            <w:r w:rsidRPr="00222F39">
              <w:t>-0.5649</w:t>
            </w:r>
          </w:p>
        </w:tc>
        <w:tc>
          <w:tcPr>
            <w:tcW w:w="0" w:type="auto"/>
            <w:tcBorders>
              <w:top w:val="nil"/>
              <w:left w:val="nil"/>
              <w:bottom w:val="nil"/>
              <w:right w:val="nil"/>
            </w:tcBorders>
            <w:shd w:val="clear" w:color="auto" w:fill="F2F2F2" w:themeFill="background1" w:themeFillShade="F2"/>
            <w:noWrap/>
            <w:vAlign w:val="center"/>
            <w:hideMark/>
          </w:tcPr>
          <w:p w14:paraId="03D07EC7" w14:textId="77777777" w:rsidR="00504851" w:rsidRPr="00222F39" w:rsidRDefault="00504851" w:rsidP="00B33DC9">
            <w:pPr>
              <w:pStyle w:val="Tabletextcentred"/>
              <w:spacing w:before="50" w:after="50"/>
            </w:pPr>
            <w:r w:rsidRPr="00222F39">
              <w:t>-0.2843</w:t>
            </w:r>
          </w:p>
        </w:tc>
        <w:tc>
          <w:tcPr>
            <w:tcW w:w="0" w:type="auto"/>
            <w:tcBorders>
              <w:top w:val="nil"/>
              <w:left w:val="nil"/>
              <w:bottom w:val="nil"/>
              <w:right w:val="nil"/>
            </w:tcBorders>
            <w:shd w:val="clear" w:color="auto" w:fill="F2F2F2" w:themeFill="background1" w:themeFillShade="F2"/>
            <w:noWrap/>
            <w:vAlign w:val="center"/>
            <w:hideMark/>
          </w:tcPr>
          <w:p w14:paraId="709C3F2E" w14:textId="77777777" w:rsidR="00504851" w:rsidRPr="00222F39" w:rsidRDefault="00504851" w:rsidP="00B33DC9">
            <w:pPr>
              <w:pStyle w:val="Tabletextcentred"/>
              <w:spacing w:before="50" w:after="50"/>
            </w:pPr>
            <w:r w:rsidRPr="00222F39">
              <w:t>-0.0014</w:t>
            </w:r>
          </w:p>
        </w:tc>
        <w:tc>
          <w:tcPr>
            <w:tcW w:w="0" w:type="auto"/>
            <w:tcBorders>
              <w:top w:val="nil"/>
              <w:left w:val="nil"/>
              <w:bottom w:val="nil"/>
              <w:right w:val="nil"/>
            </w:tcBorders>
            <w:shd w:val="clear" w:color="auto" w:fill="F2F2F2" w:themeFill="background1" w:themeFillShade="F2"/>
            <w:noWrap/>
            <w:vAlign w:val="center"/>
            <w:hideMark/>
          </w:tcPr>
          <w:p w14:paraId="3530B778" w14:textId="77777777" w:rsidR="00504851" w:rsidRPr="00222F39" w:rsidRDefault="00504851" w:rsidP="00B33DC9">
            <w:pPr>
              <w:pStyle w:val="Tabletextcentred"/>
              <w:spacing w:before="50" w:after="50"/>
            </w:pPr>
            <w:r w:rsidRPr="00222F39">
              <w:t>1.3183</w:t>
            </w:r>
          </w:p>
        </w:tc>
      </w:tr>
      <w:tr w:rsidR="00B33DC9" w:rsidRPr="00222F39" w14:paraId="1805E719" w14:textId="77777777" w:rsidTr="004272FE">
        <w:trPr>
          <w:trHeight w:val="300"/>
        </w:trPr>
        <w:tc>
          <w:tcPr>
            <w:tcW w:w="0" w:type="auto"/>
            <w:tcBorders>
              <w:top w:val="nil"/>
              <w:left w:val="nil"/>
              <w:bottom w:val="nil"/>
              <w:right w:val="nil"/>
            </w:tcBorders>
            <w:shd w:val="clear" w:color="000000" w:fill="FFFFFF"/>
            <w:vAlign w:val="center"/>
            <w:hideMark/>
          </w:tcPr>
          <w:p w14:paraId="48F0EA89" w14:textId="77777777" w:rsidR="00504851" w:rsidRPr="00222F39" w:rsidRDefault="00504851" w:rsidP="00B33DC9">
            <w:pPr>
              <w:pStyle w:val="Tabletextleft0"/>
              <w:spacing w:before="50" w:after="50"/>
            </w:pPr>
            <w:r w:rsidRPr="00222F39">
              <w:t>Tasmania</w:t>
            </w:r>
          </w:p>
        </w:tc>
        <w:tc>
          <w:tcPr>
            <w:tcW w:w="0" w:type="auto"/>
            <w:tcBorders>
              <w:top w:val="nil"/>
              <w:left w:val="nil"/>
              <w:bottom w:val="nil"/>
              <w:right w:val="nil"/>
            </w:tcBorders>
            <w:shd w:val="clear" w:color="000000" w:fill="FFFFFF"/>
            <w:noWrap/>
            <w:vAlign w:val="center"/>
            <w:hideMark/>
          </w:tcPr>
          <w:p w14:paraId="5D62639B" w14:textId="77777777" w:rsidR="00504851" w:rsidRPr="00222F39" w:rsidRDefault="00504851" w:rsidP="00B33DC9">
            <w:pPr>
              <w:pStyle w:val="Tabletextcentred"/>
              <w:spacing w:before="50" w:after="50"/>
            </w:pPr>
            <w:r w:rsidRPr="00222F39">
              <w:t>N/A</w:t>
            </w:r>
          </w:p>
        </w:tc>
        <w:tc>
          <w:tcPr>
            <w:tcW w:w="0" w:type="auto"/>
            <w:tcBorders>
              <w:top w:val="nil"/>
              <w:left w:val="nil"/>
              <w:bottom w:val="nil"/>
              <w:right w:val="nil"/>
            </w:tcBorders>
            <w:shd w:val="clear" w:color="000000" w:fill="FFFFFF"/>
            <w:noWrap/>
            <w:vAlign w:val="center"/>
            <w:hideMark/>
          </w:tcPr>
          <w:p w14:paraId="22942959" w14:textId="77777777" w:rsidR="00504851" w:rsidRPr="00222F39" w:rsidRDefault="00504851" w:rsidP="00B33DC9">
            <w:pPr>
              <w:pStyle w:val="Tabletextcentred"/>
              <w:spacing w:before="50" w:after="50"/>
            </w:pPr>
            <w:r w:rsidRPr="00222F39">
              <w:t>N/A</w:t>
            </w:r>
          </w:p>
        </w:tc>
        <w:tc>
          <w:tcPr>
            <w:tcW w:w="0" w:type="auto"/>
            <w:tcBorders>
              <w:top w:val="nil"/>
              <w:left w:val="nil"/>
              <w:bottom w:val="nil"/>
              <w:right w:val="nil"/>
            </w:tcBorders>
            <w:shd w:val="clear" w:color="000000" w:fill="FFFFFF"/>
            <w:noWrap/>
            <w:vAlign w:val="center"/>
            <w:hideMark/>
          </w:tcPr>
          <w:p w14:paraId="2902EE5C" w14:textId="77777777" w:rsidR="00504851" w:rsidRPr="00222F39" w:rsidRDefault="00504851" w:rsidP="00B33DC9">
            <w:pPr>
              <w:pStyle w:val="Tabletextcentred"/>
              <w:spacing w:before="50" w:after="50"/>
            </w:pPr>
            <w:r w:rsidRPr="00222F39">
              <w:t>0.2967</w:t>
            </w:r>
          </w:p>
        </w:tc>
        <w:tc>
          <w:tcPr>
            <w:tcW w:w="0" w:type="auto"/>
            <w:tcBorders>
              <w:top w:val="nil"/>
              <w:left w:val="nil"/>
              <w:bottom w:val="nil"/>
              <w:right w:val="nil"/>
            </w:tcBorders>
            <w:shd w:val="clear" w:color="000000" w:fill="FFFFFF"/>
            <w:noWrap/>
            <w:vAlign w:val="center"/>
            <w:hideMark/>
          </w:tcPr>
          <w:p w14:paraId="707F0DA5" w14:textId="77777777" w:rsidR="00504851" w:rsidRPr="00222F39" w:rsidRDefault="00504851" w:rsidP="00B33DC9">
            <w:pPr>
              <w:pStyle w:val="Tabletextcentred"/>
              <w:spacing w:before="50" w:after="50"/>
            </w:pPr>
            <w:r w:rsidRPr="00222F39">
              <w:t>-0.9059</w:t>
            </w:r>
          </w:p>
        </w:tc>
        <w:tc>
          <w:tcPr>
            <w:tcW w:w="0" w:type="auto"/>
            <w:tcBorders>
              <w:top w:val="nil"/>
              <w:left w:val="nil"/>
              <w:bottom w:val="nil"/>
              <w:right w:val="nil"/>
            </w:tcBorders>
            <w:shd w:val="clear" w:color="000000" w:fill="FFFFFF"/>
            <w:noWrap/>
            <w:vAlign w:val="center"/>
            <w:hideMark/>
          </w:tcPr>
          <w:p w14:paraId="553B650E" w14:textId="77777777" w:rsidR="00504851" w:rsidRPr="00222F39" w:rsidRDefault="00504851" w:rsidP="00B33DC9">
            <w:pPr>
              <w:pStyle w:val="Tabletextcentred"/>
              <w:spacing w:before="50" w:after="50"/>
            </w:pPr>
            <w:r w:rsidRPr="00222F39">
              <w:t>1.1846</w:t>
            </w:r>
          </w:p>
        </w:tc>
        <w:tc>
          <w:tcPr>
            <w:tcW w:w="0" w:type="auto"/>
            <w:tcBorders>
              <w:top w:val="nil"/>
              <w:left w:val="nil"/>
              <w:bottom w:val="nil"/>
              <w:right w:val="nil"/>
            </w:tcBorders>
            <w:shd w:val="clear" w:color="000000" w:fill="FFFFFF"/>
            <w:noWrap/>
            <w:vAlign w:val="center"/>
            <w:hideMark/>
          </w:tcPr>
          <w:p w14:paraId="62A0BC80" w14:textId="77777777" w:rsidR="00504851" w:rsidRPr="00222F39" w:rsidRDefault="00504851" w:rsidP="00B33DC9">
            <w:pPr>
              <w:pStyle w:val="Tabletextcentred"/>
              <w:spacing w:before="50" w:after="50"/>
            </w:pPr>
            <w:r w:rsidRPr="00222F39">
              <w:t>-1.608</w:t>
            </w:r>
          </w:p>
        </w:tc>
        <w:tc>
          <w:tcPr>
            <w:tcW w:w="0" w:type="auto"/>
            <w:tcBorders>
              <w:top w:val="nil"/>
              <w:left w:val="nil"/>
              <w:bottom w:val="nil"/>
              <w:right w:val="nil"/>
            </w:tcBorders>
            <w:shd w:val="clear" w:color="000000" w:fill="FFFFFF"/>
            <w:noWrap/>
            <w:vAlign w:val="center"/>
            <w:hideMark/>
          </w:tcPr>
          <w:p w14:paraId="4B6C625A" w14:textId="77777777" w:rsidR="00504851" w:rsidRPr="00222F39" w:rsidRDefault="00504851" w:rsidP="00B33DC9">
            <w:pPr>
              <w:pStyle w:val="Tabletextcentred"/>
              <w:spacing w:before="50" w:after="50"/>
            </w:pPr>
            <w:r w:rsidRPr="00222F39">
              <w:t>0.7368</w:t>
            </w:r>
          </w:p>
        </w:tc>
      </w:tr>
      <w:tr w:rsidR="00B33DC9" w:rsidRPr="00222F39" w14:paraId="0DEB530A" w14:textId="77777777" w:rsidTr="004272FE">
        <w:trPr>
          <w:trHeight w:val="300"/>
        </w:trPr>
        <w:tc>
          <w:tcPr>
            <w:tcW w:w="0" w:type="auto"/>
            <w:tcBorders>
              <w:top w:val="nil"/>
              <w:left w:val="nil"/>
              <w:right w:val="nil"/>
            </w:tcBorders>
            <w:shd w:val="clear" w:color="auto" w:fill="F2F2F2" w:themeFill="background1" w:themeFillShade="F2"/>
            <w:vAlign w:val="center"/>
            <w:hideMark/>
          </w:tcPr>
          <w:p w14:paraId="357F59BD" w14:textId="77777777" w:rsidR="00504851" w:rsidRPr="00222F39" w:rsidRDefault="00504851" w:rsidP="00B33DC9">
            <w:pPr>
              <w:pStyle w:val="Tabletextleft0"/>
              <w:spacing w:before="50" w:after="50"/>
            </w:pPr>
            <w:r w:rsidRPr="00222F39">
              <w:t>Victoria</w:t>
            </w:r>
          </w:p>
        </w:tc>
        <w:tc>
          <w:tcPr>
            <w:tcW w:w="0" w:type="auto"/>
            <w:tcBorders>
              <w:top w:val="nil"/>
              <w:left w:val="nil"/>
              <w:right w:val="nil"/>
            </w:tcBorders>
            <w:shd w:val="clear" w:color="auto" w:fill="F2F2F2" w:themeFill="background1" w:themeFillShade="F2"/>
            <w:noWrap/>
            <w:vAlign w:val="center"/>
            <w:hideMark/>
          </w:tcPr>
          <w:p w14:paraId="71A26F37" w14:textId="77777777" w:rsidR="00504851" w:rsidRPr="00222F39" w:rsidRDefault="00504851" w:rsidP="00B33DC9">
            <w:pPr>
              <w:pStyle w:val="Tabletextcentred"/>
              <w:spacing w:before="50" w:after="50"/>
            </w:pPr>
            <w:r w:rsidRPr="00222F39">
              <w:t>-1.0435</w:t>
            </w:r>
          </w:p>
        </w:tc>
        <w:tc>
          <w:tcPr>
            <w:tcW w:w="0" w:type="auto"/>
            <w:tcBorders>
              <w:top w:val="nil"/>
              <w:left w:val="nil"/>
              <w:right w:val="nil"/>
            </w:tcBorders>
            <w:shd w:val="clear" w:color="auto" w:fill="F2F2F2" w:themeFill="background1" w:themeFillShade="F2"/>
            <w:noWrap/>
            <w:vAlign w:val="center"/>
            <w:hideMark/>
          </w:tcPr>
          <w:p w14:paraId="7F917CB9" w14:textId="77777777" w:rsidR="00504851" w:rsidRPr="00222F39" w:rsidRDefault="00504851" w:rsidP="00B33DC9">
            <w:pPr>
              <w:pStyle w:val="Tabletextcentred"/>
              <w:spacing w:before="50" w:after="50"/>
            </w:pPr>
            <w:r w:rsidRPr="00222F39">
              <w:t>-0.5067</w:t>
            </w:r>
          </w:p>
        </w:tc>
        <w:tc>
          <w:tcPr>
            <w:tcW w:w="0" w:type="auto"/>
            <w:tcBorders>
              <w:top w:val="nil"/>
              <w:left w:val="nil"/>
              <w:right w:val="nil"/>
            </w:tcBorders>
            <w:shd w:val="clear" w:color="auto" w:fill="F2F2F2" w:themeFill="background1" w:themeFillShade="F2"/>
            <w:noWrap/>
            <w:vAlign w:val="center"/>
            <w:hideMark/>
          </w:tcPr>
          <w:p w14:paraId="0B6ACD0E" w14:textId="77777777" w:rsidR="00504851" w:rsidRPr="00222F39" w:rsidRDefault="00504851" w:rsidP="00B33DC9">
            <w:pPr>
              <w:pStyle w:val="Tabletextcentred"/>
              <w:spacing w:before="50" w:after="50"/>
            </w:pPr>
            <w:r w:rsidRPr="00222F39">
              <w:t>-0.1215</w:t>
            </w:r>
          </w:p>
        </w:tc>
        <w:tc>
          <w:tcPr>
            <w:tcW w:w="0" w:type="auto"/>
            <w:tcBorders>
              <w:top w:val="nil"/>
              <w:left w:val="nil"/>
              <w:right w:val="nil"/>
            </w:tcBorders>
            <w:shd w:val="clear" w:color="auto" w:fill="F2F2F2" w:themeFill="background1" w:themeFillShade="F2"/>
            <w:noWrap/>
            <w:vAlign w:val="center"/>
            <w:hideMark/>
          </w:tcPr>
          <w:p w14:paraId="1B4951B4" w14:textId="77777777" w:rsidR="00504851" w:rsidRPr="00222F39" w:rsidRDefault="00504851" w:rsidP="00B33DC9">
            <w:pPr>
              <w:pStyle w:val="Tabletextcentred"/>
              <w:spacing w:before="50" w:after="50"/>
            </w:pPr>
            <w:r w:rsidRPr="00222F39">
              <w:t>-1.2808</w:t>
            </w:r>
          </w:p>
        </w:tc>
        <w:tc>
          <w:tcPr>
            <w:tcW w:w="0" w:type="auto"/>
            <w:tcBorders>
              <w:top w:val="nil"/>
              <w:left w:val="nil"/>
              <w:right w:val="nil"/>
            </w:tcBorders>
            <w:shd w:val="clear" w:color="auto" w:fill="F2F2F2" w:themeFill="background1" w:themeFillShade="F2"/>
            <w:noWrap/>
            <w:vAlign w:val="center"/>
            <w:hideMark/>
          </w:tcPr>
          <w:p w14:paraId="66D02208" w14:textId="77777777" w:rsidR="00504851" w:rsidRPr="00222F39" w:rsidRDefault="00504851" w:rsidP="00B33DC9">
            <w:pPr>
              <w:pStyle w:val="Tabletextcentred"/>
              <w:spacing w:before="50" w:after="50"/>
            </w:pPr>
            <w:r w:rsidRPr="00222F39">
              <w:t>0.7766</w:t>
            </w:r>
          </w:p>
        </w:tc>
        <w:tc>
          <w:tcPr>
            <w:tcW w:w="0" w:type="auto"/>
            <w:tcBorders>
              <w:top w:val="nil"/>
              <w:left w:val="nil"/>
              <w:right w:val="nil"/>
            </w:tcBorders>
            <w:shd w:val="clear" w:color="auto" w:fill="F2F2F2" w:themeFill="background1" w:themeFillShade="F2"/>
            <w:noWrap/>
            <w:vAlign w:val="center"/>
            <w:hideMark/>
          </w:tcPr>
          <w:p w14:paraId="59B67D39" w14:textId="77777777" w:rsidR="00504851" w:rsidRPr="00222F39" w:rsidRDefault="00504851" w:rsidP="00B33DC9">
            <w:pPr>
              <w:pStyle w:val="Tabletextcentred"/>
              <w:spacing w:before="50" w:after="50"/>
            </w:pPr>
            <w:r w:rsidRPr="00222F39">
              <w:t>-1.2285</w:t>
            </w:r>
          </w:p>
        </w:tc>
        <w:tc>
          <w:tcPr>
            <w:tcW w:w="0" w:type="auto"/>
            <w:tcBorders>
              <w:top w:val="nil"/>
              <w:left w:val="nil"/>
              <w:right w:val="nil"/>
            </w:tcBorders>
            <w:shd w:val="clear" w:color="auto" w:fill="F2F2F2" w:themeFill="background1" w:themeFillShade="F2"/>
            <w:noWrap/>
            <w:vAlign w:val="center"/>
            <w:hideMark/>
          </w:tcPr>
          <w:p w14:paraId="48EED843" w14:textId="77777777" w:rsidR="00504851" w:rsidRPr="00222F39" w:rsidRDefault="00504851" w:rsidP="00B33DC9">
            <w:pPr>
              <w:pStyle w:val="Tabletextcentred"/>
              <w:spacing w:before="50" w:after="50"/>
            </w:pPr>
            <w:r w:rsidRPr="00222F39">
              <w:t>-0.4482</w:t>
            </w:r>
          </w:p>
        </w:tc>
      </w:tr>
      <w:tr w:rsidR="00B33DC9" w:rsidRPr="00222F39" w14:paraId="66C69F06" w14:textId="77777777" w:rsidTr="004272FE">
        <w:trPr>
          <w:trHeight w:val="300"/>
        </w:trPr>
        <w:tc>
          <w:tcPr>
            <w:tcW w:w="0" w:type="auto"/>
            <w:tcBorders>
              <w:top w:val="nil"/>
              <w:left w:val="nil"/>
              <w:bottom w:val="single" w:sz="4" w:space="0" w:color="auto"/>
              <w:right w:val="nil"/>
            </w:tcBorders>
            <w:shd w:val="clear" w:color="000000" w:fill="FFFFFF"/>
            <w:vAlign w:val="center"/>
            <w:hideMark/>
          </w:tcPr>
          <w:p w14:paraId="17DD722A" w14:textId="77777777" w:rsidR="00504851" w:rsidRPr="00222F39" w:rsidRDefault="00504851" w:rsidP="00B33DC9">
            <w:pPr>
              <w:pStyle w:val="Tabletextleft0"/>
              <w:spacing w:before="50" w:after="50"/>
            </w:pPr>
            <w:r w:rsidRPr="00222F39">
              <w:t>Western Australia</w:t>
            </w:r>
          </w:p>
        </w:tc>
        <w:tc>
          <w:tcPr>
            <w:tcW w:w="0" w:type="auto"/>
            <w:tcBorders>
              <w:top w:val="nil"/>
              <w:left w:val="nil"/>
              <w:bottom w:val="single" w:sz="4" w:space="0" w:color="auto"/>
              <w:right w:val="nil"/>
            </w:tcBorders>
            <w:shd w:val="clear" w:color="000000" w:fill="FFFFFF"/>
            <w:noWrap/>
            <w:vAlign w:val="center"/>
            <w:hideMark/>
          </w:tcPr>
          <w:p w14:paraId="25716C55" w14:textId="77777777" w:rsidR="00504851" w:rsidRPr="00222F39" w:rsidRDefault="00504851" w:rsidP="00B33DC9">
            <w:pPr>
              <w:pStyle w:val="Tabletextcentred"/>
              <w:spacing w:before="50" w:after="50"/>
            </w:pPr>
            <w:r w:rsidRPr="00222F39">
              <w:t>-1.3939</w:t>
            </w:r>
          </w:p>
        </w:tc>
        <w:tc>
          <w:tcPr>
            <w:tcW w:w="0" w:type="auto"/>
            <w:tcBorders>
              <w:top w:val="nil"/>
              <w:left w:val="nil"/>
              <w:bottom w:val="single" w:sz="4" w:space="0" w:color="auto"/>
              <w:right w:val="nil"/>
            </w:tcBorders>
            <w:shd w:val="clear" w:color="000000" w:fill="FFFFFF"/>
            <w:noWrap/>
            <w:vAlign w:val="center"/>
            <w:hideMark/>
          </w:tcPr>
          <w:p w14:paraId="0B55BFC4" w14:textId="77777777" w:rsidR="00504851" w:rsidRPr="00222F39" w:rsidRDefault="00504851" w:rsidP="00B33DC9">
            <w:pPr>
              <w:pStyle w:val="Tabletextcentred"/>
              <w:spacing w:before="50" w:after="50"/>
            </w:pPr>
            <w:r w:rsidRPr="00222F39">
              <w:t>0.6149</w:t>
            </w:r>
          </w:p>
        </w:tc>
        <w:tc>
          <w:tcPr>
            <w:tcW w:w="0" w:type="auto"/>
            <w:tcBorders>
              <w:top w:val="nil"/>
              <w:left w:val="nil"/>
              <w:bottom w:val="single" w:sz="4" w:space="0" w:color="auto"/>
              <w:right w:val="nil"/>
            </w:tcBorders>
            <w:shd w:val="clear" w:color="000000" w:fill="FFFFFF"/>
            <w:noWrap/>
            <w:vAlign w:val="center"/>
            <w:hideMark/>
          </w:tcPr>
          <w:p w14:paraId="73AA6F3B" w14:textId="77777777" w:rsidR="00504851" w:rsidRPr="00222F39" w:rsidRDefault="00504851" w:rsidP="00B33DC9">
            <w:pPr>
              <w:pStyle w:val="Tabletextcentred"/>
              <w:spacing w:before="50" w:after="50"/>
            </w:pPr>
            <w:r w:rsidRPr="00222F39">
              <w:t>1.2115</w:t>
            </w:r>
          </w:p>
        </w:tc>
        <w:tc>
          <w:tcPr>
            <w:tcW w:w="0" w:type="auto"/>
            <w:tcBorders>
              <w:top w:val="nil"/>
              <w:left w:val="nil"/>
              <w:bottom w:val="single" w:sz="4" w:space="0" w:color="auto"/>
              <w:right w:val="nil"/>
            </w:tcBorders>
            <w:shd w:val="clear" w:color="000000" w:fill="FFFFFF"/>
            <w:noWrap/>
            <w:vAlign w:val="center"/>
            <w:hideMark/>
          </w:tcPr>
          <w:p w14:paraId="6C7A3101" w14:textId="77777777" w:rsidR="00504851" w:rsidRPr="00222F39" w:rsidRDefault="00504851" w:rsidP="00B33DC9">
            <w:pPr>
              <w:pStyle w:val="Tabletextcentred"/>
              <w:spacing w:before="50" w:after="50"/>
            </w:pPr>
            <w:r w:rsidRPr="00222F39">
              <w:t>0.6761</w:t>
            </w:r>
          </w:p>
        </w:tc>
        <w:tc>
          <w:tcPr>
            <w:tcW w:w="0" w:type="auto"/>
            <w:tcBorders>
              <w:top w:val="nil"/>
              <w:left w:val="nil"/>
              <w:bottom w:val="single" w:sz="4" w:space="0" w:color="auto"/>
              <w:right w:val="nil"/>
            </w:tcBorders>
            <w:shd w:val="clear" w:color="000000" w:fill="FFFFFF"/>
            <w:noWrap/>
            <w:vAlign w:val="center"/>
            <w:hideMark/>
          </w:tcPr>
          <w:p w14:paraId="26B6D5E5" w14:textId="77777777" w:rsidR="00504851" w:rsidRPr="00222F39" w:rsidRDefault="00504851" w:rsidP="00B33DC9">
            <w:pPr>
              <w:pStyle w:val="Tabletextcentred"/>
              <w:spacing w:before="50" w:after="50"/>
            </w:pPr>
            <w:r w:rsidRPr="00222F39">
              <w:t>0.6017</w:t>
            </w:r>
          </w:p>
        </w:tc>
        <w:tc>
          <w:tcPr>
            <w:tcW w:w="0" w:type="auto"/>
            <w:tcBorders>
              <w:top w:val="nil"/>
              <w:left w:val="nil"/>
              <w:bottom w:val="single" w:sz="4" w:space="0" w:color="auto"/>
              <w:right w:val="nil"/>
            </w:tcBorders>
            <w:shd w:val="clear" w:color="000000" w:fill="FFFFFF"/>
            <w:noWrap/>
            <w:vAlign w:val="center"/>
            <w:hideMark/>
          </w:tcPr>
          <w:p w14:paraId="4F3886A3" w14:textId="77777777" w:rsidR="00504851" w:rsidRPr="00222F39" w:rsidRDefault="00504851" w:rsidP="00B33DC9">
            <w:pPr>
              <w:pStyle w:val="Tabletextcentred"/>
              <w:spacing w:before="50" w:after="50"/>
            </w:pPr>
            <w:r w:rsidRPr="00222F39">
              <w:t>0.7403</w:t>
            </w:r>
          </w:p>
        </w:tc>
        <w:tc>
          <w:tcPr>
            <w:tcW w:w="0" w:type="auto"/>
            <w:tcBorders>
              <w:top w:val="nil"/>
              <w:left w:val="nil"/>
              <w:bottom w:val="single" w:sz="4" w:space="0" w:color="auto"/>
              <w:right w:val="nil"/>
            </w:tcBorders>
            <w:shd w:val="clear" w:color="000000" w:fill="FFFFFF"/>
            <w:noWrap/>
            <w:vAlign w:val="center"/>
            <w:hideMark/>
          </w:tcPr>
          <w:p w14:paraId="4691E9E4" w14:textId="77777777" w:rsidR="00504851" w:rsidRPr="00222F39" w:rsidRDefault="00504851" w:rsidP="00B33DC9">
            <w:pPr>
              <w:pStyle w:val="Tabletextcentred"/>
              <w:spacing w:before="50" w:after="50"/>
            </w:pPr>
            <w:r w:rsidRPr="00222F39">
              <w:t>-0.3001</w:t>
            </w:r>
          </w:p>
        </w:tc>
      </w:tr>
    </w:tbl>
    <w:p w14:paraId="7C01C7BB" w14:textId="77777777" w:rsidR="00B33DC9" w:rsidRDefault="00B33DC9" w:rsidP="00B33DC9">
      <w:pPr>
        <w:pStyle w:val="SingleParagraph"/>
      </w:pPr>
    </w:p>
    <w:p w14:paraId="7288ADB0" w14:textId="7968BAF1" w:rsidR="00504851" w:rsidRPr="00504851" w:rsidRDefault="00504851" w:rsidP="00F12EE0">
      <w:pPr>
        <w:pStyle w:val="TableMainHeading"/>
        <w:spacing w:before="240"/>
      </w:pPr>
      <w:r w:rsidRPr="00222F39">
        <w:t xml:space="preserve">Table C1: t-statistics for bunching </w:t>
      </w:r>
      <w:r>
        <w:t xml:space="preserve">tests </w:t>
      </w:r>
      <w:r w:rsidRPr="00222F39">
        <w:t>near threshold</w:t>
      </w:r>
      <w:r>
        <w:t xml:space="preserve"> – 2008-09 to 2014-15</w:t>
      </w:r>
    </w:p>
    <w:tbl>
      <w:tblPr>
        <w:tblW w:w="5000" w:type="pct"/>
        <w:tblLook w:val="04A0" w:firstRow="1" w:lastRow="0" w:firstColumn="1" w:lastColumn="0" w:noHBand="0" w:noVBand="1"/>
      </w:tblPr>
      <w:tblGrid>
        <w:gridCol w:w="1986"/>
        <w:gridCol w:w="1076"/>
        <w:gridCol w:w="1076"/>
        <w:gridCol w:w="1076"/>
        <w:gridCol w:w="1075"/>
        <w:gridCol w:w="1075"/>
        <w:gridCol w:w="1075"/>
        <w:gridCol w:w="1075"/>
      </w:tblGrid>
      <w:tr w:rsidR="004272FE" w:rsidRPr="00222F39" w14:paraId="1DB6BDF9" w14:textId="77777777" w:rsidTr="004272FE">
        <w:trPr>
          <w:trHeight w:val="300"/>
        </w:trPr>
        <w:tc>
          <w:tcPr>
            <w:tcW w:w="1042" w:type="pct"/>
            <w:tcBorders>
              <w:top w:val="single" w:sz="4" w:space="0" w:color="auto"/>
              <w:left w:val="nil"/>
              <w:bottom w:val="single" w:sz="4" w:space="0" w:color="auto"/>
              <w:right w:val="nil"/>
            </w:tcBorders>
            <w:shd w:val="clear" w:color="auto" w:fill="C6D9F1" w:themeFill="text2" w:themeFillTint="33"/>
            <w:noWrap/>
            <w:vAlign w:val="bottom"/>
            <w:hideMark/>
          </w:tcPr>
          <w:p w14:paraId="53BF59AD" w14:textId="77777777" w:rsidR="00504851" w:rsidRPr="00222F39" w:rsidRDefault="00504851" w:rsidP="00B33DC9">
            <w:pPr>
              <w:pStyle w:val="TableColumnHeadingLeft"/>
              <w:spacing w:before="50" w:after="50"/>
            </w:pPr>
            <w:r w:rsidRPr="00222F39">
              <w:t>State</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6EE0262D" w14:textId="35E9A22A" w:rsidR="00504851" w:rsidRPr="00222F39" w:rsidRDefault="00F12EE0" w:rsidP="00B33DC9">
            <w:pPr>
              <w:pStyle w:val="TableColumnHeadingCentred"/>
              <w:spacing w:before="50" w:after="50"/>
            </w:pPr>
            <w:r>
              <w:t>2008–</w:t>
            </w:r>
            <w:r w:rsidR="00504851" w:rsidRPr="00222F39">
              <w:t>09</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28256E81" w14:textId="3412BBDB" w:rsidR="00504851" w:rsidRPr="00222F39" w:rsidRDefault="00F12EE0" w:rsidP="00B33DC9">
            <w:pPr>
              <w:pStyle w:val="TableColumnHeadingCentred"/>
              <w:spacing w:before="50" w:after="50"/>
            </w:pPr>
            <w:r>
              <w:t>2009–</w:t>
            </w:r>
            <w:r w:rsidR="00504851" w:rsidRPr="00222F39">
              <w:t>10</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3F0D22C1" w14:textId="51F732E5" w:rsidR="00504851" w:rsidRPr="00222F39" w:rsidRDefault="00F12EE0" w:rsidP="00B33DC9">
            <w:pPr>
              <w:pStyle w:val="TableColumnHeadingCentred"/>
              <w:spacing w:before="50" w:after="50"/>
            </w:pPr>
            <w:r>
              <w:t>2010–</w:t>
            </w:r>
            <w:r w:rsidR="00504851" w:rsidRPr="00222F39">
              <w:t>11</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75FB226C" w14:textId="35620151" w:rsidR="00504851" w:rsidRPr="00222F39" w:rsidRDefault="00F12EE0" w:rsidP="00B33DC9">
            <w:pPr>
              <w:pStyle w:val="TableColumnHeadingCentred"/>
              <w:spacing w:before="50" w:after="50"/>
            </w:pPr>
            <w:r>
              <w:t>2011–</w:t>
            </w:r>
            <w:r w:rsidR="00504851" w:rsidRPr="00222F39">
              <w:t>12</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3E64810C" w14:textId="3ED455F8" w:rsidR="00504851" w:rsidRPr="00222F39" w:rsidRDefault="00F12EE0" w:rsidP="00B33DC9">
            <w:pPr>
              <w:pStyle w:val="TableColumnHeadingCentred"/>
              <w:spacing w:before="50" w:after="50"/>
            </w:pPr>
            <w:r>
              <w:t>2012–</w:t>
            </w:r>
            <w:r w:rsidR="00504851" w:rsidRPr="00222F39">
              <w:t>13</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30B76DEC" w14:textId="2A06725C" w:rsidR="00504851" w:rsidRPr="00222F39" w:rsidRDefault="00F12EE0" w:rsidP="00B33DC9">
            <w:pPr>
              <w:pStyle w:val="TableColumnHeadingCentred"/>
              <w:spacing w:before="50" w:after="50"/>
            </w:pPr>
            <w:r>
              <w:t>2013–</w:t>
            </w:r>
            <w:r w:rsidR="00504851" w:rsidRPr="00222F39">
              <w:t>14</w:t>
            </w:r>
          </w:p>
        </w:tc>
        <w:tc>
          <w:tcPr>
            <w:tcW w:w="565" w:type="pct"/>
            <w:tcBorders>
              <w:top w:val="single" w:sz="4" w:space="0" w:color="auto"/>
              <w:left w:val="nil"/>
              <w:bottom w:val="single" w:sz="4" w:space="0" w:color="auto"/>
              <w:right w:val="nil"/>
            </w:tcBorders>
            <w:shd w:val="clear" w:color="auto" w:fill="C6D9F1" w:themeFill="text2" w:themeFillTint="33"/>
            <w:noWrap/>
            <w:vAlign w:val="bottom"/>
            <w:hideMark/>
          </w:tcPr>
          <w:p w14:paraId="0800B1EE" w14:textId="669B7B91" w:rsidR="00504851" w:rsidRPr="00222F39" w:rsidRDefault="00F12EE0" w:rsidP="00B33DC9">
            <w:pPr>
              <w:pStyle w:val="TableColumnHeadingCentred"/>
              <w:spacing w:before="50" w:after="50"/>
            </w:pPr>
            <w:r>
              <w:t>2014–</w:t>
            </w:r>
            <w:r w:rsidR="00504851" w:rsidRPr="00222F39">
              <w:t>15</w:t>
            </w:r>
          </w:p>
        </w:tc>
      </w:tr>
      <w:tr w:rsidR="00504851" w:rsidRPr="00222F39" w14:paraId="24799683" w14:textId="77777777" w:rsidTr="004272FE">
        <w:trPr>
          <w:trHeight w:val="300"/>
        </w:trPr>
        <w:tc>
          <w:tcPr>
            <w:tcW w:w="1042" w:type="pct"/>
            <w:tcBorders>
              <w:top w:val="single" w:sz="4" w:space="0" w:color="auto"/>
              <w:left w:val="nil"/>
              <w:bottom w:val="nil"/>
              <w:right w:val="nil"/>
            </w:tcBorders>
            <w:shd w:val="clear" w:color="000000" w:fill="FFFFFF"/>
            <w:vAlign w:val="center"/>
            <w:hideMark/>
          </w:tcPr>
          <w:p w14:paraId="06A2AA04" w14:textId="77777777" w:rsidR="00504851" w:rsidRPr="00222F39" w:rsidRDefault="00504851" w:rsidP="00B33DC9">
            <w:pPr>
              <w:pStyle w:val="Tabletextleft0"/>
              <w:spacing w:before="50" w:after="50"/>
            </w:pPr>
            <w:r w:rsidRPr="00222F39">
              <w:t>New South Wales</w:t>
            </w:r>
          </w:p>
        </w:tc>
        <w:tc>
          <w:tcPr>
            <w:tcW w:w="565" w:type="pct"/>
            <w:tcBorders>
              <w:top w:val="single" w:sz="4" w:space="0" w:color="auto"/>
              <w:left w:val="nil"/>
              <w:bottom w:val="nil"/>
              <w:right w:val="nil"/>
            </w:tcBorders>
            <w:shd w:val="clear" w:color="000000" w:fill="FFFFFF"/>
            <w:noWrap/>
            <w:vAlign w:val="center"/>
            <w:hideMark/>
          </w:tcPr>
          <w:p w14:paraId="2961038B" w14:textId="77777777" w:rsidR="00504851" w:rsidRPr="00222F39" w:rsidRDefault="00504851" w:rsidP="00B33DC9">
            <w:pPr>
              <w:pStyle w:val="Tabletextcentred"/>
              <w:spacing w:before="50" w:after="50"/>
            </w:pPr>
            <w:r w:rsidRPr="00222F39">
              <w:t>-1.2311</w:t>
            </w:r>
          </w:p>
        </w:tc>
        <w:tc>
          <w:tcPr>
            <w:tcW w:w="565" w:type="pct"/>
            <w:tcBorders>
              <w:top w:val="single" w:sz="4" w:space="0" w:color="auto"/>
              <w:left w:val="nil"/>
              <w:bottom w:val="nil"/>
              <w:right w:val="nil"/>
            </w:tcBorders>
            <w:shd w:val="clear" w:color="000000" w:fill="FFFFFF"/>
            <w:noWrap/>
            <w:vAlign w:val="center"/>
            <w:hideMark/>
          </w:tcPr>
          <w:p w14:paraId="09D1A5CB" w14:textId="77777777" w:rsidR="00504851" w:rsidRPr="00222F39" w:rsidRDefault="00504851" w:rsidP="00B33DC9">
            <w:pPr>
              <w:pStyle w:val="Tabletextcentred"/>
              <w:spacing w:before="50" w:after="50"/>
            </w:pPr>
            <w:r w:rsidRPr="00222F39">
              <w:t>-1.7543</w:t>
            </w:r>
          </w:p>
        </w:tc>
        <w:tc>
          <w:tcPr>
            <w:tcW w:w="565" w:type="pct"/>
            <w:tcBorders>
              <w:top w:val="single" w:sz="4" w:space="0" w:color="auto"/>
              <w:left w:val="nil"/>
              <w:bottom w:val="nil"/>
              <w:right w:val="nil"/>
            </w:tcBorders>
            <w:shd w:val="clear" w:color="000000" w:fill="FFFFFF"/>
            <w:noWrap/>
            <w:vAlign w:val="center"/>
            <w:hideMark/>
          </w:tcPr>
          <w:p w14:paraId="4AD21C5C" w14:textId="77777777" w:rsidR="00504851" w:rsidRPr="00222F39" w:rsidRDefault="00504851" w:rsidP="00B33DC9">
            <w:pPr>
              <w:pStyle w:val="Tabletextcentred"/>
              <w:spacing w:before="50" w:after="50"/>
            </w:pPr>
            <w:r w:rsidRPr="00222F39">
              <w:t>-0.4286</w:t>
            </w:r>
          </w:p>
        </w:tc>
        <w:tc>
          <w:tcPr>
            <w:tcW w:w="565" w:type="pct"/>
            <w:tcBorders>
              <w:top w:val="single" w:sz="4" w:space="0" w:color="auto"/>
              <w:left w:val="nil"/>
              <w:bottom w:val="nil"/>
              <w:right w:val="nil"/>
            </w:tcBorders>
            <w:shd w:val="clear" w:color="000000" w:fill="FFFFFF"/>
            <w:noWrap/>
            <w:vAlign w:val="center"/>
            <w:hideMark/>
          </w:tcPr>
          <w:p w14:paraId="7996D76D" w14:textId="77777777" w:rsidR="00504851" w:rsidRPr="00222F39" w:rsidRDefault="00504851" w:rsidP="00B33DC9">
            <w:pPr>
              <w:pStyle w:val="Tabletextcentred"/>
              <w:spacing w:before="50" w:after="50"/>
            </w:pPr>
            <w:r w:rsidRPr="00222F39">
              <w:t>1.614</w:t>
            </w:r>
          </w:p>
        </w:tc>
        <w:tc>
          <w:tcPr>
            <w:tcW w:w="565" w:type="pct"/>
            <w:tcBorders>
              <w:top w:val="single" w:sz="4" w:space="0" w:color="auto"/>
              <w:left w:val="nil"/>
              <w:bottom w:val="nil"/>
              <w:right w:val="nil"/>
            </w:tcBorders>
            <w:shd w:val="clear" w:color="000000" w:fill="FFFFFF"/>
            <w:noWrap/>
            <w:vAlign w:val="center"/>
            <w:hideMark/>
          </w:tcPr>
          <w:p w14:paraId="2AD360EB" w14:textId="77777777" w:rsidR="00504851" w:rsidRPr="00222F39" w:rsidRDefault="00504851" w:rsidP="00B33DC9">
            <w:pPr>
              <w:pStyle w:val="Tabletextcentred"/>
              <w:spacing w:before="50" w:after="50"/>
            </w:pPr>
            <w:r w:rsidRPr="00222F39">
              <w:t>-1.1805</w:t>
            </w:r>
          </w:p>
        </w:tc>
        <w:tc>
          <w:tcPr>
            <w:tcW w:w="565" w:type="pct"/>
            <w:tcBorders>
              <w:top w:val="single" w:sz="4" w:space="0" w:color="auto"/>
              <w:left w:val="nil"/>
              <w:bottom w:val="nil"/>
              <w:right w:val="nil"/>
            </w:tcBorders>
            <w:shd w:val="clear" w:color="000000" w:fill="FFFFFF"/>
            <w:noWrap/>
            <w:vAlign w:val="center"/>
            <w:hideMark/>
          </w:tcPr>
          <w:p w14:paraId="0A39D5A4" w14:textId="77777777" w:rsidR="00504851" w:rsidRPr="00222F39" w:rsidRDefault="00504851" w:rsidP="00B33DC9">
            <w:pPr>
              <w:pStyle w:val="Tabletextcentred"/>
              <w:spacing w:before="50" w:after="50"/>
            </w:pPr>
            <w:r w:rsidRPr="00222F39">
              <w:t>0.195</w:t>
            </w:r>
          </w:p>
        </w:tc>
        <w:tc>
          <w:tcPr>
            <w:tcW w:w="565" w:type="pct"/>
            <w:tcBorders>
              <w:top w:val="single" w:sz="4" w:space="0" w:color="auto"/>
              <w:left w:val="nil"/>
              <w:bottom w:val="nil"/>
              <w:right w:val="nil"/>
            </w:tcBorders>
            <w:shd w:val="clear" w:color="000000" w:fill="FFFFFF"/>
            <w:noWrap/>
            <w:vAlign w:val="center"/>
            <w:hideMark/>
          </w:tcPr>
          <w:p w14:paraId="67C5A5E1" w14:textId="77777777" w:rsidR="00504851" w:rsidRPr="00222F39" w:rsidRDefault="00504851" w:rsidP="00B33DC9">
            <w:pPr>
              <w:pStyle w:val="Tabletextcentred"/>
              <w:spacing w:before="50" w:after="50"/>
            </w:pPr>
            <w:r w:rsidRPr="00222F39">
              <w:t>-1.3328</w:t>
            </w:r>
          </w:p>
        </w:tc>
      </w:tr>
      <w:tr w:rsidR="004272FE" w:rsidRPr="00222F39" w14:paraId="6B5A44C4" w14:textId="77777777" w:rsidTr="004272FE">
        <w:trPr>
          <w:trHeight w:val="300"/>
        </w:trPr>
        <w:tc>
          <w:tcPr>
            <w:tcW w:w="1042" w:type="pct"/>
            <w:tcBorders>
              <w:top w:val="nil"/>
              <w:left w:val="nil"/>
              <w:bottom w:val="nil"/>
              <w:right w:val="nil"/>
            </w:tcBorders>
            <w:shd w:val="clear" w:color="auto" w:fill="F2F2F2" w:themeFill="background1" w:themeFillShade="F2"/>
            <w:vAlign w:val="center"/>
            <w:hideMark/>
          </w:tcPr>
          <w:p w14:paraId="678FD709" w14:textId="77777777" w:rsidR="00504851" w:rsidRPr="00222F39" w:rsidRDefault="00504851" w:rsidP="00B33DC9">
            <w:pPr>
              <w:pStyle w:val="Tabletextleft0"/>
              <w:spacing w:before="50" w:after="50"/>
            </w:pPr>
            <w:r w:rsidRPr="00222F39">
              <w:t>Northern Territory</w:t>
            </w:r>
          </w:p>
        </w:tc>
        <w:tc>
          <w:tcPr>
            <w:tcW w:w="565" w:type="pct"/>
            <w:tcBorders>
              <w:top w:val="nil"/>
              <w:left w:val="nil"/>
              <w:bottom w:val="nil"/>
              <w:right w:val="nil"/>
            </w:tcBorders>
            <w:shd w:val="clear" w:color="auto" w:fill="F2F2F2" w:themeFill="background1" w:themeFillShade="F2"/>
            <w:noWrap/>
            <w:vAlign w:val="center"/>
            <w:hideMark/>
          </w:tcPr>
          <w:p w14:paraId="14395DFF" w14:textId="77777777" w:rsidR="00504851" w:rsidRPr="00222F39" w:rsidRDefault="00504851" w:rsidP="00B33DC9">
            <w:pPr>
              <w:pStyle w:val="Tabletextcentred"/>
              <w:spacing w:before="50" w:after="50"/>
            </w:pPr>
            <w:r w:rsidRPr="00222F39">
              <w:t>-0.0552</w:t>
            </w:r>
          </w:p>
        </w:tc>
        <w:tc>
          <w:tcPr>
            <w:tcW w:w="565" w:type="pct"/>
            <w:tcBorders>
              <w:top w:val="nil"/>
              <w:left w:val="nil"/>
              <w:bottom w:val="nil"/>
              <w:right w:val="nil"/>
            </w:tcBorders>
            <w:shd w:val="clear" w:color="auto" w:fill="F2F2F2" w:themeFill="background1" w:themeFillShade="F2"/>
            <w:noWrap/>
            <w:vAlign w:val="center"/>
            <w:hideMark/>
          </w:tcPr>
          <w:p w14:paraId="77D7BE6C" w14:textId="77777777" w:rsidR="00504851" w:rsidRPr="00222F39" w:rsidRDefault="00504851" w:rsidP="00B33DC9">
            <w:pPr>
              <w:pStyle w:val="Tabletextcentred"/>
              <w:spacing w:before="50" w:after="50"/>
            </w:pPr>
            <w:r w:rsidRPr="00222F39">
              <w:t>0.9005</w:t>
            </w:r>
          </w:p>
        </w:tc>
        <w:tc>
          <w:tcPr>
            <w:tcW w:w="565" w:type="pct"/>
            <w:tcBorders>
              <w:top w:val="nil"/>
              <w:left w:val="nil"/>
              <w:bottom w:val="nil"/>
              <w:right w:val="nil"/>
            </w:tcBorders>
            <w:shd w:val="clear" w:color="auto" w:fill="F2F2F2" w:themeFill="background1" w:themeFillShade="F2"/>
            <w:noWrap/>
            <w:vAlign w:val="center"/>
            <w:hideMark/>
          </w:tcPr>
          <w:p w14:paraId="2AB13DAE" w14:textId="77777777" w:rsidR="00504851" w:rsidRPr="00222F39" w:rsidRDefault="00504851" w:rsidP="00B33DC9">
            <w:pPr>
              <w:pStyle w:val="Tabletextcentred"/>
              <w:spacing w:before="50" w:after="50"/>
            </w:pPr>
            <w:r w:rsidRPr="00222F39">
              <w:t>1.1121</w:t>
            </w:r>
          </w:p>
        </w:tc>
        <w:tc>
          <w:tcPr>
            <w:tcW w:w="565" w:type="pct"/>
            <w:tcBorders>
              <w:top w:val="nil"/>
              <w:left w:val="nil"/>
              <w:bottom w:val="nil"/>
              <w:right w:val="nil"/>
            </w:tcBorders>
            <w:shd w:val="clear" w:color="auto" w:fill="F2F2F2" w:themeFill="background1" w:themeFillShade="F2"/>
            <w:noWrap/>
            <w:vAlign w:val="center"/>
            <w:hideMark/>
          </w:tcPr>
          <w:p w14:paraId="6C980D35" w14:textId="77777777" w:rsidR="00504851" w:rsidRPr="00222F39" w:rsidRDefault="00504851" w:rsidP="00B33DC9">
            <w:pPr>
              <w:pStyle w:val="Tabletextcentred"/>
              <w:spacing w:before="50" w:after="50"/>
            </w:pPr>
            <w:r w:rsidRPr="00222F39">
              <w:t>1.9128</w:t>
            </w:r>
          </w:p>
        </w:tc>
        <w:tc>
          <w:tcPr>
            <w:tcW w:w="565" w:type="pct"/>
            <w:tcBorders>
              <w:top w:val="nil"/>
              <w:left w:val="nil"/>
              <w:bottom w:val="nil"/>
              <w:right w:val="nil"/>
            </w:tcBorders>
            <w:shd w:val="clear" w:color="auto" w:fill="F2F2F2" w:themeFill="background1" w:themeFillShade="F2"/>
            <w:noWrap/>
            <w:vAlign w:val="center"/>
            <w:hideMark/>
          </w:tcPr>
          <w:p w14:paraId="203F91A8" w14:textId="77777777" w:rsidR="00504851" w:rsidRPr="00222F39" w:rsidRDefault="00504851" w:rsidP="00B33DC9">
            <w:pPr>
              <w:pStyle w:val="Tabletextcentred"/>
              <w:spacing w:before="50" w:after="50"/>
            </w:pPr>
            <w:r w:rsidRPr="00222F39">
              <w:t>N/A</w:t>
            </w:r>
          </w:p>
        </w:tc>
        <w:tc>
          <w:tcPr>
            <w:tcW w:w="565" w:type="pct"/>
            <w:tcBorders>
              <w:top w:val="nil"/>
              <w:left w:val="nil"/>
              <w:bottom w:val="nil"/>
              <w:right w:val="nil"/>
            </w:tcBorders>
            <w:shd w:val="clear" w:color="auto" w:fill="F2F2F2" w:themeFill="background1" w:themeFillShade="F2"/>
            <w:noWrap/>
            <w:vAlign w:val="center"/>
            <w:hideMark/>
          </w:tcPr>
          <w:p w14:paraId="41C3A6FC" w14:textId="77777777" w:rsidR="00504851" w:rsidRPr="00222F39" w:rsidRDefault="00504851" w:rsidP="00B33DC9">
            <w:pPr>
              <w:pStyle w:val="Tabletextcentred"/>
              <w:spacing w:before="50" w:after="50"/>
            </w:pPr>
            <w:r w:rsidRPr="00222F39">
              <w:t>N/A</w:t>
            </w:r>
          </w:p>
        </w:tc>
        <w:tc>
          <w:tcPr>
            <w:tcW w:w="565" w:type="pct"/>
            <w:tcBorders>
              <w:top w:val="nil"/>
              <w:left w:val="nil"/>
              <w:bottom w:val="nil"/>
              <w:right w:val="nil"/>
            </w:tcBorders>
            <w:shd w:val="clear" w:color="auto" w:fill="F2F2F2" w:themeFill="background1" w:themeFillShade="F2"/>
            <w:noWrap/>
            <w:vAlign w:val="center"/>
            <w:hideMark/>
          </w:tcPr>
          <w:p w14:paraId="09E9D9EE" w14:textId="77777777" w:rsidR="00504851" w:rsidRPr="00222F39" w:rsidRDefault="00504851" w:rsidP="00B33DC9">
            <w:pPr>
              <w:pStyle w:val="Tabletextcentred"/>
              <w:spacing w:before="50" w:after="50"/>
            </w:pPr>
            <w:r w:rsidRPr="00222F39">
              <w:t>N/A</w:t>
            </w:r>
          </w:p>
        </w:tc>
      </w:tr>
      <w:tr w:rsidR="00504851" w:rsidRPr="00222F39" w14:paraId="5F940C9A" w14:textId="77777777" w:rsidTr="004272FE">
        <w:trPr>
          <w:trHeight w:val="300"/>
        </w:trPr>
        <w:tc>
          <w:tcPr>
            <w:tcW w:w="1042" w:type="pct"/>
            <w:tcBorders>
              <w:top w:val="nil"/>
              <w:left w:val="nil"/>
              <w:bottom w:val="nil"/>
              <w:right w:val="nil"/>
            </w:tcBorders>
            <w:shd w:val="clear" w:color="000000" w:fill="FFFFFF"/>
            <w:vAlign w:val="center"/>
            <w:hideMark/>
          </w:tcPr>
          <w:p w14:paraId="010D1415" w14:textId="77777777" w:rsidR="00504851" w:rsidRPr="00222F39" w:rsidRDefault="00504851" w:rsidP="00B33DC9">
            <w:pPr>
              <w:pStyle w:val="Tabletextleft0"/>
              <w:spacing w:before="50" w:after="50"/>
            </w:pPr>
            <w:r w:rsidRPr="00222F39">
              <w:t>Queensland</w:t>
            </w:r>
          </w:p>
        </w:tc>
        <w:tc>
          <w:tcPr>
            <w:tcW w:w="565" w:type="pct"/>
            <w:tcBorders>
              <w:top w:val="nil"/>
              <w:left w:val="nil"/>
              <w:bottom w:val="nil"/>
              <w:right w:val="nil"/>
            </w:tcBorders>
            <w:shd w:val="clear" w:color="000000" w:fill="FFFFFF"/>
            <w:noWrap/>
            <w:vAlign w:val="center"/>
            <w:hideMark/>
          </w:tcPr>
          <w:p w14:paraId="6DC82D49" w14:textId="77777777" w:rsidR="00504851" w:rsidRPr="00222F39" w:rsidRDefault="00504851" w:rsidP="00B33DC9">
            <w:pPr>
              <w:pStyle w:val="Tabletextcentred"/>
              <w:spacing w:before="50" w:after="50"/>
            </w:pPr>
            <w:r w:rsidRPr="00222F39">
              <w:t>-1.3935</w:t>
            </w:r>
          </w:p>
        </w:tc>
        <w:tc>
          <w:tcPr>
            <w:tcW w:w="565" w:type="pct"/>
            <w:tcBorders>
              <w:top w:val="nil"/>
              <w:left w:val="nil"/>
              <w:bottom w:val="nil"/>
              <w:right w:val="nil"/>
            </w:tcBorders>
            <w:shd w:val="clear" w:color="000000" w:fill="FFFFFF"/>
            <w:noWrap/>
            <w:vAlign w:val="center"/>
            <w:hideMark/>
          </w:tcPr>
          <w:p w14:paraId="337E4A8C" w14:textId="77777777" w:rsidR="00504851" w:rsidRPr="00222F39" w:rsidRDefault="00504851" w:rsidP="00B33DC9">
            <w:pPr>
              <w:pStyle w:val="Tabletextcentred"/>
              <w:spacing w:before="50" w:after="50"/>
            </w:pPr>
            <w:r w:rsidRPr="00222F39">
              <w:t>-0.1428</w:t>
            </w:r>
          </w:p>
        </w:tc>
        <w:tc>
          <w:tcPr>
            <w:tcW w:w="565" w:type="pct"/>
            <w:tcBorders>
              <w:top w:val="nil"/>
              <w:left w:val="nil"/>
              <w:bottom w:val="nil"/>
              <w:right w:val="nil"/>
            </w:tcBorders>
            <w:shd w:val="clear" w:color="000000" w:fill="FFFFFF"/>
            <w:noWrap/>
            <w:vAlign w:val="center"/>
            <w:hideMark/>
          </w:tcPr>
          <w:p w14:paraId="0EFEBA00" w14:textId="77777777" w:rsidR="00504851" w:rsidRPr="00222F39" w:rsidRDefault="00504851" w:rsidP="00B33DC9">
            <w:pPr>
              <w:pStyle w:val="Tabletextcentred"/>
              <w:spacing w:before="50" w:after="50"/>
            </w:pPr>
            <w:r w:rsidRPr="00222F39">
              <w:t>-0.518</w:t>
            </w:r>
          </w:p>
        </w:tc>
        <w:tc>
          <w:tcPr>
            <w:tcW w:w="565" w:type="pct"/>
            <w:tcBorders>
              <w:top w:val="nil"/>
              <w:left w:val="nil"/>
              <w:bottom w:val="nil"/>
              <w:right w:val="nil"/>
            </w:tcBorders>
            <w:shd w:val="clear" w:color="000000" w:fill="FFFFFF"/>
            <w:noWrap/>
            <w:vAlign w:val="center"/>
            <w:hideMark/>
          </w:tcPr>
          <w:p w14:paraId="5D323D02" w14:textId="77777777" w:rsidR="00504851" w:rsidRPr="00222F39" w:rsidRDefault="00504851" w:rsidP="00B33DC9">
            <w:pPr>
              <w:pStyle w:val="Tabletextcentred"/>
              <w:spacing w:before="50" w:after="50"/>
            </w:pPr>
            <w:r w:rsidRPr="00222F39">
              <w:t>0.2663</w:t>
            </w:r>
          </w:p>
        </w:tc>
        <w:tc>
          <w:tcPr>
            <w:tcW w:w="565" w:type="pct"/>
            <w:tcBorders>
              <w:top w:val="nil"/>
              <w:left w:val="nil"/>
              <w:bottom w:val="nil"/>
              <w:right w:val="nil"/>
            </w:tcBorders>
            <w:shd w:val="clear" w:color="000000" w:fill="FFFFFF"/>
            <w:noWrap/>
            <w:vAlign w:val="center"/>
            <w:hideMark/>
          </w:tcPr>
          <w:p w14:paraId="6B5B599B" w14:textId="77777777" w:rsidR="00504851" w:rsidRPr="00222F39" w:rsidRDefault="00504851" w:rsidP="00B33DC9">
            <w:pPr>
              <w:pStyle w:val="Tabletextcentred"/>
              <w:spacing w:before="50" w:after="50"/>
            </w:pPr>
            <w:r w:rsidRPr="00222F39">
              <w:t>-1.5607</w:t>
            </w:r>
          </w:p>
        </w:tc>
        <w:tc>
          <w:tcPr>
            <w:tcW w:w="565" w:type="pct"/>
            <w:tcBorders>
              <w:top w:val="nil"/>
              <w:left w:val="nil"/>
              <w:bottom w:val="nil"/>
              <w:right w:val="nil"/>
            </w:tcBorders>
            <w:shd w:val="clear" w:color="000000" w:fill="FFFFFF"/>
            <w:noWrap/>
            <w:vAlign w:val="center"/>
            <w:hideMark/>
          </w:tcPr>
          <w:p w14:paraId="2A896E05" w14:textId="77777777" w:rsidR="00504851" w:rsidRPr="00222F39" w:rsidRDefault="00504851" w:rsidP="00B33DC9">
            <w:pPr>
              <w:pStyle w:val="Tabletextcentred"/>
              <w:spacing w:before="50" w:after="50"/>
            </w:pPr>
            <w:r w:rsidRPr="00222F39">
              <w:t>-0.1295</w:t>
            </w:r>
          </w:p>
        </w:tc>
        <w:tc>
          <w:tcPr>
            <w:tcW w:w="565" w:type="pct"/>
            <w:tcBorders>
              <w:top w:val="nil"/>
              <w:left w:val="nil"/>
              <w:bottom w:val="nil"/>
              <w:right w:val="nil"/>
            </w:tcBorders>
            <w:shd w:val="clear" w:color="000000" w:fill="FFFFFF"/>
            <w:noWrap/>
            <w:vAlign w:val="center"/>
            <w:hideMark/>
          </w:tcPr>
          <w:p w14:paraId="754E8011" w14:textId="77777777" w:rsidR="00504851" w:rsidRPr="00222F39" w:rsidRDefault="00504851" w:rsidP="00B33DC9">
            <w:pPr>
              <w:pStyle w:val="Tabletextcentred"/>
              <w:spacing w:before="50" w:after="50"/>
            </w:pPr>
            <w:r w:rsidRPr="00222F39">
              <w:t>-1.2166</w:t>
            </w:r>
          </w:p>
        </w:tc>
      </w:tr>
      <w:tr w:rsidR="004272FE" w:rsidRPr="00222F39" w14:paraId="16433D6A" w14:textId="77777777" w:rsidTr="004272FE">
        <w:trPr>
          <w:trHeight w:val="300"/>
        </w:trPr>
        <w:tc>
          <w:tcPr>
            <w:tcW w:w="1042" w:type="pct"/>
            <w:tcBorders>
              <w:top w:val="nil"/>
              <w:left w:val="nil"/>
              <w:bottom w:val="nil"/>
              <w:right w:val="nil"/>
            </w:tcBorders>
            <w:shd w:val="clear" w:color="auto" w:fill="F2F2F2" w:themeFill="background1" w:themeFillShade="F2"/>
            <w:vAlign w:val="center"/>
            <w:hideMark/>
          </w:tcPr>
          <w:p w14:paraId="4DB45686" w14:textId="77777777" w:rsidR="00504851" w:rsidRPr="00222F39" w:rsidRDefault="00504851" w:rsidP="00B33DC9">
            <w:pPr>
              <w:pStyle w:val="Tabletextleft0"/>
              <w:spacing w:before="50" w:after="50"/>
            </w:pPr>
            <w:r w:rsidRPr="00222F39">
              <w:t>South Australia</w:t>
            </w:r>
          </w:p>
        </w:tc>
        <w:tc>
          <w:tcPr>
            <w:tcW w:w="565" w:type="pct"/>
            <w:tcBorders>
              <w:top w:val="nil"/>
              <w:left w:val="nil"/>
              <w:bottom w:val="nil"/>
              <w:right w:val="nil"/>
            </w:tcBorders>
            <w:shd w:val="clear" w:color="auto" w:fill="F2F2F2" w:themeFill="background1" w:themeFillShade="F2"/>
            <w:noWrap/>
            <w:vAlign w:val="center"/>
            <w:hideMark/>
          </w:tcPr>
          <w:p w14:paraId="1A681FB5" w14:textId="77777777" w:rsidR="00504851" w:rsidRPr="00222F39" w:rsidRDefault="00504851" w:rsidP="00B33DC9">
            <w:pPr>
              <w:pStyle w:val="Tabletextcentred"/>
              <w:spacing w:before="50" w:after="50"/>
            </w:pPr>
            <w:r w:rsidRPr="00222F39">
              <w:t>-0.0579</w:t>
            </w:r>
          </w:p>
        </w:tc>
        <w:tc>
          <w:tcPr>
            <w:tcW w:w="565" w:type="pct"/>
            <w:tcBorders>
              <w:top w:val="nil"/>
              <w:left w:val="nil"/>
              <w:bottom w:val="nil"/>
              <w:right w:val="nil"/>
            </w:tcBorders>
            <w:shd w:val="clear" w:color="auto" w:fill="F2F2F2" w:themeFill="background1" w:themeFillShade="F2"/>
            <w:noWrap/>
            <w:vAlign w:val="center"/>
            <w:hideMark/>
          </w:tcPr>
          <w:p w14:paraId="2795321B" w14:textId="77777777" w:rsidR="00504851" w:rsidRPr="00222F39" w:rsidRDefault="00504851" w:rsidP="00B33DC9">
            <w:pPr>
              <w:pStyle w:val="Tabletextcentred"/>
              <w:spacing w:before="50" w:after="50"/>
            </w:pPr>
            <w:r w:rsidRPr="00222F39">
              <w:t>1.0356</w:t>
            </w:r>
          </w:p>
        </w:tc>
        <w:tc>
          <w:tcPr>
            <w:tcW w:w="565" w:type="pct"/>
            <w:tcBorders>
              <w:top w:val="nil"/>
              <w:left w:val="nil"/>
              <w:bottom w:val="nil"/>
              <w:right w:val="nil"/>
            </w:tcBorders>
            <w:shd w:val="clear" w:color="auto" w:fill="F2F2F2" w:themeFill="background1" w:themeFillShade="F2"/>
            <w:noWrap/>
            <w:vAlign w:val="center"/>
            <w:hideMark/>
          </w:tcPr>
          <w:p w14:paraId="21AFF700" w14:textId="77777777" w:rsidR="00504851" w:rsidRPr="00222F39" w:rsidRDefault="00504851" w:rsidP="00B33DC9">
            <w:pPr>
              <w:pStyle w:val="Tabletextcentred"/>
              <w:spacing w:before="50" w:after="50"/>
            </w:pPr>
            <w:r w:rsidRPr="00222F39">
              <w:t>0.4647</w:t>
            </w:r>
          </w:p>
        </w:tc>
        <w:tc>
          <w:tcPr>
            <w:tcW w:w="565" w:type="pct"/>
            <w:tcBorders>
              <w:top w:val="nil"/>
              <w:left w:val="nil"/>
              <w:bottom w:val="nil"/>
              <w:right w:val="nil"/>
            </w:tcBorders>
            <w:shd w:val="clear" w:color="auto" w:fill="F2F2F2" w:themeFill="background1" w:themeFillShade="F2"/>
            <w:noWrap/>
            <w:vAlign w:val="center"/>
            <w:hideMark/>
          </w:tcPr>
          <w:p w14:paraId="76A36F86" w14:textId="77777777" w:rsidR="00504851" w:rsidRPr="00222F39" w:rsidRDefault="00504851" w:rsidP="00B33DC9">
            <w:pPr>
              <w:pStyle w:val="Tabletextcentred"/>
              <w:spacing w:before="50" w:after="50"/>
            </w:pPr>
            <w:r w:rsidRPr="00222F39">
              <w:t>-0.2159</w:t>
            </w:r>
          </w:p>
        </w:tc>
        <w:tc>
          <w:tcPr>
            <w:tcW w:w="565" w:type="pct"/>
            <w:tcBorders>
              <w:top w:val="nil"/>
              <w:left w:val="nil"/>
              <w:bottom w:val="nil"/>
              <w:right w:val="nil"/>
            </w:tcBorders>
            <w:shd w:val="clear" w:color="auto" w:fill="F2F2F2" w:themeFill="background1" w:themeFillShade="F2"/>
            <w:noWrap/>
            <w:vAlign w:val="center"/>
            <w:hideMark/>
          </w:tcPr>
          <w:p w14:paraId="76FA4E2E" w14:textId="77777777" w:rsidR="00504851" w:rsidRPr="00222F39" w:rsidRDefault="00504851" w:rsidP="00B33DC9">
            <w:pPr>
              <w:pStyle w:val="Tabletextcentred"/>
              <w:spacing w:before="50" w:after="50"/>
            </w:pPr>
            <w:r w:rsidRPr="00222F39">
              <w:t>-0.5952</w:t>
            </w:r>
          </w:p>
        </w:tc>
        <w:tc>
          <w:tcPr>
            <w:tcW w:w="565" w:type="pct"/>
            <w:tcBorders>
              <w:top w:val="nil"/>
              <w:left w:val="nil"/>
              <w:bottom w:val="nil"/>
              <w:right w:val="nil"/>
            </w:tcBorders>
            <w:shd w:val="clear" w:color="auto" w:fill="F2F2F2" w:themeFill="background1" w:themeFillShade="F2"/>
            <w:noWrap/>
            <w:vAlign w:val="center"/>
            <w:hideMark/>
          </w:tcPr>
          <w:p w14:paraId="7B962721" w14:textId="77777777" w:rsidR="00504851" w:rsidRPr="00222F39" w:rsidRDefault="00504851" w:rsidP="00B33DC9">
            <w:pPr>
              <w:pStyle w:val="Tabletextcentred"/>
              <w:spacing w:before="50" w:after="50"/>
            </w:pPr>
            <w:r w:rsidRPr="00222F39">
              <w:t>-0.1825</w:t>
            </w:r>
          </w:p>
        </w:tc>
        <w:tc>
          <w:tcPr>
            <w:tcW w:w="565" w:type="pct"/>
            <w:tcBorders>
              <w:top w:val="nil"/>
              <w:left w:val="nil"/>
              <w:bottom w:val="nil"/>
              <w:right w:val="nil"/>
            </w:tcBorders>
            <w:shd w:val="clear" w:color="auto" w:fill="F2F2F2" w:themeFill="background1" w:themeFillShade="F2"/>
            <w:noWrap/>
            <w:vAlign w:val="center"/>
            <w:hideMark/>
          </w:tcPr>
          <w:p w14:paraId="4A6816E5" w14:textId="77777777" w:rsidR="00504851" w:rsidRPr="00222F39" w:rsidRDefault="00504851" w:rsidP="00B33DC9">
            <w:pPr>
              <w:pStyle w:val="Tabletextcentred"/>
              <w:spacing w:before="50" w:after="50"/>
            </w:pPr>
            <w:r w:rsidRPr="00222F39">
              <w:t>-0.6028</w:t>
            </w:r>
          </w:p>
        </w:tc>
      </w:tr>
      <w:tr w:rsidR="00504851" w:rsidRPr="00222F39" w14:paraId="5EC83643" w14:textId="77777777" w:rsidTr="004272FE">
        <w:trPr>
          <w:trHeight w:val="300"/>
        </w:trPr>
        <w:tc>
          <w:tcPr>
            <w:tcW w:w="1042" w:type="pct"/>
            <w:tcBorders>
              <w:top w:val="nil"/>
              <w:left w:val="nil"/>
              <w:bottom w:val="nil"/>
              <w:right w:val="nil"/>
            </w:tcBorders>
            <w:shd w:val="clear" w:color="000000" w:fill="FFFFFF"/>
            <w:vAlign w:val="center"/>
            <w:hideMark/>
          </w:tcPr>
          <w:p w14:paraId="2C97C667" w14:textId="77777777" w:rsidR="00504851" w:rsidRPr="00222F39" w:rsidRDefault="00504851" w:rsidP="00B33DC9">
            <w:pPr>
              <w:pStyle w:val="Tabletextleft0"/>
              <w:spacing w:before="50" w:after="50"/>
            </w:pPr>
            <w:r w:rsidRPr="00222F39">
              <w:t>Tasmania</w:t>
            </w:r>
          </w:p>
        </w:tc>
        <w:tc>
          <w:tcPr>
            <w:tcW w:w="565" w:type="pct"/>
            <w:tcBorders>
              <w:top w:val="nil"/>
              <w:left w:val="nil"/>
              <w:bottom w:val="nil"/>
              <w:right w:val="nil"/>
            </w:tcBorders>
            <w:shd w:val="clear" w:color="000000" w:fill="FFFFFF"/>
            <w:noWrap/>
            <w:vAlign w:val="center"/>
            <w:hideMark/>
          </w:tcPr>
          <w:p w14:paraId="55A32E6A" w14:textId="77777777" w:rsidR="00504851" w:rsidRPr="00222F39" w:rsidRDefault="00504851" w:rsidP="00B33DC9">
            <w:pPr>
              <w:pStyle w:val="Tabletextcentred"/>
              <w:spacing w:before="50" w:after="50"/>
            </w:pPr>
            <w:r w:rsidRPr="00222F39">
              <w:t>0.3651</w:t>
            </w:r>
          </w:p>
        </w:tc>
        <w:tc>
          <w:tcPr>
            <w:tcW w:w="565" w:type="pct"/>
            <w:tcBorders>
              <w:top w:val="nil"/>
              <w:left w:val="nil"/>
              <w:bottom w:val="nil"/>
              <w:right w:val="nil"/>
            </w:tcBorders>
            <w:shd w:val="clear" w:color="000000" w:fill="FFFFFF"/>
            <w:noWrap/>
            <w:vAlign w:val="center"/>
            <w:hideMark/>
          </w:tcPr>
          <w:p w14:paraId="70387FE8" w14:textId="77777777" w:rsidR="00504851" w:rsidRPr="00222F39" w:rsidRDefault="00504851" w:rsidP="00B33DC9">
            <w:pPr>
              <w:pStyle w:val="Tabletextcentred"/>
              <w:spacing w:before="50" w:after="50"/>
            </w:pPr>
            <w:r w:rsidRPr="00222F39">
              <w:t>-1.8518</w:t>
            </w:r>
          </w:p>
        </w:tc>
        <w:tc>
          <w:tcPr>
            <w:tcW w:w="565" w:type="pct"/>
            <w:tcBorders>
              <w:top w:val="nil"/>
              <w:left w:val="nil"/>
              <w:bottom w:val="nil"/>
              <w:right w:val="nil"/>
            </w:tcBorders>
            <w:shd w:val="clear" w:color="000000" w:fill="FFFFFF"/>
            <w:noWrap/>
            <w:vAlign w:val="center"/>
            <w:hideMark/>
          </w:tcPr>
          <w:p w14:paraId="428FDA99" w14:textId="77777777" w:rsidR="00504851" w:rsidRPr="00222F39" w:rsidRDefault="00504851" w:rsidP="00B33DC9">
            <w:pPr>
              <w:pStyle w:val="Tabletextcentred"/>
              <w:spacing w:before="50" w:after="50"/>
            </w:pPr>
            <w:r w:rsidRPr="00222F39">
              <w:t>0.5323</w:t>
            </w:r>
          </w:p>
        </w:tc>
        <w:tc>
          <w:tcPr>
            <w:tcW w:w="565" w:type="pct"/>
            <w:tcBorders>
              <w:top w:val="nil"/>
              <w:left w:val="nil"/>
              <w:bottom w:val="nil"/>
              <w:right w:val="nil"/>
            </w:tcBorders>
            <w:shd w:val="clear" w:color="000000" w:fill="FFFFFF"/>
            <w:noWrap/>
            <w:vAlign w:val="center"/>
            <w:hideMark/>
          </w:tcPr>
          <w:p w14:paraId="23C1E80A" w14:textId="77777777" w:rsidR="00504851" w:rsidRPr="00222F39" w:rsidRDefault="00504851" w:rsidP="00B33DC9">
            <w:pPr>
              <w:pStyle w:val="Tabletextcentred"/>
              <w:spacing w:before="50" w:after="50"/>
            </w:pPr>
            <w:r w:rsidRPr="00222F39">
              <w:t>-0.3376</w:t>
            </w:r>
          </w:p>
        </w:tc>
        <w:tc>
          <w:tcPr>
            <w:tcW w:w="565" w:type="pct"/>
            <w:tcBorders>
              <w:top w:val="nil"/>
              <w:left w:val="nil"/>
              <w:bottom w:val="nil"/>
              <w:right w:val="nil"/>
            </w:tcBorders>
            <w:shd w:val="clear" w:color="000000" w:fill="FFFFFF"/>
            <w:noWrap/>
            <w:vAlign w:val="center"/>
            <w:hideMark/>
          </w:tcPr>
          <w:p w14:paraId="60EF93E8" w14:textId="77777777" w:rsidR="00504851" w:rsidRPr="00222F39" w:rsidRDefault="00504851" w:rsidP="00B33DC9">
            <w:pPr>
              <w:pStyle w:val="Tabletextcentred"/>
              <w:spacing w:before="50" w:after="50"/>
            </w:pPr>
            <w:r w:rsidRPr="00222F39">
              <w:t>-0.723</w:t>
            </w:r>
          </w:p>
        </w:tc>
        <w:tc>
          <w:tcPr>
            <w:tcW w:w="565" w:type="pct"/>
            <w:tcBorders>
              <w:top w:val="nil"/>
              <w:left w:val="nil"/>
              <w:bottom w:val="nil"/>
              <w:right w:val="nil"/>
            </w:tcBorders>
            <w:shd w:val="clear" w:color="000000" w:fill="FFFFFF"/>
            <w:noWrap/>
            <w:vAlign w:val="center"/>
            <w:hideMark/>
          </w:tcPr>
          <w:p w14:paraId="620A2809" w14:textId="77777777" w:rsidR="00504851" w:rsidRPr="00222F39" w:rsidRDefault="00504851" w:rsidP="00B33DC9">
            <w:pPr>
              <w:pStyle w:val="Tabletextcentred"/>
              <w:spacing w:before="50" w:after="50"/>
            </w:pPr>
            <w:r w:rsidRPr="00222F39">
              <w:t>2.4718</w:t>
            </w:r>
          </w:p>
        </w:tc>
        <w:tc>
          <w:tcPr>
            <w:tcW w:w="565" w:type="pct"/>
            <w:tcBorders>
              <w:top w:val="nil"/>
              <w:left w:val="nil"/>
              <w:bottom w:val="nil"/>
              <w:right w:val="nil"/>
            </w:tcBorders>
            <w:shd w:val="clear" w:color="000000" w:fill="FFFFFF"/>
            <w:noWrap/>
            <w:vAlign w:val="center"/>
            <w:hideMark/>
          </w:tcPr>
          <w:p w14:paraId="3AAECBAB" w14:textId="77777777" w:rsidR="00504851" w:rsidRPr="00222F39" w:rsidRDefault="00504851" w:rsidP="00B33DC9">
            <w:pPr>
              <w:pStyle w:val="Tabletextcentred"/>
              <w:spacing w:before="50" w:after="50"/>
            </w:pPr>
            <w:r w:rsidRPr="00222F39">
              <w:t>-1.9223</w:t>
            </w:r>
          </w:p>
        </w:tc>
      </w:tr>
      <w:tr w:rsidR="004272FE" w:rsidRPr="00222F39" w14:paraId="3DDD73AE" w14:textId="77777777" w:rsidTr="004272FE">
        <w:trPr>
          <w:trHeight w:val="300"/>
        </w:trPr>
        <w:tc>
          <w:tcPr>
            <w:tcW w:w="1042" w:type="pct"/>
            <w:tcBorders>
              <w:top w:val="nil"/>
              <w:left w:val="nil"/>
              <w:right w:val="nil"/>
            </w:tcBorders>
            <w:shd w:val="clear" w:color="auto" w:fill="F2F2F2" w:themeFill="background1" w:themeFillShade="F2"/>
            <w:vAlign w:val="center"/>
            <w:hideMark/>
          </w:tcPr>
          <w:p w14:paraId="41D68BB2" w14:textId="77777777" w:rsidR="00504851" w:rsidRPr="00222F39" w:rsidRDefault="00504851" w:rsidP="00B33DC9">
            <w:pPr>
              <w:pStyle w:val="Tabletextleft0"/>
              <w:spacing w:before="50" w:after="50"/>
            </w:pPr>
            <w:r w:rsidRPr="00222F39">
              <w:t>Victoria</w:t>
            </w:r>
          </w:p>
        </w:tc>
        <w:tc>
          <w:tcPr>
            <w:tcW w:w="565" w:type="pct"/>
            <w:tcBorders>
              <w:top w:val="nil"/>
              <w:left w:val="nil"/>
              <w:right w:val="nil"/>
            </w:tcBorders>
            <w:shd w:val="clear" w:color="auto" w:fill="F2F2F2" w:themeFill="background1" w:themeFillShade="F2"/>
            <w:noWrap/>
            <w:vAlign w:val="center"/>
            <w:hideMark/>
          </w:tcPr>
          <w:p w14:paraId="5EB9FFF5" w14:textId="77777777" w:rsidR="00504851" w:rsidRPr="00222F39" w:rsidRDefault="00504851" w:rsidP="00B33DC9">
            <w:pPr>
              <w:pStyle w:val="Tabletextcentred"/>
              <w:spacing w:before="50" w:after="50"/>
            </w:pPr>
            <w:r w:rsidRPr="00222F39">
              <w:t>-0.6518</w:t>
            </w:r>
          </w:p>
        </w:tc>
        <w:tc>
          <w:tcPr>
            <w:tcW w:w="565" w:type="pct"/>
            <w:tcBorders>
              <w:top w:val="nil"/>
              <w:left w:val="nil"/>
              <w:right w:val="nil"/>
            </w:tcBorders>
            <w:shd w:val="clear" w:color="auto" w:fill="F2F2F2" w:themeFill="background1" w:themeFillShade="F2"/>
            <w:noWrap/>
            <w:vAlign w:val="center"/>
            <w:hideMark/>
          </w:tcPr>
          <w:p w14:paraId="209D411C" w14:textId="77777777" w:rsidR="00504851" w:rsidRPr="00222F39" w:rsidRDefault="00504851" w:rsidP="00B33DC9">
            <w:pPr>
              <w:pStyle w:val="Tabletextcentred"/>
              <w:spacing w:before="50" w:after="50"/>
            </w:pPr>
            <w:r w:rsidRPr="00222F39">
              <w:t>-0.2091</w:t>
            </w:r>
          </w:p>
        </w:tc>
        <w:tc>
          <w:tcPr>
            <w:tcW w:w="565" w:type="pct"/>
            <w:tcBorders>
              <w:top w:val="nil"/>
              <w:left w:val="nil"/>
              <w:right w:val="nil"/>
            </w:tcBorders>
            <w:shd w:val="clear" w:color="auto" w:fill="F2F2F2" w:themeFill="background1" w:themeFillShade="F2"/>
            <w:noWrap/>
            <w:vAlign w:val="center"/>
            <w:hideMark/>
          </w:tcPr>
          <w:p w14:paraId="4BD78040" w14:textId="77777777" w:rsidR="00504851" w:rsidRPr="00222F39" w:rsidRDefault="00504851" w:rsidP="00B33DC9">
            <w:pPr>
              <w:pStyle w:val="Tabletextcentred"/>
              <w:spacing w:before="50" w:after="50"/>
            </w:pPr>
            <w:r w:rsidRPr="00222F39">
              <w:t>-2.5197</w:t>
            </w:r>
          </w:p>
        </w:tc>
        <w:tc>
          <w:tcPr>
            <w:tcW w:w="565" w:type="pct"/>
            <w:tcBorders>
              <w:top w:val="nil"/>
              <w:left w:val="nil"/>
              <w:right w:val="nil"/>
            </w:tcBorders>
            <w:shd w:val="clear" w:color="auto" w:fill="F2F2F2" w:themeFill="background1" w:themeFillShade="F2"/>
            <w:noWrap/>
            <w:vAlign w:val="center"/>
            <w:hideMark/>
          </w:tcPr>
          <w:p w14:paraId="255FF01E" w14:textId="77777777" w:rsidR="00504851" w:rsidRPr="00222F39" w:rsidRDefault="00504851" w:rsidP="00B33DC9">
            <w:pPr>
              <w:pStyle w:val="Tabletextcentred"/>
              <w:spacing w:before="50" w:after="50"/>
            </w:pPr>
            <w:r w:rsidRPr="00222F39">
              <w:t>-2.7517</w:t>
            </w:r>
          </w:p>
        </w:tc>
        <w:tc>
          <w:tcPr>
            <w:tcW w:w="565" w:type="pct"/>
            <w:tcBorders>
              <w:top w:val="nil"/>
              <w:left w:val="nil"/>
              <w:right w:val="nil"/>
            </w:tcBorders>
            <w:shd w:val="clear" w:color="auto" w:fill="F2F2F2" w:themeFill="background1" w:themeFillShade="F2"/>
            <w:noWrap/>
            <w:vAlign w:val="center"/>
            <w:hideMark/>
          </w:tcPr>
          <w:p w14:paraId="6C8B72B5" w14:textId="77777777" w:rsidR="00504851" w:rsidRPr="00222F39" w:rsidRDefault="00504851" w:rsidP="00B33DC9">
            <w:pPr>
              <w:pStyle w:val="Tabletextcentred"/>
              <w:spacing w:before="50" w:after="50"/>
            </w:pPr>
            <w:r w:rsidRPr="00222F39">
              <w:t>-3.0545</w:t>
            </w:r>
          </w:p>
        </w:tc>
        <w:tc>
          <w:tcPr>
            <w:tcW w:w="565" w:type="pct"/>
            <w:tcBorders>
              <w:top w:val="nil"/>
              <w:left w:val="nil"/>
              <w:right w:val="nil"/>
            </w:tcBorders>
            <w:shd w:val="clear" w:color="auto" w:fill="F2F2F2" w:themeFill="background1" w:themeFillShade="F2"/>
            <w:noWrap/>
            <w:vAlign w:val="center"/>
            <w:hideMark/>
          </w:tcPr>
          <w:p w14:paraId="3CBC725B" w14:textId="77777777" w:rsidR="00504851" w:rsidRPr="00222F39" w:rsidRDefault="00504851" w:rsidP="00B33DC9">
            <w:pPr>
              <w:pStyle w:val="Tabletextcentred"/>
              <w:spacing w:before="50" w:after="50"/>
            </w:pPr>
            <w:r w:rsidRPr="00222F39">
              <w:t>-0.6509</w:t>
            </w:r>
          </w:p>
        </w:tc>
        <w:tc>
          <w:tcPr>
            <w:tcW w:w="565" w:type="pct"/>
            <w:tcBorders>
              <w:top w:val="nil"/>
              <w:left w:val="nil"/>
              <w:right w:val="nil"/>
            </w:tcBorders>
            <w:shd w:val="clear" w:color="auto" w:fill="F2F2F2" w:themeFill="background1" w:themeFillShade="F2"/>
            <w:noWrap/>
            <w:vAlign w:val="center"/>
            <w:hideMark/>
          </w:tcPr>
          <w:p w14:paraId="247BD66A" w14:textId="77777777" w:rsidR="00504851" w:rsidRPr="00222F39" w:rsidRDefault="00504851" w:rsidP="00B33DC9">
            <w:pPr>
              <w:pStyle w:val="Tabletextcentred"/>
              <w:spacing w:before="50" w:after="50"/>
            </w:pPr>
            <w:r w:rsidRPr="00222F39">
              <w:t>-2.0451</w:t>
            </w:r>
          </w:p>
        </w:tc>
      </w:tr>
      <w:tr w:rsidR="00504851" w:rsidRPr="00222F39" w14:paraId="4210D3D2" w14:textId="77777777" w:rsidTr="004272FE">
        <w:trPr>
          <w:trHeight w:val="300"/>
        </w:trPr>
        <w:tc>
          <w:tcPr>
            <w:tcW w:w="1042" w:type="pct"/>
            <w:tcBorders>
              <w:top w:val="nil"/>
              <w:left w:val="nil"/>
              <w:bottom w:val="single" w:sz="4" w:space="0" w:color="auto"/>
              <w:right w:val="nil"/>
            </w:tcBorders>
            <w:shd w:val="clear" w:color="000000" w:fill="FFFFFF"/>
            <w:vAlign w:val="center"/>
            <w:hideMark/>
          </w:tcPr>
          <w:p w14:paraId="73ABA583" w14:textId="77777777" w:rsidR="00504851" w:rsidRPr="00222F39" w:rsidRDefault="00504851" w:rsidP="00B33DC9">
            <w:pPr>
              <w:pStyle w:val="Tabletextleft0"/>
              <w:spacing w:before="50" w:after="50"/>
            </w:pPr>
            <w:r w:rsidRPr="00222F39">
              <w:t>Western Australia</w:t>
            </w:r>
          </w:p>
        </w:tc>
        <w:tc>
          <w:tcPr>
            <w:tcW w:w="565" w:type="pct"/>
            <w:tcBorders>
              <w:top w:val="nil"/>
              <w:left w:val="nil"/>
              <w:bottom w:val="single" w:sz="4" w:space="0" w:color="auto"/>
              <w:right w:val="nil"/>
            </w:tcBorders>
            <w:shd w:val="clear" w:color="000000" w:fill="FFFFFF"/>
            <w:noWrap/>
            <w:vAlign w:val="center"/>
            <w:hideMark/>
          </w:tcPr>
          <w:p w14:paraId="1AF9817C" w14:textId="77777777" w:rsidR="00504851" w:rsidRPr="00222F39" w:rsidRDefault="00504851" w:rsidP="00B33DC9">
            <w:pPr>
              <w:pStyle w:val="Tabletextcentred"/>
              <w:spacing w:before="50" w:after="50"/>
            </w:pPr>
            <w:r w:rsidRPr="00222F39">
              <w:t>-1.0276</w:t>
            </w:r>
          </w:p>
        </w:tc>
        <w:tc>
          <w:tcPr>
            <w:tcW w:w="565" w:type="pct"/>
            <w:tcBorders>
              <w:top w:val="nil"/>
              <w:left w:val="nil"/>
              <w:bottom w:val="single" w:sz="4" w:space="0" w:color="auto"/>
              <w:right w:val="nil"/>
            </w:tcBorders>
            <w:shd w:val="clear" w:color="000000" w:fill="FFFFFF"/>
            <w:noWrap/>
            <w:vAlign w:val="center"/>
            <w:hideMark/>
          </w:tcPr>
          <w:p w14:paraId="70E9454A" w14:textId="77777777" w:rsidR="00504851" w:rsidRPr="00222F39" w:rsidRDefault="00504851" w:rsidP="00B33DC9">
            <w:pPr>
              <w:pStyle w:val="Tabletextcentred"/>
              <w:spacing w:before="50" w:after="50"/>
            </w:pPr>
            <w:r w:rsidRPr="00222F39">
              <w:t>-0.1714</w:t>
            </w:r>
          </w:p>
        </w:tc>
        <w:tc>
          <w:tcPr>
            <w:tcW w:w="565" w:type="pct"/>
            <w:tcBorders>
              <w:top w:val="nil"/>
              <w:left w:val="nil"/>
              <w:bottom w:val="single" w:sz="4" w:space="0" w:color="auto"/>
              <w:right w:val="nil"/>
            </w:tcBorders>
            <w:shd w:val="clear" w:color="000000" w:fill="FFFFFF"/>
            <w:noWrap/>
            <w:vAlign w:val="center"/>
            <w:hideMark/>
          </w:tcPr>
          <w:p w14:paraId="40142085" w14:textId="77777777" w:rsidR="00504851" w:rsidRPr="00222F39" w:rsidRDefault="00504851" w:rsidP="00B33DC9">
            <w:pPr>
              <w:pStyle w:val="Tabletextcentred"/>
              <w:spacing w:before="50" w:after="50"/>
            </w:pPr>
            <w:r w:rsidRPr="00222F39">
              <w:t>-1.6538</w:t>
            </w:r>
          </w:p>
        </w:tc>
        <w:tc>
          <w:tcPr>
            <w:tcW w:w="565" w:type="pct"/>
            <w:tcBorders>
              <w:top w:val="nil"/>
              <w:left w:val="nil"/>
              <w:bottom w:val="single" w:sz="4" w:space="0" w:color="auto"/>
              <w:right w:val="nil"/>
            </w:tcBorders>
            <w:shd w:val="clear" w:color="000000" w:fill="FFFFFF"/>
            <w:noWrap/>
            <w:vAlign w:val="center"/>
            <w:hideMark/>
          </w:tcPr>
          <w:p w14:paraId="5F3052B9" w14:textId="77777777" w:rsidR="00504851" w:rsidRPr="00222F39" w:rsidRDefault="00504851" w:rsidP="00B33DC9">
            <w:pPr>
              <w:pStyle w:val="Tabletextcentred"/>
              <w:spacing w:before="50" w:after="50"/>
            </w:pPr>
            <w:r w:rsidRPr="00222F39">
              <w:t>-1.3621</w:t>
            </w:r>
          </w:p>
        </w:tc>
        <w:tc>
          <w:tcPr>
            <w:tcW w:w="565" w:type="pct"/>
            <w:tcBorders>
              <w:top w:val="nil"/>
              <w:left w:val="nil"/>
              <w:bottom w:val="single" w:sz="4" w:space="0" w:color="auto"/>
              <w:right w:val="nil"/>
            </w:tcBorders>
            <w:shd w:val="clear" w:color="000000" w:fill="FFFFFF"/>
            <w:noWrap/>
            <w:vAlign w:val="center"/>
            <w:hideMark/>
          </w:tcPr>
          <w:p w14:paraId="5BE27D30" w14:textId="77777777" w:rsidR="00504851" w:rsidRPr="00222F39" w:rsidRDefault="00504851" w:rsidP="00B33DC9">
            <w:pPr>
              <w:pStyle w:val="Tabletextcentred"/>
              <w:spacing w:before="50" w:after="50"/>
            </w:pPr>
            <w:r w:rsidRPr="00222F39">
              <w:t>-3.4023</w:t>
            </w:r>
          </w:p>
        </w:tc>
        <w:tc>
          <w:tcPr>
            <w:tcW w:w="565" w:type="pct"/>
            <w:tcBorders>
              <w:top w:val="nil"/>
              <w:left w:val="nil"/>
              <w:bottom w:val="single" w:sz="4" w:space="0" w:color="auto"/>
              <w:right w:val="nil"/>
            </w:tcBorders>
            <w:shd w:val="clear" w:color="000000" w:fill="FFFFFF"/>
            <w:noWrap/>
            <w:vAlign w:val="center"/>
            <w:hideMark/>
          </w:tcPr>
          <w:p w14:paraId="1AE98F8E" w14:textId="77777777" w:rsidR="00504851" w:rsidRPr="00222F39" w:rsidRDefault="00504851" w:rsidP="00B33DC9">
            <w:pPr>
              <w:pStyle w:val="Tabletextcentred"/>
              <w:spacing w:before="50" w:after="50"/>
            </w:pPr>
            <w:r w:rsidRPr="00222F39">
              <w:t>-2.4761</w:t>
            </w:r>
          </w:p>
        </w:tc>
        <w:tc>
          <w:tcPr>
            <w:tcW w:w="565" w:type="pct"/>
            <w:tcBorders>
              <w:top w:val="nil"/>
              <w:left w:val="nil"/>
              <w:bottom w:val="single" w:sz="4" w:space="0" w:color="auto"/>
              <w:right w:val="nil"/>
            </w:tcBorders>
            <w:shd w:val="clear" w:color="000000" w:fill="FFFFFF"/>
            <w:noWrap/>
            <w:vAlign w:val="center"/>
            <w:hideMark/>
          </w:tcPr>
          <w:p w14:paraId="0D34EA65" w14:textId="77777777" w:rsidR="00504851" w:rsidRPr="00222F39" w:rsidRDefault="00504851" w:rsidP="00B33DC9">
            <w:pPr>
              <w:pStyle w:val="Tabletextcentred"/>
              <w:spacing w:before="50" w:after="50"/>
            </w:pPr>
            <w:r w:rsidRPr="00222F39">
              <w:t>-2.9388</w:t>
            </w:r>
          </w:p>
        </w:tc>
      </w:tr>
    </w:tbl>
    <w:p w14:paraId="6B585CF9" w14:textId="77777777" w:rsidR="00B33DC9" w:rsidRPr="00B33DC9" w:rsidRDefault="00B33DC9" w:rsidP="00B33DC9"/>
    <w:p w14:paraId="37F3A907" w14:textId="77777777" w:rsidR="00B33DC9" w:rsidRPr="00B33DC9" w:rsidRDefault="00B33DC9" w:rsidP="00B33DC9"/>
    <w:p w14:paraId="03B0649D" w14:textId="77777777" w:rsidR="00B0794C" w:rsidRPr="00B33DC9" w:rsidRDefault="00B0794C" w:rsidP="00B33DC9">
      <w:r w:rsidRPr="00B33DC9">
        <w:br w:type="page"/>
      </w:r>
    </w:p>
    <w:p w14:paraId="21108BE4" w14:textId="77777777" w:rsidR="00B0794C" w:rsidRDefault="00222F39" w:rsidP="00D22AF2">
      <w:pPr>
        <w:pStyle w:val="AppendixHeadingLevel2NotNumbered"/>
      </w:pPr>
      <w:bookmarkStart w:id="16" w:name="_Toc509306070"/>
      <w:r>
        <w:lastRenderedPageBreak/>
        <w:t>Appendix D</w:t>
      </w:r>
      <w:bookmarkEnd w:id="16"/>
    </w:p>
    <w:p w14:paraId="6C482BFE" w14:textId="21EAEECD" w:rsidR="00983BBA" w:rsidRPr="004272FE" w:rsidRDefault="00983BBA" w:rsidP="004272FE">
      <w:pPr>
        <w:pStyle w:val="ChartMainHeading"/>
      </w:pPr>
      <w:r w:rsidRPr="004272FE">
        <w:t>Chart</w:t>
      </w:r>
      <w:r w:rsidR="001D22D1" w:rsidRPr="004272FE">
        <w:t xml:space="preserve"> D1: Taxable wages for Victoria</w:t>
      </w:r>
      <w:r w:rsidRPr="004272FE">
        <w:t xml:space="preserve"> 201</w:t>
      </w:r>
      <w:r w:rsidR="007A669A" w:rsidRPr="004272FE">
        <w:t>0-1</w:t>
      </w:r>
      <w:r w:rsidRPr="004272FE">
        <w:t>1 (threshold $550,000)</w:t>
      </w:r>
    </w:p>
    <w:p w14:paraId="17110811" w14:textId="77777777" w:rsidR="002F4C62" w:rsidRDefault="00983BBA" w:rsidP="002F4C62">
      <w:pPr>
        <w:pStyle w:val="ChartGraphic"/>
      </w:pPr>
      <w:r>
        <w:rPr>
          <w:noProof/>
        </w:rPr>
        <w:drawing>
          <wp:inline distT="0" distB="0" distL="0" distR="0" wp14:anchorId="701E4836" wp14:editId="599135F9">
            <wp:extent cx="5580000" cy="3600000"/>
            <wp:effectExtent l="0" t="0" r="1905" b="63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25" b="7452"/>
                    <a:stretch/>
                  </pic:blipFill>
                  <pic:spPr bwMode="auto">
                    <a:xfrm>
                      <a:off x="0" y="0"/>
                      <a:ext cx="558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58788F9A" w14:textId="5C6A8B28" w:rsidR="00983BBA" w:rsidRPr="001D22D1" w:rsidRDefault="002F4C62" w:rsidP="00116242">
      <w:pPr>
        <w:pStyle w:val="ChartorTableNote"/>
        <w:spacing w:after="0"/>
      </w:pPr>
      <w:r w:rsidRPr="001D22D1">
        <w:t xml:space="preserve">Source: BLADE.  </w:t>
      </w:r>
    </w:p>
    <w:p w14:paraId="3366F8A8" w14:textId="77777777" w:rsidR="004272FE" w:rsidRDefault="004272FE" w:rsidP="004272FE">
      <w:pPr>
        <w:pStyle w:val="SingleParagraph"/>
      </w:pPr>
    </w:p>
    <w:p w14:paraId="29770CAE" w14:textId="3D826EBF" w:rsidR="00983BBA" w:rsidRDefault="00983BBA" w:rsidP="004272FE">
      <w:pPr>
        <w:pStyle w:val="ChartMainHeading"/>
      </w:pPr>
      <w:r w:rsidRPr="002369F7">
        <w:t xml:space="preserve">Chart </w:t>
      </w:r>
      <w:r>
        <w:t>D</w:t>
      </w:r>
      <w:r w:rsidR="001D22D1">
        <w:t>2: Taxable wages for Victoria</w:t>
      </w:r>
      <w:r w:rsidRPr="002369F7">
        <w:t xml:space="preserve"> 201</w:t>
      </w:r>
      <w:r w:rsidR="007A669A">
        <w:t>1-1</w:t>
      </w:r>
      <w:r w:rsidRPr="002369F7">
        <w:t>2 (threshold $550,000)</w:t>
      </w:r>
    </w:p>
    <w:p w14:paraId="2398E1B6" w14:textId="72E1C274" w:rsidR="00983BBA" w:rsidRDefault="00983BBA" w:rsidP="00983BBA">
      <w:pPr>
        <w:pStyle w:val="ChartGraphic"/>
        <w:keepNext w:val="0"/>
      </w:pPr>
      <w:r>
        <w:rPr>
          <w:noProof/>
        </w:rPr>
        <w:drawing>
          <wp:inline distT="0" distB="0" distL="0" distR="0" wp14:anchorId="3B40CCB9" wp14:editId="003859B8">
            <wp:extent cx="5580000" cy="3600000"/>
            <wp:effectExtent l="0" t="0" r="1905" b="63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12" r="1"/>
                    <a:stretch/>
                  </pic:blipFill>
                  <pic:spPr bwMode="auto">
                    <a:xfrm>
                      <a:off x="0" y="0"/>
                      <a:ext cx="558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7E69538C" w14:textId="44044DA8" w:rsidR="002F4C62" w:rsidRPr="002F4C62" w:rsidRDefault="002F4C62" w:rsidP="00116242">
      <w:pPr>
        <w:pStyle w:val="ChartorTableNote"/>
        <w:spacing w:after="0"/>
      </w:pPr>
      <w:r w:rsidRPr="002F4C62">
        <w:t>Source: BLADE</w:t>
      </w:r>
      <w:r>
        <w:t>.</w:t>
      </w:r>
    </w:p>
    <w:p w14:paraId="1EC47C50" w14:textId="06C10247" w:rsidR="00983BBA" w:rsidRDefault="00983BBA" w:rsidP="004272FE">
      <w:pPr>
        <w:pStyle w:val="ChartMainHeading"/>
      </w:pPr>
      <w:r w:rsidRPr="002369F7">
        <w:lastRenderedPageBreak/>
        <w:t xml:space="preserve">Chart </w:t>
      </w:r>
      <w:r>
        <w:t>D</w:t>
      </w:r>
      <w:r w:rsidRPr="002369F7">
        <w:t>3: Taxable wages for Victorian 201</w:t>
      </w:r>
      <w:r w:rsidR="007A669A">
        <w:t>2-1</w:t>
      </w:r>
      <w:r w:rsidRPr="002369F7">
        <w:t>3 (threshold $550,000)</w:t>
      </w:r>
    </w:p>
    <w:p w14:paraId="7FBBF687" w14:textId="128779CB" w:rsidR="00983BBA" w:rsidRDefault="00983BBA" w:rsidP="00983BBA">
      <w:pPr>
        <w:pStyle w:val="ChartGraphic"/>
        <w:keepLines/>
        <w:rPr>
          <w:rFonts w:ascii="Arial" w:hAnsi="Arial" w:cs="Arial"/>
          <w:sz w:val="24"/>
          <w:szCs w:val="24"/>
        </w:rPr>
      </w:pPr>
      <w:r>
        <w:rPr>
          <w:noProof/>
        </w:rPr>
        <w:drawing>
          <wp:inline distT="0" distB="0" distL="0" distR="0" wp14:anchorId="72582707" wp14:editId="4F20BA46">
            <wp:extent cx="5580000" cy="3600000"/>
            <wp:effectExtent l="0" t="0" r="1905" b="635"/>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54" b="7212"/>
                    <a:stretch/>
                  </pic:blipFill>
                  <pic:spPr bwMode="auto">
                    <a:xfrm>
                      <a:off x="0" y="0"/>
                      <a:ext cx="558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0A1C998F" w14:textId="063BB634" w:rsidR="002F4C62" w:rsidRDefault="002F4C62" w:rsidP="004272FE">
      <w:pPr>
        <w:pStyle w:val="ChartorTableNote"/>
        <w:spacing w:after="0"/>
      </w:pPr>
      <w:r w:rsidRPr="002F4C62">
        <w:t>Source: BLADE.</w:t>
      </w:r>
    </w:p>
    <w:p w14:paraId="4DDA4385" w14:textId="77777777" w:rsidR="004272FE" w:rsidRPr="002F4C62" w:rsidRDefault="004272FE" w:rsidP="004272FE">
      <w:pPr>
        <w:pStyle w:val="SingleParagraph"/>
        <w:rPr>
          <w:lang w:eastAsia="en-AU"/>
        </w:rPr>
      </w:pPr>
    </w:p>
    <w:p w14:paraId="4B4196A1" w14:textId="7BFF287B" w:rsidR="00983BBA" w:rsidRDefault="00983BBA" w:rsidP="004272FE">
      <w:pPr>
        <w:pStyle w:val="ChartMainHeading"/>
      </w:pPr>
      <w:r w:rsidRPr="002369F7">
        <w:t xml:space="preserve">Chart </w:t>
      </w:r>
      <w:r>
        <w:t>D</w:t>
      </w:r>
      <w:r w:rsidRPr="002369F7">
        <w:t xml:space="preserve">4: Taxable wages for </w:t>
      </w:r>
      <w:r>
        <w:t>Western Australia</w:t>
      </w:r>
      <w:r w:rsidRPr="002369F7">
        <w:t xml:space="preserve"> 201</w:t>
      </w:r>
      <w:r w:rsidR="007A669A">
        <w:t>2-1</w:t>
      </w:r>
      <w:r w:rsidRPr="002369F7">
        <w:t>3 (threshold $750,000)</w:t>
      </w:r>
    </w:p>
    <w:p w14:paraId="67952C4E" w14:textId="77777777" w:rsidR="00983BBA" w:rsidRDefault="00983BBA" w:rsidP="00983BBA">
      <w:pPr>
        <w:pStyle w:val="ChartGraphic"/>
        <w:keepNext w:val="0"/>
      </w:pPr>
      <w:r>
        <w:rPr>
          <w:noProof/>
        </w:rPr>
        <w:drawing>
          <wp:inline distT="0" distB="0" distL="0" distR="0" wp14:anchorId="7DD9975B" wp14:editId="50B3CFFF">
            <wp:extent cx="5400000" cy="3600000"/>
            <wp:effectExtent l="0" t="0" r="0" b="63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367" r="-1" b="6972"/>
                    <a:stretch/>
                  </pic:blipFill>
                  <pic:spPr bwMode="auto">
                    <a:xfrm>
                      <a:off x="0" y="0"/>
                      <a:ext cx="540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4DAEF36A" w14:textId="4BBD145B" w:rsidR="002F4C62" w:rsidRPr="002F4C62" w:rsidRDefault="002F4C62" w:rsidP="004272FE">
      <w:pPr>
        <w:pStyle w:val="ChartorTableNote"/>
        <w:spacing w:after="0"/>
      </w:pPr>
      <w:r w:rsidRPr="002F4C62">
        <w:t>Source: BLADE.</w:t>
      </w:r>
    </w:p>
    <w:p w14:paraId="1DD480BD" w14:textId="6D91588E" w:rsidR="00B0794C" w:rsidRDefault="00983BBA" w:rsidP="004272FE">
      <w:pPr>
        <w:pStyle w:val="ChartMainHeading"/>
      </w:pPr>
      <w:r w:rsidRPr="002369F7">
        <w:lastRenderedPageBreak/>
        <w:t xml:space="preserve">Chart </w:t>
      </w:r>
      <w:r>
        <w:t>D</w:t>
      </w:r>
      <w:r w:rsidRPr="002369F7">
        <w:t xml:space="preserve">5: Taxable wages for </w:t>
      </w:r>
      <w:r>
        <w:t>Western Australia</w:t>
      </w:r>
      <w:r w:rsidRPr="002369F7">
        <w:t xml:space="preserve"> 201</w:t>
      </w:r>
      <w:r w:rsidR="007A669A">
        <w:t>3-1</w:t>
      </w:r>
      <w:r w:rsidRPr="002369F7">
        <w:t>4 (threshold $750,000)</w:t>
      </w:r>
    </w:p>
    <w:p w14:paraId="3FB56F73" w14:textId="57FEB1E5" w:rsidR="00983BBA" w:rsidRDefault="00983BBA" w:rsidP="00983BBA">
      <w:pPr>
        <w:pStyle w:val="ChartGraphic"/>
      </w:pPr>
      <w:r w:rsidRPr="00983BBA">
        <w:rPr>
          <w:noProof/>
        </w:rPr>
        <w:drawing>
          <wp:inline distT="0" distB="0" distL="0" distR="0" wp14:anchorId="60FB7DF3" wp14:editId="478BEDC0">
            <wp:extent cx="5400000" cy="3600000"/>
            <wp:effectExtent l="0" t="0" r="0" b="63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540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5CD2145F" w14:textId="22A46234" w:rsidR="00B0794C" w:rsidRPr="004272FE" w:rsidRDefault="002F4C62" w:rsidP="00771EED">
      <w:pPr>
        <w:pStyle w:val="ChartorTableNote"/>
        <w:spacing w:after="0"/>
        <w:ind w:left="0" w:firstLine="0"/>
      </w:pPr>
      <w:r w:rsidRPr="004272FE">
        <w:t xml:space="preserve">Source: BLADE. </w:t>
      </w:r>
      <w:r w:rsidR="00B0794C" w:rsidRPr="004272FE">
        <w:t>Note: The difference between the bars either side of the $750,000 is small, but it is the band near the threshold that is taken into consideration when deciding whether bunching occurs.</w:t>
      </w:r>
    </w:p>
    <w:p w14:paraId="1D3F5875" w14:textId="77777777" w:rsidR="004272FE" w:rsidRDefault="004272FE" w:rsidP="004272FE">
      <w:pPr>
        <w:pStyle w:val="SingleParagraph"/>
      </w:pPr>
    </w:p>
    <w:p w14:paraId="026467EB" w14:textId="11D8AF62" w:rsidR="00B0794C" w:rsidRDefault="00983BBA" w:rsidP="004272FE">
      <w:pPr>
        <w:pStyle w:val="ChartMainHeading"/>
      </w:pPr>
      <w:r w:rsidRPr="002369F7">
        <w:t xml:space="preserve">Chart </w:t>
      </w:r>
      <w:r>
        <w:t>D</w:t>
      </w:r>
      <w:r w:rsidRPr="002369F7">
        <w:t xml:space="preserve">6: Taxable wages for </w:t>
      </w:r>
      <w:r>
        <w:t>Western Australia</w:t>
      </w:r>
      <w:r w:rsidRPr="002369F7">
        <w:t xml:space="preserve"> 201</w:t>
      </w:r>
      <w:r w:rsidR="001D22D1">
        <w:t>4-1</w:t>
      </w:r>
      <w:r w:rsidRPr="002369F7">
        <w:t>5 (threshold $800,000)</w:t>
      </w:r>
    </w:p>
    <w:p w14:paraId="3C644777" w14:textId="77777777" w:rsidR="002F4C62" w:rsidRDefault="00983BBA" w:rsidP="00983BBA">
      <w:pPr>
        <w:pStyle w:val="ChartGraphic"/>
        <w:keepNext w:val="0"/>
      </w:pPr>
      <w:r>
        <w:rPr>
          <w:noProof/>
        </w:rPr>
        <w:drawing>
          <wp:inline distT="0" distB="0" distL="0" distR="0" wp14:anchorId="69A48AB3" wp14:editId="73C485FD">
            <wp:extent cx="5400000" cy="3600000"/>
            <wp:effectExtent l="0" t="0" r="0" b="63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365" b="6704"/>
                    <a:stretch/>
                  </pic:blipFill>
                  <pic:spPr bwMode="auto">
                    <a:xfrm>
                      <a:off x="0" y="0"/>
                      <a:ext cx="5400000"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636707EC" w14:textId="6DB22917" w:rsidR="00983BBA" w:rsidRPr="002F4C62" w:rsidRDefault="002F4C62" w:rsidP="00771EED">
      <w:pPr>
        <w:pStyle w:val="ChartorTableNote"/>
        <w:spacing w:after="0"/>
      </w:pPr>
      <w:r w:rsidRPr="002F4C62">
        <w:t>Source: BLADE.</w:t>
      </w:r>
      <w:r w:rsidR="00983BBA" w:rsidRPr="002F4C62">
        <w:br w:type="page"/>
      </w:r>
    </w:p>
    <w:p w14:paraId="77011C94" w14:textId="2D6A55B7" w:rsidR="00B0794C" w:rsidRDefault="00222F39" w:rsidP="00D22AF2">
      <w:pPr>
        <w:pStyle w:val="AppendixHeadingLevel2NotNumbered"/>
      </w:pPr>
      <w:bookmarkStart w:id="17" w:name="_Toc509306071"/>
      <w:r>
        <w:lastRenderedPageBreak/>
        <w:t>Appendix E</w:t>
      </w:r>
      <w:bookmarkEnd w:id="17"/>
    </w:p>
    <w:p w14:paraId="00B24DFC" w14:textId="77777777" w:rsidR="00B0794C" w:rsidRDefault="00B0794C" w:rsidP="00B0794C">
      <w:pPr>
        <w:spacing w:after="200" w:line="276" w:lineRule="auto"/>
      </w:pPr>
      <w:r>
        <w:t>The following table summarises the results when the threshold is increased by 10 per cent. This was done to demonstrate that mismeasurement issues were not a factor in the results obtained. The table shows bunching only occurred once, in New South Wales in 200</w:t>
      </w:r>
      <w:r w:rsidR="00B0628F">
        <w:t>8-0</w:t>
      </w:r>
      <w:r>
        <w:t>9. This single occurrence is consistent with a false positive.</w:t>
      </w:r>
    </w:p>
    <w:p w14:paraId="337E0188" w14:textId="1AA54F9B" w:rsidR="007A2286" w:rsidRDefault="007A2286" w:rsidP="00F12EE0">
      <w:pPr>
        <w:pStyle w:val="TableMainHeading"/>
      </w:pPr>
      <w:r w:rsidRPr="006F2722">
        <w:t xml:space="preserve">Table </w:t>
      </w:r>
      <w:r>
        <w:t>E</w:t>
      </w:r>
      <w:r w:rsidRPr="006F2722">
        <w:t>1: In</w:t>
      </w:r>
      <w:r>
        <w:t>creasing the threshold by 10 per cent</w:t>
      </w:r>
    </w:p>
    <w:tbl>
      <w:tblPr>
        <w:tblW w:w="9353" w:type="dxa"/>
        <w:tblInd w:w="93" w:type="dxa"/>
        <w:tblLook w:val="04A0" w:firstRow="1" w:lastRow="0" w:firstColumn="1" w:lastColumn="0" w:noHBand="0" w:noVBand="1"/>
      </w:tblPr>
      <w:tblGrid>
        <w:gridCol w:w="3231"/>
        <w:gridCol w:w="3061"/>
        <w:gridCol w:w="3061"/>
      </w:tblGrid>
      <w:tr w:rsidR="00B0794C" w:rsidRPr="006F2722" w14:paraId="58396AAE" w14:textId="77777777" w:rsidTr="00116242">
        <w:trPr>
          <w:trHeight w:val="284"/>
        </w:trPr>
        <w:tc>
          <w:tcPr>
            <w:tcW w:w="323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55EF125B" w14:textId="77777777" w:rsidR="00B0794C" w:rsidRDefault="00B0794C" w:rsidP="007A2286">
            <w:pPr>
              <w:pStyle w:val="TableColumnHeadingLeft"/>
              <w:rPr>
                <w:rFonts w:eastAsiaTheme="minorEastAsia"/>
              </w:rPr>
            </w:pPr>
            <w:r>
              <w:rPr>
                <w:rFonts w:eastAsiaTheme="minorEastAsia"/>
              </w:rPr>
              <w:t>State</w:t>
            </w:r>
          </w:p>
        </w:tc>
        <w:tc>
          <w:tcPr>
            <w:tcW w:w="306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4FA00B8B" w14:textId="77777777" w:rsidR="00B0794C" w:rsidRPr="006F2722" w:rsidRDefault="00B0794C" w:rsidP="007A2286">
            <w:pPr>
              <w:pStyle w:val="TableColumnHeadingCentred"/>
              <w:rPr>
                <w:rFonts w:eastAsiaTheme="minorEastAsia"/>
              </w:rPr>
            </w:pPr>
            <w:r w:rsidRPr="006F2722">
              <w:rPr>
                <w:rFonts w:eastAsiaTheme="minorEastAsia"/>
              </w:rPr>
              <w:t>No. of tests</w:t>
            </w:r>
          </w:p>
        </w:tc>
        <w:tc>
          <w:tcPr>
            <w:tcW w:w="306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49E7AF35" w14:textId="77777777" w:rsidR="00B0794C" w:rsidRPr="006F2722" w:rsidRDefault="00B0794C" w:rsidP="007A2286">
            <w:pPr>
              <w:pStyle w:val="TableColumnHeadingCentred"/>
              <w:rPr>
                <w:rFonts w:eastAsiaTheme="minorEastAsia"/>
              </w:rPr>
            </w:pPr>
            <w:r w:rsidRPr="006F2722">
              <w:rPr>
                <w:rFonts w:eastAsiaTheme="minorEastAsia"/>
              </w:rPr>
              <w:t>No. found significant</w:t>
            </w:r>
            <w:r w:rsidR="007306A1">
              <w:rPr>
                <w:rFonts w:eastAsiaTheme="minorEastAsia"/>
              </w:rPr>
              <w:t>*</w:t>
            </w:r>
          </w:p>
        </w:tc>
      </w:tr>
      <w:tr w:rsidR="00B0628F" w:rsidRPr="006F2722" w14:paraId="24931E49" w14:textId="77777777" w:rsidTr="00771EED">
        <w:trPr>
          <w:trHeight w:val="284"/>
        </w:trPr>
        <w:tc>
          <w:tcPr>
            <w:tcW w:w="3231" w:type="dxa"/>
            <w:tcBorders>
              <w:top w:val="single" w:sz="8" w:space="0" w:color="000000" w:themeColor="text1"/>
              <w:left w:val="nil"/>
              <w:right w:val="nil"/>
            </w:tcBorders>
            <w:shd w:val="clear" w:color="000000" w:fill="FFFFFF"/>
            <w:vAlign w:val="center"/>
            <w:hideMark/>
          </w:tcPr>
          <w:p w14:paraId="2DBE7AAA" w14:textId="77777777" w:rsidR="00B0628F" w:rsidRPr="00CA26B8" w:rsidRDefault="00B0628F" w:rsidP="007A2286">
            <w:pPr>
              <w:pStyle w:val="Tabletextleft0"/>
            </w:pPr>
            <w:r w:rsidRPr="00CA26B8">
              <w:rPr>
                <w:rFonts w:eastAsiaTheme="minorEastAsia"/>
              </w:rPr>
              <w:t>New South Wales</w:t>
            </w:r>
          </w:p>
        </w:tc>
        <w:tc>
          <w:tcPr>
            <w:tcW w:w="3061" w:type="dxa"/>
            <w:tcBorders>
              <w:top w:val="single" w:sz="8" w:space="0" w:color="000000" w:themeColor="text1"/>
              <w:left w:val="nil"/>
              <w:right w:val="nil"/>
            </w:tcBorders>
            <w:shd w:val="clear" w:color="000000" w:fill="FFFFFF"/>
            <w:vAlign w:val="center"/>
            <w:hideMark/>
          </w:tcPr>
          <w:p w14:paraId="7F74A358"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single" w:sz="8" w:space="0" w:color="000000" w:themeColor="text1"/>
              <w:left w:val="nil"/>
              <w:right w:val="nil"/>
            </w:tcBorders>
            <w:shd w:val="clear" w:color="000000" w:fill="FFFFFF"/>
            <w:vAlign w:val="center"/>
            <w:hideMark/>
          </w:tcPr>
          <w:p w14:paraId="38AB7422" w14:textId="77777777" w:rsidR="00B0628F" w:rsidRPr="006F2722" w:rsidRDefault="00B0628F" w:rsidP="007A2286">
            <w:pPr>
              <w:pStyle w:val="Tabletextcentred"/>
            </w:pPr>
            <w:r>
              <w:rPr>
                <w:rFonts w:eastAsiaTheme="minorEastAsia"/>
              </w:rPr>
              <w:t>1</w:t>
            </w:r>
          </w:p>
        </w:tc>
      </w:tr>
      <w:tr w:rsidR="00B0628F" w:rsidRPr="006F2722" w14:paraId="6CD1FF8D" w14:textId="77777777" w:rsidTr="00116242">
        <w:trPr>
          <w:trHeight w:val="284"/>
        </w:trPr>
        <w:tc>
          <w:tcPr>
            <w:tcW w:w="3231" w:type="dxa"/>
            <w:tcBorders>
              <w:top w:val="nil"/>
              <w:left w:val="nil"/>
              <w:right w:val="nil"/>
            </w:tcBorders>
            <w:shd w:val="clear" w:color="auto" w:fill="F2F2F2" w:themeFill="background1" w:themeFillShade="F2"/>
            <w:vAlign w:val="center"/>
            <w:hideMark/>
          </w:tcPr>
          <w:p w14:paraId="3AFD9982" w14:textId="77777777" w:rsidR="00B0628F" w:rsidRPr="00CA26B8" w:rsidRDefault="00B0628F" w:rsidP="007A2286">
            <w:pPr>
              <w:pStyle w:val="Tabletextleft0"/>
            </w:pPr>
            <w:r w:rsidRPr="00CA26B8">
              <w:rPr>
                <w:rFonts w:eastAsiaTheme="minorEastAsia"/>
              </w:rPr>
              <w:t>Northern Territory</w:t>
            </w:r>
          </w:p>
        </w:tc>
        <w:tc>
          <w:tcPr>
            <w:tcW w:w="3061" w:type="dxa"/>
            <w:tcBorders>
              <w:top w:val="nil"/>
              <w:left w:val="nil"/>
              <w:right w:val="nil"/>
            </w:tcBorders>
            <w:shd w:val="clear" w:color="auto" w:fill="F2F2F2" w:themeFill="background1" w:themeFillShade="F2"/>
            <w:vAlign w:val="center"/>
            <w:hideMark/>
          </w:tcPr>
          <w:p w14:paraId="2DF6D28A" w14:textId="77777777" w:rsidR="00B0628F" w:rsidRPr="006F2722" w:rsidRDefault="00B0628F" w:rsidP="007A2286">
            <w:pPr>
              <w:pStyle w:val="Tabletextcentred"/>
            </w:pPr>
            <w:r>
              <w:rPr>
                <w:rFonts w:eastAsiaTheme="minorEastAsia"/>
              </w:rPr>
              <w:t>7</w:t>
            </w:r>
          </w:p>
        </w:tc>
        <w:tc>
          <w:tcPr>
            <w:tcW w:w="3061" w:type="dxa"/>
            <w:tcBorders>
              <w:top w:val="nil"/>
              <w:left w:val="nil"/>
              <w:right w:val="nil"/>
            </w:tcBorders>
            <w:shd w:val="clear" w:color="auto" w:fill="F2F2F2" w:themeFill="background1" w:themeFillShade="F2"/>
            <w:vAlign w:val="center"/>
            <w:hideMark/>
          </w:tcPr>
          <w:p w14:paraId="70F7C874" w14:textId="77777777" w:rsidR="00B0628F" w:rsidRPr="006F2722" w:rsidRDefault="00B0628F" w:rsidP="007A2286">
            <w:pPr>
              <w:pStyle w:val="Tabletextcentred"/>
            </w:pPr>
            <w:r w:rsidRPr="006F2722">
              <w:rPr>
                <w:rFonts w:eastAsiaTheme="minorEastAsia"/>
              </w:rPr>
              <w:t>0</w:t>
            </w:r>
          </w:p>
        </w:tc>
      </w:tr>
      <w:tr w:rsidR="00B0628F" w:rsidRPr="006F2722" w14:paraId="6811BD7F" w14:textId="77777777" w:rsidTr="00771EED">
        <w:trPr>
          <w:trHeight w:val="284"/>
        </w:trPr>
        <w:tc>
          <w:tcPr>
            <w:tcW w:w="3231" w:type="dxa"/>
            <w:tcBorders>
              <w:left w:val="nil"/>
              <w:bottom w:val="nil"/>
              <w:right w:val="nil"/>
            </w:tcBorders>
            <w:shd w:val="clear" w:color="000000" w:fill="FFFFFF"/>
            <w:vAlign w:val="center"/>
            <w:hideMark/>
          </w:tcPr>
          <w:p w14:paraId="4F45B656" w14:textId="77777777" w:rsidR="00B0628F" w:rsidRPr="00CA26B8" w:rsidRDefault="00B0628F" w:rsidP="007A2286">
            <w:pPr>
              <w:pStyle w:val="Tabletextleft0"/>
            </w:pPr>
            <w:r w:rsidRPr="00CA26B8">
              <w:rPr>
                <w:rFonts w:eastAsiaTheme="minorEastAsia"/>
              </w:rPr>
              <w:t>Queensland</w:t>
            </w:r>
          </w:p>
        </w:tc>
        <w:tc>
          <w:tcPr>
            <w:tcW w:w="3061" w:type="dxa"/>
            <w:tcBorders>
              <w:left w:val="nil"/>
              <w:bottom w:val="nil"/>
              <w:right w:val="nil"/>
            </w:tcBorders>
            <w:shd w:val="clear" w:color="000000" w:fill="FFFFFF"/>
            <w:vAlign w:val="center"/>
            <w:hideMark/>
          </w:tcPr>
          <w:p w14:paraId="4070F3A8" w14:textId="77777777" w:rsidR="00B0628F" w:rsidRPr="006F2722" w:rsidRDefault="00B0628F" w:rsidP="007A2286">
            <w:pPr>
              <w:pStyle w:val="Tabletextcentred"/>
            </w:pPr>
            <w:r w:rsidRPr="006F2722">
              <w:rPr>
                <w:rFonts w:eastAsiaTheme="minorEastAsia"/>
              </w:rPr>
              <w:t>14</w:t>
            </w:r>
          </w:p>
        </w:tc>
        <w:tc>
          <w:tcPr>
            <w:tcW w:w="3061" w:type="dxa"/>
            <w:tcBorders>
              <w:left w:val="nil"/>
              <w:bottom w:val="nil"/>
              <w:right w:val="nil"/>
            </w:tcBorders>
            <w:shd w:val="clear" w:color="000000" w:fill="FFFFFF"/>
            <w:vAlign w:val="center"/>
            <w:hideMark/>
          </w:tcPr>
          <w:p w14:paraId="48405BE2" w14:textId="77777777" w:rsidR="00B0628F" w:rsidRPr="006F2722" w:rsidRDefault="00B0628F" w:rsidP="007A2286">
            <w:pPr>
              <w:pStyle w:val="Tabletextcentred"/>
            </w:pPr>
            <w:r w:rsidRPr="006F2722">
              <w:rPr>
                <w:rFonts w:eastAsiaTheme="minorEastAsia"/>
              </w:rPr>
              <w:t>0</w:t>
            </w:r>
          </w:p>
        </w:tc>
      </w:tr>
      <w:tr w:rsidR="00B0628F" w:rsidRPr="006F2722" w14:paraId="6958AFF5" w14:textId="77777777" w:rsidTr="00116242">
        <w:trPr>
          <w:trHeight w:val="284"/>
        </w:trPr>
        <w:tc>
          <w:tcPr>
            <w:tcW w:w="3231" w:type="dxa"/>
            <w:tcBorders>
              <w:top w:val="nil"/>
              <w:left w:val="nil"/>
              <w:bottom w:val="nil"/>
              <w:right w:val="nil"/>
            </w:tcBorders>
            <w:shd w:val="clear" w:color="auto" w:fill="F2F2F2" w:themeFill="background1" w:themeFillShade="F2"/>
            <w:vAlign w:val="center"/>
            <w:hideMark/>
          </w:tcPr>
          <w:p w14:paraId="0B9FAD85" w14:textId="77777777" w:rsidR="00B0628F" w:rsidRPr="00CA26B8" w:rsidRDefault="00B0628F" w:rsidP="007A2286">
            <w:pPr>
              <w:pStyle w:val="Tabletextleft0"/>
            </w:pPr>
            <w:r w:rsidRPr="00CA26B8">
              <w:rPr>
                <w:rFonts w:eastAsiaTheme="minorEastAsia"/>
              </w:rPr>
              <w:t>South Australia</w:t>
            </w:r>
          </w:p>
        </w:tc>
        <w:tc>
          <w:tcPr>
            <w:tcW w:w="3061" w:type="dxa"/>
            <w:tcBorders>
              <w:top w:val="nil"/>
              <w:left w:val="nil"/>
              <w:bottom w:val="nil"/>
              <w:right w:val="nil"/>
            </w:tcBorders>
            <w:shd w:val="clear" w:color="auto" w:fill="F2F2F2" w:themeFill="background1" w:themeFillShade="F2"/>
            <w:vAlign w:val="center"/>
            <w:hideMark/>
          </w:tcPr>
          <w:p w14:paraId="07D08EE0" w14:textId="77777777" w:rsidR="00B0628F" w:rsidRPr="006F2722" w:rsidRDefault="00B0628F" w:rsidP="007A2286">
            <w:pPr>
              <w:pStyle w:val="Tabletextcentred"/>
            </w:pPr>
            <w:r w:rsidRPr="006F2722">
              <w:rPr>
                <w:rFonts w:eastAsiaTheme="minorEastAsia"/>
              </w:rPr>
              <w:t>14</w:t>
            </w:r>
          </w:p>
        </w:tc>
        <w:tc>
          <w:tcPr>
            <w:tcW w:w="3061" w:type="dxa"/>
            <w:tcBorders>
              <w:top w:val="nil"/>
              <w:left w:val="nil"/>
              <w:bottom w:val="nil"/>
              <w:right w:val="nil"/>
            </w:tcBorders>
            <w:shd w:val="clear" w:color="auto" w:fill="F2F2F2" w:themeFill="background1" w:themeFillShade="F2"/>
            <w:vAlign w:val="center"/>
            <w:hideMark/>
          </w:tcPr>
          <w:p w14:paraId="6705ECC2" w14:textId="77777777" w:rsidR="00B0628F" w:rsidRPr="006F2722" w:rsidRDefault="00B0628F" w:rsidP="007A2286">
            <w:pPr>
              <w:pStyle w:val="Tabletextcentred"/>
            </w:pPr>
            <w:r>
              <w:rPr>
                <w:rFonts w:eastAsiaTheme="minorEastAsia"/>
              </w:rPr>
              <w:t>0</w:t>
            </w:r>
          </w:p>
        </w:tc>
      </w:tr>
      <w:tr w:rsidR="00B0628F" w:rsidRPr="006F2722" w14:paraId="3C241F77" w14:textId="77777777" w:rsidTr="00771EED">
        <w:trPr>
          <w:trHeight w:val="284"/>
        </w:trPr>
        <w:tc>
          <w:tcPr>
            <w:tcW w:w="3231" w:type="dxa"/>
            <w:tcBorders>
              <w:top w:val="nil"/>
              <w:left w:val="nil"/>
              <w:right w:val="nil"/>
            </w:tcBorders>
            <w:shd w:val="clear" w:color="000000" w:fill="FFFFFF"/>
            <w:vAlign w:val="center"/>
            <w:hideMark/>
          </w:tcPr>
          <w:p w14:paraId="0A632FE9" w14:textId="77777777" w:rsidR="00B0628F" w:rsidRPr="00CA26B8" w:rsidRDefault="00B0628F" w:rsidP="007A2286">
            <w:pPr>
              <w:pStyle w:val="Tabletextleft0"/>
            </w:pPr>
            <w:r w:rsidRPr="00CA26B8">
              <w:rPr>
                <w:rFonts w:eastAsiaTheme="minorEastAsia"/>
              </w:rPr>
              <w:t>Tasmania</w:t>
            </w:r>
          </w:p>
        </w:tc>
        <w:tc>
          <w:tcPr>
            <w:tcW w:w="3061" w:type="dxa"/>
            <w:tcBorders>
              <w:top w:val="nil"/>
              <w:left w:val="nil"/>
              <w:right w:val="nil"/>
            </w:tcBorders>
            <w:shd w:val="clear" w:color="000000" w:fill="FFFFFF"/>
            <w:vAlign w:val="center"/>
            <w:hideMark/>
          </w:tcPr>
          <w:p w14:paraId="1A31B252" w14:textId="77777777" w:rsidR="00B0628F" w:rsidRPr="006F2722" w:rsidRDefault="00B0628F" w:rsidP="007A2286">
            <w:pPr>
              <w:pStyle w:val="Tabletextcentred"/>
            </w:pPr>
            <w:r w:rsidRPr="006F2722">
              <w:rPr>
                <w:rFonts w:eastAsiaTheme="minorEastAsia"/>
              </w:rPr>
              <w:t>1</w:t>
            </w:r>
            <w:r>
              <w:rPr>
                <w:rFonts w:eastAsiaTheme="minorEastAsia"/>
              </w:rPr>
              <w:t>1</w:t>
            </w:r>
          </w:p>
        </w:tc>
        <w:tc>
          <w:tcPr>
            <w:tcW w:w="3061" w:type="dxa"/>
            <w:tcBorders>
              <w:top w:val="nil"/>
              <w:left w:val="nil"/>
              <w:right w:val="nil"/>
            </w:tcBorders>
            <w:shd w:val="clear" w:color="000000" w:fill="FFFFFF"/>
            <w:vAlign w:val="center"/>
            <w:hideMark/>
          </w:tcPr>
          <w:p w14:paraId="7F92C1DC" w14:textId="77777777" w:rsidR="00B0628F" w:rsidRPr="006F2722" w:rsidRDefault="00B0628F" w:rsidP="007A2286">
            <w:pPr>
              <w:pStyle w:val="Tabletextcentred"/>
            </w:pPr>
            <w:r w:rsidRPr="006F2722">
              <w:rPr>
                <w:rFonts w:eastAsiaTheme="minorEastAsia"/>
              </w:rPr>
              <w:t>0</w:t>
            </w:r>
          </w:p>
        </w:tc>
      </w:tr>
      <w:tr w:rsidR="00B0628F" w:rsidRPr="006F2722" w14:paraId="0849D6F3" w14:textId="77777777" w:rsidTr="00116242">
        <w:trPr>
          <w:trHeight w:val="284"/>
        </w:trPr>
        <w:tc>
          <w:tcPr>
            <w:tcW w:w="3231" w:type="dxa"/>
            <w:tcBorders>
              <w:top w:val="nil"/>
              <w:left w:val="nil"/>
              <w:bottom w:val="nil"/>
              <w:right w:val="nil"/>
            </w:tcBorders>
            <w:shd w:val="clear" w:color="auto" w:fill="F2F2F2" w:themeFill="background1" w:themeFillShade="F2"/>
            <w:vAlign w:val="center"/>
            <w:hideMark/>
          </w:tcPr>
          <w:p w14:paraId="50D7EC86" w14:textId="77777777" w:rsidR="00B0628F" w:rsidRPr="00CA26B8" w:rsidRDefault="00B0628F" w:rsidP="007A2286">
            <w:pPr>
              <w:pStyle w:val="Tabletextleft0"/>
            </w:pPr>
            <w:r w:rsidRPr="00CA26B8">
              <w:rPr>
                <w:rFonts w:eastAsiaTheme="minorEastAsia"/>
              </w:rPr>
              <w:t>Victoria</w:t>
            </w:r>
          </w:p>
        </w:tc>
        <w:tc>
          <w:tcPr>
            <w:tcW w:w="3061" w:type="dxa"/>
            <w:tcBorders>
              <w:top w:val="nil"/>
              <w:left w:val="nil"/>
              <w:bottom w:val="nil"/>
              <w:right w:val="nil"/>
            </w:tcBorders>
            <w:shd w:val="clear" w:color="auto" w:fill="F2F2F2" w:themeFill="background1" w:themeFillShade="F2"/>
            <w:vAlign w:val="center"/>
            <w:hideMark/>
          </w:tcPr>
          <w:p w14:paraId="0699B7C9"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nil"/>
              <w:left w:val="nil"/>
              <w:bottom w:val="nil"/>
              <w:right w:val="nil"/>
            </w:tcBorders>
            <w:shd w:val="clear" w:color="auto" w:fill="F2F2F2" w:themeFill="background1" w:themeFillShade="F2"/>
            <w:vAlign w:val="center"/>
            <w:hideMark/>
          </w:tcPr>
          <w:p w14:paraId="522C4B19" w14:textId="77777777" w:rsidR="00B0628F" w:rsidRPr="006F2722" w:rsidRDefault="00B0628F" w:rsidP="007A2286">
            <w:pPr>
              <w:pStyle w:val="Tabletextcentred"/>
            </w:pPr>
            <w:r>
              <w:rPr>
                <w:rFonts w:eastAsiaTheme="minorEastAsia"/>
              </w:rPr>
              <w:t>0</w:t>
            </w:r>
          </w:p>
        </w:tc>
      </w:tr>
      <w:tr w:rsidR="00B0628F" w:rsidRPr="006F2722" w14:paraId="57D29AA6" w14:textId="77777777" w:rsidTr="00771EED">
        <w:trPr>
          <w:trHeight w:val="284"/>
        </w:trPr>
        <w:tc>
          <w:tcPr>
            <w:tcW w:w="3231" w:type="dxa"/>
            <w:tcBorders>
              <w:top w:val="nil"/>
              <w:left w:val="nil"/>
              <w:bottom w:val="nil"/>
              <w:right w:val="nil"/>
            </w:tcBorders>
            <w:shd w:val="clear" w:color="000000" w:fill="FFFFFF"/>
            <w:vAlign w:val="center"/>
            <w:hideMark/>
          </w:tcPr>
          <w:p w14:paraId="13C7EC17" w14:textId="77777777" w:rsidR="00B0628F" w:rsidRPr="00CA26B8" w:rsidRDefault="00B0628F" w:rsidP="007A2286">
            <w:pPr>
              <w:pStyle w:val="Tabletextleft0"/>
            </w:pPr>
            <w:r w:rsidRPr="00CA26B8">
              <w:rPr>
                <w:rFonts w:eastAsiaTheme="minorEastAsia"/>
              </w:rPr>
              <w:t>Western Australia</w:t>
            </w:r>
          </w:p>
        </w:tc>
        <w:tc>
          <w:tcPr>
            <w:tcW w:w="3061" w:type="dxa"/>
            <w:tcBorders>
              <w:top w:val="nil"/>
              <w:left w:val="nil"/>
              <w:bottom w:val="nil"/>
              <w:right w:val="nil"/>
            </w:tcBorders>
            <w:shd w:val="clear" w:color="000000" w:fill="FFFFFF"/>
            <w:vAlign w:val="center"/>
            <w:hideMark/>
          </w:tcPr>
          <w:p w14:paraId="77B8F097"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nil"/>
              <w:left w:val="nil"/>
              <w:bottom w:val="nil"/>
              <w:right w:val="nil"/>
            </w:tcBorders>
            <w:shd w:val="clear" w:color="000000" w:fill="FFFFFF"/>
            <w:vAlign w:val="center"/>
            <w:hideMark/>
          </w:tcPr>
          <w:p w14:paraId="0CF2C094" w14:textId="77777777" w:rsidR="00B0628F" w:rsidRPr="006F2722" w:rsidRDefault="00B0628F" w:rsidP="007A2286">
            <w:pPr>
              <w:pStyle w:val="Tabletextcentred"/>
            </w:pPr>
            <w:r>
              <w:rPr>
                <w:rFonts w:eastAsiaTheme="minorEastAsia"/>
              </w:rPr>
              <w:t>0</w:t>
            </w:r>
          </w:p>
        </w:tc>
      </w:tr>
      <w:tr w:rsidR="00B0794C" w:rsidRPr="00116242" w14:paraId="619FDBD7" w14:textId="77777777" w:rsidTr="00116242">
        <w:trPr>
          <w:trHeight w:val="284"/>
        </w:trPr>
        <w:tc>
          <w:tcPr>
            <w:tcW w:w="323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4583A493" w14:textId="77777777" w:rsidR="00B0794C" w:rsidRPr="00116242" w:rsidRDefault="00B0794C" w:rsidP="007A2286">
            <w:pPr>
              <w:pStyle w:val="Tabletextleft0"/>
              <w:rPr>
                <w:b/>
              </w:rPr>
            </w:pPr>
            <w:r w:rsidRPr="00116242">
              <w:rPr>
                <w:rFonts w:eastAsiaTheme="minorEastAsia"/>
                <w:b/>
              </w:rPr>
              <w:t>Total</w:t>
            </w:r>
          </w:p>
        </w:tc>
        <w:tc>
          <w:tcPr>
            <w:tcW w:w="306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664D862C" w14:textId="77777777" w:rsidR="00B0794C" w:rsidRPr="00116242" w:rsidRDefault="00B0794C" w:rsidP="007A2286">
            <w:pPr>
              <w:pStyle w:val="Tabletextcentred"/>
              <w:rPr>
                <w:b/>
              </w:rPr>
            </w:pPr>
            <w:r w:rsidRPr="00116242">
              <w:rPr>
                <w:rFonts w:eastAsiaTheme="minorEastAsia"/>
                <w:b/>
              </w:rPr>
              <w:t>88</w:t>
            </w:r>
          </w:p>
        </w:tc>
        <w:tc>
          <w:tcPr>
            <w:tcW w:w="306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47213FF8" w14:textId="77777777" w:rsidR="00B0794C" w:rsidRPr="00116242" w:rsidRDefault="00B0794C" w:rsidP="007A2286">
            <w:pPr>
              <w:pStyle w:val="Tabletextcentred"/>
              <w:rPr>
                <w:b/>
              </w:rPr>
            </w:pPr>
            <w:r w:rsidRPr="00116242">
              <w:rPr>
                <w:rFonts w:eastAsiaTheme="minorEastAsia"/>
                <w:b/>
              </w:rPr>
              <w:t>1</w:t>
            </w:r>
          </w:p>
        </w:tc>
      </w:tr>
    </w:tbl>
    <w:p w14:paraId="4CC1C3A3" w14:textId="77777777" w:rsidR="007306A1" w:rsidRPr="00771EED" w:rsidRDefault="007306A1" w:rsidP="00771EED">
      <w:pPr>
        <w:pStyle w:val="ChartorTableNote"/>
        <w:spacing w:after="0"/>
        <w:rPr>
          <w:rFonts w:eastAsiaTheme="minorEastAsia"/>
        </w:rPr>
      </w:pPr>
      <w:r w:rsidRPr="00771EED">
        <w:rPr>
          <w:rFonts w:eastAsiaTheme="minorEastAsia"/>
        </w:rPr>
        <w:t>* 95 per cent confidence interval.</w:t>
      </w:r>
    </w:p>
    <w:p w14:paraId="2EFE6D4E" w14:textId="77777777" w:rsidR="00771EED" w:rsidRDefault="00771EED" w:rsidP="00771EED">
      <w:pPr>
        <w:pStyle w:val="SingleParagraph"/>
      </w:pPr>
    </w:p>
    <w:p w14:paraId="407B19B5" w14:textId="2C01C843" w:rsidR="00B0794C" w:rsidRDefault="00B0794C" w:rsidP="00B0794C">
      <w:pPr>
        <w:rPr>
          <w:rFonts w:eastAsiaTheme="minorEastAsia"/>
        </w:rPr>
      </w:pPr>
      <w:r>
        <w:rPr>
          <w:rFonts w:eastAsiaTheme="minorEastAsia"/>
        </w:rPr>
        <w:t>For completeness, the threshold was decreased by 10 per cent. As before, isolated cases were found but nothing consistently pointing to bunching was found. The two instances in South Australia were for non</w:t>
      </w:r>
      <w:r>
        <w:rPr>
          <w:rFonts w:eastAsiaTheme="minorEastAsia"/>
        </w:rPr>
        <w:noBreakHyphen/>
        <w:t>consecutive years (200</w:t>
      </w:r>
      <w:r w:rsidR="00F12EE0">
        <w:rPr>
          <w:rFonts w:eastAsiaTheme="minorEastAsia"/>
        </w:rPr>
        <w:t>3–</w:t>
      </w:r>
      <w:r w:rsidR="00B0628F">
        <w:rPr>
          <w:rFonts w:eastAsiaTheme="minorEastAsia"/>
        </w:rPr>
        <w:t>0</w:t>
      </w:r>
      <w:r>
        <w:rPr>
          <w:rFonts w:eastAsiaTheme="minorEastAsia"/>
        </w:rPr>
        <w:t>4 and 200</w:t>
      </w:r>
      <w:r w:rsidR="00F12EE0">
        <w:rPr>
          <w:rFonts w:eastAsiaTheme="minorEastAsia"/>
        </w:rPr>
        <w:t>8–</w:t>
      </w:r>
      <w:r w:rsidR="00B0628F">
        <w:rPr>
          <w:rFonts w:eastAsiaTheme="minorEastAsia"/>
        </w:rPr>
        <w:t>0</w:t>
      </w:r>
      <w:r>
        <w:rPr>
          <w:rFonts w:eastAsiaTheme="minorEastAsia"/>
        </w:rPr>
        <w:t>9).</w:t>
      </w:r>
    </w:p>
    <w:p w14:paraId="58C2448D" w14:textId="2711292D" w:rsidR="007A2286" w:rsidRDefault="007A2286" w:rsidP="00F12EE0">
      <w:pPr>
        <w:pStyle w:val="TableMainHeading"/>
      </w:pPr>
      <w:r w:rsidRPr="006F2722">
        <w:t xml:space="preserve">Table </w:t>
      </w:r>
      <w:r>
        <w:t>E2</w:t>
      </w:r>
      <w:r w:rsidRPr="006F2722">
        <w:t xml:space="preserve">: </w:t>
      </w:r>
      <w:r>
        <w:t>Decreasing the threshold by 10 per cent</w:t>
      </w:r>
    </w:p>
    <w:tbl>
      <w:tblPr>
        <w:tblW w:w="9353" w:type="dxa"/>
        <w:tblInd w:w="93" w:type="dxa"/>
        <w:tblLook w:val="04A0" w:firstRow="1" w:lastRow="0" w:firstColumn="1" w:lastColumn="0" w:noHBand="0" w:noVBand="1"/>
      </w:tblPr>
      <w:tblGrid>
        <w:gridCol w:w="3231"/>
        <w:gridCol w:w="3061"/>
        <w:gridCol w:w="3061"/>
      </w:tblGrid>
      <w:tr w:rsidR="00771EED" w:rsidRPr="006F2722" w14:paraId="62D9AE86" w14:textId="77777777" w:rsidTr="00116242">
        <w:trPr>
          <w:trHeight w:val="284"/>
        </w:trPr>
        <w:tc>
          <w:tcPr>
            <w:tcW w:w="323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764F961C" w14:textId="77777777" w:rsidR="00B0794C" w:rsidRDefault="00B0794C" w:rsidP="007A2286">
            <w:pPr>
              <w:pStyle w:val="TableColumnHeadingLeft"/>
              <w:rPr>
                <w:rFonts w:eastAsiaTheme="minorEastAsia"/>
              </w:rPr>
            </w:pPr>
            <w:r>
              <w:rPr>
                <w:rFonts w:eastAsiaTheme="minorEastAsia"/>
              </w:rPr>
              <w:t>State</w:t>
            </w:r>
          </w:p>
        </w:tc>
        <w:tc>
          <w:tcPr>
            <w:tcW w:w="306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663EAEB9" w14:textId="77777777" w:rsidR="00B0794C" w:rsidRPr="006F2722" w:rsidRDefault="00B0794C" w:rsidP="007A2286">
            <w:pPr>
              <w:pStyle w:val="TableColumnHeadingCentred"/>
              <w:rPr>
                <w:rFonts w:eastAsiaTheme="minorEastAsia"/>
              </w:rPr>
            </w:pPr>
            <w:r w:rsidRPr="006F2722">
              <w:rPr>
                <w:rFonts w:eastAsiaTheme="minorEastAsia"/>
              </w:rPr>
              <w:t>No. of tests</w:t>
            </w:r>
          </w:p>
        </w:tc>
        <w:tc>
          <w:tcPr>
            <w:tcW w:w="3061" w:type="dxa"/>
            <w:tcBorders>
              <w:top w:val="single" w:sz="8" w:space="0" w:color="000000" w:themeColor="text1"/>
              <w:left w:val="nil"/>
              <w:bottom w:val="single" w:sz="8" w:space="0" w:color="000000" w:themeColor="text1"/>
              <w:right w:val="nil"/>
            </w:tcBorders>
            <w:shd w:val="clear" w:color="auto" w:fill="C6D9F1" w:themeFill="text2" w:themeFillTint="33"/>
            <w:vAlign w:val="center"/>
          </w:tcPr>
          <w:p w14:paraId="0DC1E778" w14:textId="77777777" w:rsidR="00B0794C" w:rsidRPr="006F2722" w:rsidRDefault="00B0794C" w:rsidP="007A2286">
            <w:pPr>
              <w:pStyle w:val="TableColumnHeadingCentred"/>
              <w:rPr>
                <w:rFonts w:eastAsiaTheme="minorEastAsia"/>
              </w:rPr>
            </w:pPr>
            <w:r w:rsidRPr="006F2722">
              <w:rPr>
                <w:rFonts w:eastAsiaTheme="minorEastAsia"/>
              </w:rPr>
              <w:t>No. found significant</w:t>
            </w:r>
            <w:r w:rsidR="007306A1">
              <w:rPr>
                <w:rFonts w:eastAsiaTheme="minorEastAsia"/>
              </w:rPr>
              <w:t>*</w:t>
            </w:r>
          </w:p>
        </w:tc>
      </w:tr>
      <w:tr w:rsidR="00771EED" w:rsidRPr="006F2722" w14:paraId="6DBE0134" w14:textId="77777777" w:rsidTr="00771EED">
        <w:trPr>
          <w:trHeight w:val="284"/>
        </w:trPr>
        <w:tc>
          <w:tcPr>
            <w:tcW w:w="3231" w:type="dxa"/>
            <w:tcBorders>
              <w:top w:val="single" w:sz="8" w:space="0" w:color="000000" w:themeColor="text1"/>
              <w:left w:val="nil"/>
              <w:right w:val="nil"/>
            </w:tcBorders>
            <w:shd w:val="clear" w:color="000000" w:fill="FFFFFF"/>
            <w:vAlign w:val="center"/>
            <w:hideMark/>
          </w:tcPr>
          <w:p w14:paraId="540932E7" w14:textId="77777777" w:rsidR="00B0628F" w:rsidRPr="00CA26B8" w:rsidRDefault="00B0628F" w:rsidP="007A2286">
            <w:pPr>
              <w:pStyle w:val="Tabletextleft0"/>
            </w:pPr>
            <w:r w:rsidRPr="00CA26B8">
              <w:rPr>
                <w:rFonts w:eastAsiaTheme="minorEastAsia"/>
              </w:rPr>
              <w:t>New South Wales</w:t>
            </w:r>
          </w:p>
        </w:tc>
        <w:tc>
          <w:tcPr>
            <w:tcW w:w="3061" w:type="dxa"/>
            <w:tcBorders>
              <w:top w:val="single" w:sz="8" w:space="0" w:color="000000" w:themeColor="text1"/>
              <w:left w:val="nil"/>
              <w:right w:val="nil"/>
            </w:tcBorders>
            <w:shd w:val="clear" w:color="000000" w:fill="FFFFFF"/>
            <w:vAlign w:val="center"/>
            <w:hideMark/>
          </w:tcPr>
          <w:p w14:paraId="7FF2BB27"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single" w:sz="8" w:space="0" w:color="000000" w:themeColor="text1"/>
              <w:left w:val="nil"/>
              <w:right w:val="nil"/>
            </w:tcBorders>
            <w:shd w:val="clear" w:color="000000" w:fill="FFFFFF"/>
            <w:vAlign w:val="center"/>
            <w:hideMark/>
          </w:tcPr>
          <w:p w14:paraId="1E02D54F" w14:textId="77777777" w:rsidR="00B0628F" w:rsidRPr="006F2722" w:rsidRDefault="00B0628F" w:rsidP="007A2286">
            <w:pPr>
              <w:pStyle w:val="Tabletextcentred"/>
            </w:pPr>
            <w:r>
              <w:rPr>
                <w:rFonts w:eastAsiaTheme="minorEastAsia"/>
              </w:rPr>
              <w:t>1</w:t>
            </w:r>
          </w:p>
        </w:tc>
      </w:tr>
      <w:tr w:rsidR="00771EED" w:rsidRPr="006F2722" w14:paraId="72D7BFEB" w14:textId="77777777" w:rsidTr="00116242">
        <w:trPr>
          <w:trHeight w:val="284"/>
        </w:trPr>
        <w:tc>
          <w:tcPr>
            <w:tcW w:w="3231" w:type="dxa"/>
            <w:tcBorders>
              <w:top w:val="nil"/>
              <w:left w:val="nil"/>
              <w:right w:val="nil"/>
            </w:tcBorders>
            <w:shd w:val="clear" w:color="auto" w:fill="F2F2F2" w:themeFill="background1" w:themeFillShade="F2"/>
            <w:vAlign w:val="center"/>
            <w:hideMark/>
          </w:tcPr>
          <w:p w14:paraId="2D410900" w14:textId="77777777" w:rsidR="00B0628F" w:rsidRPr="00CA26B8" w:rsidRDefault="00B0628F" w:rsidP="007A2286">
            <w:pPr>
              <w:pStyle w:val="Tabletextleft0"/>
            </w:pPr>
            <w:r w:rsidRPr="00CA26B8">
              <w:rPr>
                <w:rFonts w:eastAsiaTheme="minorEastAsia"/>
              </w:rPr>
              <w:t>Northern Territory</w:t>
            </w:r>
          </w:p>
        </w:tc>
        <w:tc>
          <w:tcPr>
            <w:tcW w:w="3061" w:type="dxa"/>
            <w:tcBorders>
              <w:top w:val="nil"/>
              <w:left w:val="nil"/>
              <w:right w:val="nil"/>
            </w:tcBorders>
            <w:shd w:val="clear" w:color="auto" w:fill="F2F2F2" w:themeFill="background1" w:themeFillShade="F2"/>
            <w:vAlign w:val="center"/>
            <w:hideMark/>
          </w:tcPr>
          <w:p w14:paraId="33030810" w14:textId="77777777" w:rsidR="00B0628F" w:rsidRPr="006F2722" w:rsidRDefault="00B0628F" w:rsidP="007A2286">
            <w:pPr>
              <w:pStyle w:val="Tabletextcentred"/>
            </w:pPr>
            <w:r>
              <w:rPr>
                <w:rFonts w:eastAsiaTheme="minorEastAsia"/>
              </w:rPr>
              <w:t>14</w:t>
            </w:r>
          </w:p>
        </w:tc>
        <w:tc>
          <w:tcPr>
            <w:tcW w:w="3061" w:type="dxa"/>
            <w:tcBorders>
              <w:top w:val="nil"/>
              <w:left w:val="nil"/>
              <w:right w:val="nil"/>
            </w:tcBorders>
            <w:shd w:val="clear" w:color="auto" w:fill="F2F2F2" w:themeFill="background1" w:themeFillShade="F2"/>
            <w:vAlign w:val="center"/>
            <w:hideMark/>
          </w:tcPr>
          <w:p w14:paraId="16591718" w14:textId="77777777" w:rsidR="00B0628F" w:rsidRPr="006F2722" w:rsidRDefault="00B0628F" w:rsidP="007A2286">
            <w:pPr>
              <w:pStyle w:val="Tabletextcentred"/>
            </w:pPr>
            <w:r w:rsidRPr="006F2722">
              <w:rPr>
                <w:rFonts w:eastAsiaTheme="minorEastAsia"/>
              </w:rPr>
              <w:t>0</w:t>
            </w:r>
          </w:p>
        </w:tc>
      </w:tr>
      <w:tr w:rsidR="00771EED" w:rsidRPr="006F2722" w14:paraId="613E8C49" w14:textId="77777777" w:rsidTr="00771EED">
        <w:trPr>
          <w:trHeight w:val="284"/>
        </w:trPr>
        <w:tc>
          <w:tcPr>
            <w:tcW w:w="3231" w:type="dxa"/>
            <w:tcBorders>
              <w:left w:val="nil"/>
              <w:bottom w:val="nil"/>
              <w:right w:val="nil"/>
            </w:tcBorders>
            <w:shd w:val="clear" w:color="000000" w:fill="FFFFFF"/>
            <w:vAlign w:val="center"/>
            <w:hideMark/>
          </w:tcPr>
          <w:p w14:paraId="59EA9028" w14:textId="77777777" w:rsidR="00B0628F" w:rsidRPr="00CA26B8" w:rsidRDefault="00B0628F" w:rsidP="007A2286">
            <w:pPr>
              <w:pStyle w:val="Tabletextleft0"/>
            </w:pPr>
            <w:r w:rsidRPr="00CA26B8">
              <w:rPr>
                <w:rFonts w:eastAsiaTheme="minorEastAsia"/>
              </w:rPr>
              <w:t>Queensland</w:t>
            </w:r>
          </w:p>
        </w:tc>
        <w:tc>
          <w:tcPr>
            <w:tcW w:w="3061" w:type="dxa"/>
            <w:tcBorders>
              <w:left w:val="nil"/>
              <w:bottom w:val="nil"/>
              <w:right w:val="nil"/>
            </w:tcBorders>
            <w:shd w:val="clear" w:color="000000" w:fill="FFFFFF"/>
            <w:vAlign w:val="center"/>
            <w:hideMark/>
          </w:tcPr>
          <w:p w14:paraId="16A93D0E" w14:textId="77777777" w:rsidR="00B0628F" w:rsidRPr="006F2722" w:rsidRDefault="00B0628F" w:rsidP="007A2286">
            <w:pPr>
              <w:pStyle w:val="Tabletextcentred"/>
            </w:pPr>
            <w:r w:rsidRPr="006F2722">
              <w:rPr>
                <w:rFonts w:eastAsiaTheme="minorEastAsia"/>
              </w:rPr>
              <w:t>14</w:t>
            </w:r>
          </w:p>
        </w:tc>
        <w:tc>
          <w:tcPr>
            <w:tcW w:w="3061" w:type="dxa"/>
            <w:tcBorders>
              <w:left w:val="nil"/>
              <w:bottom w:val="nil"/>
              <w:right w:val="nil"/>
            </w:tcBorders>
            <w:shd w:val="clear" w:color="000000" w:fill="FFFFFF"/>
            <w:vAlign w:val="center"/>
            <w:hideMark/>
          </w:tcPr>
          <w:p w14:paraId="7597F27D" w14:textId="77777777" w:rsidR="00B0628F" w:rsidRPr="006F2722" w:rsidRDefault="00B0628F" w:rsidP="007A2286">
            <w:pPr>
              <w:pStyle w:val="Tabletextcentred"/>
            </w:pPr>
            <w:r w:rsidRPr="006F2722">
              <w:rPr>
                <w:rFonts w:eastAsiaTheme="minorEastAsia"/>
              </w:rPr>
              <w:t>0</w:t>
            </w:r>
          </w:p>
        </w:tc>
      </w:tr>
      <w:tr w:rsidR="00771EED" w:rsidRPr="006F2722" w14:paraId="362BA46F" w14:textId="77777777" w:rsidTr="00116242">
        <w:trPr>
          <w:trHeight w:val="284"/>
        </w:trPr>
        <w:tc>
          <w:tcPr>
            <w:tcW w:w="3231" w:type="dxa"/>
            <w:tcBorders>
              <w:top w:val="nil"/>
              <w:left w:val="nil"/>
              <w:bottom w:val="nil"/>
              <w:right w:val="nil"/>
            </w:tcBorders>
            <w:shd w:val="clear" w:color="auto" w:fill="F2F2F2" w:themeFill="background1" w:themeFillShade="F2"/>
            <w:vAlign w:val="center"/>
            <w:hideMark/>
          </w:tcPr>
          <w:p w14:paraId="3798B57F" w14:textId="77777777" w:rsidR="00B0628F" w:rsidRPr="00CA26B8" w:rsidRDefault="00B0628F" w:rsidP="007A2286">
            <w:pPr>
              <w:pStyle w:val="Tabletextleft0"/>
            </w:pPr>
            <w:r w:rsidRPr="00CA26B8">
              <w:rPr>
                <w:rFonts w:eastAsiaTheme="minorEastAsia"/>
              </w:rPr>
              <w:t>South Australia</w:t>
            </w:r>
          </w:p>
        </w:tc>
        <w:tc>
          <w:tcPr>
            <w:tcW w:w="3061" w:type="dxa"/>
            <w:tcBorders>
              <w:top w:val="nil"/>
              <w:left w:val="nil"/>
              <w:bottom w:val="nil"/>
              <w:right w:val="nil"/>
            </w:tcBorders>
            <w:shd w:val="clear" w:color="auto" w:fill="F2F2F2" w:themeFill="background1" w:themeFillShade="F2"/>
            <w:vAlign w:val="center"/>
            <w:hideMark/>
          </w:tcPr>
          <w:p w14:paraId="78778EF7" w14:textId="77777777" w:rsidR="00B0628F" w:rsidRPr="006F2722" w:rsidRDefault="00B0628F" w:rsidP="007A2286">
            <w:pPr>
              <w:pStyle w:val="Tabletextcentred"/>
            </w:pPr>
            <w:r w:rsidRPr="006F2722">
              <w:rPr>
                <w:rFonts w:eastAsiaTheme="minorEastAsia"/>
              </w:rPr>
              <w:t>14</w:t>
            </w:r>
          </w:p>
        </w:tc>
        <w:tc>
          <w:tcPr>
            <w:tcW w:w="3061" w:type="dxa"/>
            <w:tcBorders>
              <w:top w:val="nil"/>
              <w:left w:val="nil"/>
              <w:bottom w:val="nil"/>
              <w:right w:val="nil"/>
            </w:tcBorders>
            <w:shd w:val="clear" w:color="auto" w:fill="F2F2F2" w:themeFill="background1" w:themeFillShade="F2"/>
            <w:vAlign w:val="center"/>
            <w:hideMark/>
          </w:tcPr>
          <w:p w14:paraId="1DB4A506" w14:textId="77777777" w:rsidR="00B0628F" w:rsidRPr="006F2722" w:rsidRDefault="00B0628F" w:rsidP="007A2286">
            <w:pPr>
              <w:pStyle w:val="Tabletextcentred"/>
            </w:pPr>
            <w:r>
              <w:rPr>
                <w:rFonts w:eastAsiaTheme="minorEastAsia"/>
              </w:rPr>
              <w:t>2</w:t>
            </w:r>
          </w:p>
        </w:tc>
      </w:tr>
      <w:tr w:rsidR="00771EED" w:rsidRPr="006F2722" w14:paraId="2FCB80CA" w14:textId="77777777" w:rsidTr="00771EED">
        <w:trPr>
          <w:trHeight w:val="284"/>
        </w:trPr>
        <w:tc>
          <w:tcPr>
            <w:tcW w:w="3231" w:type="dxa"/>
            <w:tcBorders>
              <w:top w:val="nil"/>
              <w:left w:val="nil"/>
              <w:right w:val="nil"/>
            </w:tcBorders>
            <w:shd w:val="clear" w:color="000000" w:fill="FFFFFF"/>
            <w:vAlign w:val="center"/>
            <w:hideMark/>
          </w:tcPr>
          <w:p w14:paraId="434FF437" w14:textId="77777777" w:rsidR="00B0628F" w:rsidRPr="00CA26B8" w:rsidRDefault="00B0628F" w:rsidP="007A2286">
            <w:pPr>
              <w:pStyle w:val="Tabletextleft0"/>
            </w:pPr>
            <w:r w:rsidRPr="00CA26B8">
              <w:rPr>
                <w:rFonts w:eastAsiaTheme="minorEastAsia"/>
              </w:rPr>
              <w:t>Tasmania</w:t>
            </w:r>
          </w:p>
        </w:tc>
        <w:tc>
          <w:tcPr>
            <w:tcW w:w="3061" w:type="dxa"/>
            <w:tcBorders>
              <w:top w:val="nil"/>
              <w:left w:val="nil"/>
              <w:right w:val="nil"/>
            </w:tcBorders>
            <w:shd w:val="clear" w:color="000000" w:fill="FFFFFF"/>
            <w:vAlign w:val="center"/>
            <w:hideMark/>
          </w:tcPr>
          <w:p w14:paraId="6D58BD2A" w14:textId="77777777" w:rsidR="00B0628F" w:rsidRPr="006F2722" w:rsidRDefault="00B0628F" w:rsidP="007A2286">
            <w:pPr>
              <w:pStyle w:val="Tabletextcentred"/>
            </w:pPr>
            <w:r w:rsidRPr="006F2722">
              <w:rPr>
                <w:rFonts w:eastAsiaTheme="minorEastAsia"/>
              </w:rPr>
              <w:t>1</w:t>
            </w:r>
            <w:r>
              <w:rPr>
                <w:rFonts w:eastAsiaTheme="minorEastAsia"/>
              </w:rPr>
              <w:t>2</w:t>
            </w:r>
          </w:p>
        </w:tc>
        <w:tc>
          <w:tcPr>
            <w:tcW w:w="3061" w:type="dxa"/>
            <w:tcBorders>
              <w:top w:val="nil"/>
              <w:left w:val="nil"/>
              <w:right w:val="nil"/>
            </w:tcBorders>
            <w:shd w:val="clear" w:color="000000" w:fill="FFFFFF"/>
            <w:vAlign w:val="center"/>
            <w:hideMark/>
          </w:tcPr>
          <w:p w14:paraId="005DF6A3" w14:textId="77777777" w:rsidR="00B0628F" w:rsidRPr="006F2722" w:rsidRDefault="00B0628F" w:rsidP="007A2286">
            <w:pPr>
              <w:pStyle w:val="Tabletextcentred"/>
            </w:pPr>
            <w:r w:rsidRPr="006F2722">
              <w:rPr>
                <w:rFonts w:eastAsiaTheme="minorEastAsia"/>
              </w:rPr>
              <w:t>0</w:t>
            </w:r>
          </w:p>
        </w:tc>
      </w:tr>
      <w:tr w:rsidR="00771EED" w:rsidRPr="006F2722" w14:paraId="3A76ED8B" w14:textId="77777777" w:rsidTr="00116242">
        <w:trPr>
          <w:trHeight w:val="284"/>
        </w:trPr>
        <w:tc>
          <w:tcPr>
            <w:tcW w:w="3231" w:type="dxa"/>
            <w:tcBorders>
              <w:top w:val="nil"/>
              <w:left w:val="nil"/>
              <w:bottom w:val="nil"/>
              <w:right w:val="nil"/>
            </w:tcBorders>
            <w:shd w:val="clear" w:color="auto" w:fill="F2F2F2" w:themeFill="background1" w:themeFillShade="F2"/>
            <w:vAlign w:val="center"/>
            <w:hideMark/>
          </w:tcPr>
          <w:p w14:paraId="2D189A5B" w14:textId="77777777" w:rsidR="00B0628F" w:rsidRPr="00CA26B8" w:rsidRDefault="00B0628F" w:rsidP="007A2286">
            <w:pPr>
              <w:pStyle w:val="Tabletextleft0"/>
            </w:pPr>
            <w:r w:rsidRPr="00CA26B8">
              <w:rPr>
                <w:rFonts w:eastAsiaTheme="minorEastAsia"/>
              </w:rPr>
              <w:t>Victoria</w:t>
            </w:r>
          </w:p>
        </w:tc>
        <w:tc>
          <w:tcPr>
            <w:tcW w:w="3061" w:type="dxa"/>
            <w:tcBorders>
              <w:top w:val="nil"/>
              <w:left w:val="nil"/>
              <w:bottom w:val="nil"/>
              <w:right w:val="nil"/>
            </w:tcBorders>
            <w:shd w:val="clear" w:color="auto" w:fill="F2F2F2" w:themeFill="background1" w:themeFillShade="F2"/>
            <w:vAlign w:val="center"/>
            <w:hideMark/>
          </w:tcPr>
          <w:p w14:paraId="23E6562C"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nil"/>
              <w:left w:val="nil"/>
              <w:bottom w:val="nil"/>
              <w:right w:val="nil"/>
            </w:tcBorders>
            <w:shd w:val="clear" w:color="auto" w:fill="F2F2F2" w:themeFill="background1" w:themeFillShade="F2"/>
            <w:vAlign w:val="center"/>
            <w:hideMark/>
          </w:tcPr>
          <w:p w14:paraId="5684A9E7" w14:textId="77777777" w:rsidR="00B0628F" w:rsidRPr="006F2722" w:rsidRDefault="00B0628F" w:rsidP="007A2286">
            <w:pPr>
              <w:pStyle w:val="Tabletextcentred"/>
            </w:pPr>
            <w:r>
              <w:rPr>
                <w:rFonts w:eastAsiaTheme="minorEastAsia"/>
              </w:rPr>
              <w:t>1</w:t>
            </w:r>
          </w:p>
        </w:tc>
      </w:tr>
      <w:tr w:rsidR="00771EED" w:rsidRPr="006F2722" w14:paraId="242FE9AF" w14:textId="77777777" w:rsidTr="00771EED">
        <w:trPr>
          <w:trHeight w:val="284"/>
        </w:trPr>
        <w:tc>
          <w:tcPr>
            <w:tcW w:w="3231" w:type="dxa"/>
            <w:tcBorders>
              <w:top w:val="nil"/>
              <w:left w:val="nil"/>
              <w:bottom w:val="nil"/>
              <w:right w:val="nil"/>
            </w:tcBorders>
            <w:shd w:val="clear" w:color="000000" w:fill="FFFFFF"/>
            <w:vAlign w:val="center"/>
            <w:hideMark/>
          </w:tcPr>
          <w:p w14:paraId="7F83B32D" w14:textId="77777777" w:rsidR="00B0628F" w:rsidRPr="00CA26B8" w:rsidRDefault="00B0628F" w:rsidP="007A2286">
            <w:pPr>
              <w:pStyle w:val="Tabletextleft0"/>
            </w:pPr>
            <w:r w:rsidRPr="00CA26B8">
              <w:rPr>
                <w:rFonts w:eastAsiaTheme="minorEastAsia"/>
              </w:rPr>
              <w:t>Western Australia</w:t>
            </w:r>
          </w:p>
        </w:tc>
        <w:tc>
          <w:tcPr>
            <w:tcW w:w="3061" w:type="dxa"/>
            <w:tcBorders>
              <w:top w:val="nil"/>
              <w:left w:val="nil"/>
              <w:bottom w:val="nil"/>
              <w:right w:val="nil"/>
            </w:tcBorders>
            <w:shd w:val="clear" w:color="000000" w:fill="FFFFFF"/>
            <w:vAlign w:val="center"/>
            <w:hideMark/>
          </w:tcPr>
          <w:p w14:paraId="7A7DC2B3" w14:textId="77777777" w:rsidR="00B0628F" w:rsidRPr="006F2722" w:rsidRDefault="00B0628F" w:rsidP="007A2286">
            <w:pPr>
              <w:pStyle w:val="Tabletextcentred"/>
            </w:pPr>
            <w:r w:rsidRPr="006F2722">
              <w:rPr>
                <w:rFonts w:eastAsiaTheme="minorEastAsia"/>
              </w:rPr>
              <w:t>1</w:t>
            </w:r>
            <w:r>
              <w:rPr>
                <w:rFonts w:eastAsiaTheme="minorEastAsia"/>
              </w:rPr>
              <w:t>4</w:t>
            </w:r>
          </w:p>
        </w:tc>
        <w:tc>
          <w:tcPr>
            <w:tcW w:w="3061" w:type="dxa"/>
            <w:tcBorders>
              <w:top w:val="nil"/>
              <w:left w:val="nil"/>
              <w:bottom w:val="nil"/>
              <w:right w:val="nil"/>
            </w:tcBorders>
            <w:shd w:val="clear" w:color="000000" w:fill="FFFFFF"/>
            <w:vAlign w:val="center"/>
            <w:hideMark/>
          </w:tcPr>
          <w:p w14:paraId="45A348E2" w14:textId="77777777" w:rsidR="00B0628F" w:rsidRPr="006F2722" w:rsidRDefault="00B0628F" w:rsidP="007A2286">
            <w:pPr>
              <w:pStyle w:val="Tabletextcentred"/>
            </w:pPr>
            <w:r>
              <w:rPr>
                <w:rFonts w:eastAsiaTheme="minorEastAsia"/>
              </w:rPr>
              <w:t>1</w:t>
            </w:r>
          </w:p>
        </w:tc>
      </w:tr>
      <w:tr w:rsidR="00771EED" w:rsidRPr="00116242" w14:paraId="5AD1776B" w14:textId="77777777" w:rsidTr="00116242">
        <w:trPr>
          <w:trHeight w:val="284"/>
        </w:trPr>
        <w:tc>
          <w:tcPr>
            <w:tcW w:w="323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5D24A169" w14:textId="77777777" w:rsidR="00B0794C" w:rsidRPr="00116242" w:rsidRDefault="00B0794C" w:rsidP="007A2286">
            <w:pPr>
              <w:pStyle w:val="Tabletextleft0"/>
              <w:rPr>
                <w:b/>
              </w:rPr>
            </w:pPr>
            <w:r w:rsidRPr="00116242">
              <w:rPr>
                <w:rFonts w:eastAsiaTheme="minorEastAsia"/>
                <w:b/>
              </w:rPr>
              <w:t>Total</w:t>
            </w:r>
          </w:p>
        </w:tc>
        <w:tc>
          <w:tcPr>
            <w:tcW w:w="306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615113E2" w14:textId="77777777" w:rsidR="00B0794C" w:rsidRPr="00116242" w:rsidRDefault="00B0794C" w:rsidP="007A2286">
            <w:pPr>
              <w:pStyle w:val="Tabletextcentred"/>
              <w:rPr>
                <w:b/>
              </w:rPr>
            </w:pPr>
            <w:r w:rsidRPr="00116242">
              <w:rPr>
                <w:rFonts w:eastAsiaTheme="minorEastAsia"/>
                <w:b/>
              </w:rPr>
              <w:t>96</w:t>
            </w:r>
          </w:p>
        </w:tc>
        <w:tc>
          <w:tcPr>
            <w:tcW w:w="3061"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hideMark/>
          </w:tcPr>
          <w:p w14:paraId="7E749DAA" w14:textId="77777777" w:rsidR="00B0794C" w:rsidRPr="00116242" w:rsidRDefault="00B0794C" w:rsidP="007A2286">
            <w:pPr>
              <w:pStyle w:val="Tabletextcentred"/>
              <w:rPr>
                <w:b/>
              </w:rPr>
            </w:pPr>
            <w:r w:rsidRPr="00116242">
              <w:rPr>
                <w:rFonts w:eastAsiaTheme="minorEastAsia"/>
                <w:b/>
              </w:rPr>
              <w:t>5</w:t>
            </w:r>
          </w:p>
        </w:tc>
      </w:tr>
    </w:tbl>
    <w:p w14:paraId="7F352ABA" w14:textId="78C81CBF" w:rsidR="00B0794C" w:rsidRPr="007A2286" w:rsidRDefault="007306A1" w:rsidP="00771EED">
      <w:pPr>
        <w:pStyle w:val="ChartorTableNote"/>
        <w:spacing w:after="0"/>
        <w:rPr>
          <w:rFonts w:eastAsiaTheme="minorEastAsia"/>
        </w:rPr>
      </w:pPr>
      <w:r w:rsidRPr="0020422D">
        <w:rPr>
          <w:rFonts w:eastAsiaTheme="minorEastAsia"/>
        </w:rPr>
        <w:t>* 95 per cent confidence interval</w:t>
      </w:r>
      <w:r>
        <w:rPr>
          <w:rFonts w:eastAsiaTheme="minorEastAsia"/>
        </w:rPr>
        <w:t>.</w:t>
      </w:r>
    </w:p>
    <w:sectPr w:rsidR="00B0794C" w:rsidRPr="007A2286" w:rsidSect="00D22AF2">
      <w:pgSz w:w="11906" w:h="16838"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B1276" w14:textId="77777777" w:rsidR="00A1600C" w:rsidRDefault="00A1600C" w:rsidP="005F100C">
      <w:pPr>
        <w:spacing w:after="0"/>
      </w:pPr>
      <w:r>
        <w:separator/>
      </w:r>
    </w:p>
  </w:endnote>
  <w:endnote w:type="continuationSeparator" w:id="0">
    <w:p w14:paraId="49E937F3" w14:textId="77777777" w:rsidR="00A1600C" w:rsidRDefault="00A1600C" w:rsidP="005F100C">
      <w:pPr>
        <w:spacing w:after="0"/>
      </w:pPr>
      <w:r>
        <w:continuationSeparator/>
      </w:r>
    </w:p>
  </w:endnote>
  <w:endnote w:type="continuationNotice" w:id="1">
    <w:p w14:paraId="0C47623E" w14:textId="77777777" w:rsidR="00A1600C" w:rsidRDefault="00A160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E48D6" w14:textId="77777777" w:rsidR="00A1600C" w:rsidRDefault="00A1600C"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823937"/>
      <w:docPartObj>
        <w:docPartGallery w:val="Page Numbers (Bottom of Page)"/>
        <w:docPartUnique/>
      </w:docPartObj>
    </w:sdtPr>
    <w:sdtEndPr>
      <w:rPr>
        <w:noProof/>
      </w:rPr>
    </w:sdtEndPr>
    <w:sdtContent>
      <w:p w14:paraId="5F2E2C6B" w14:textId="66616198" w:rsidR="00C27E46" w:rsidRDefault="00C27E46">
        <w:pPr>
          <w:pStyle w:val="Footer"/>
        </w:pPr>
        <w:r>
          <w:fldChar w:fldCharType="begin"/>
        </w:r>
        <w:r>
          <w:instrText xml:space="preserve"> PAGE   \* MERGEFORMAT </w:instrText>
        </w:r>
        <w:r>
          <w:fldChar w:fldCharType="separate"/>
        </w:r>
        <w:r w:rsidR="007265F0">
          <w:rPr>
            <w:noProof/>
          </w:rPr>
          <w:t>31</w:t>
        </w:r>
        <w:r>
          <w:rPr>
            <w:noProof/>
          </w:rPr>
          <w:fldChar w:fldCharType="end"/>
        </w:r>
      </w:p>
    </w:sdtContent>
  </w:sdt>
  <w:p w14:paraId="1E35CB03" w14:textId="58FB3781" w:rsidR="00A1600C" w:rsidRPr="00C27E46" w:rsidRDefault="00A1600C" w:rsidP="00C27E46">
    <w:pPr>
      <w:pStyle w:val="Footer"/>
      <w:rPr>
        <w:rStyle w:val="PageNumber"/>
        <w:rFonts w:ascii="Arial" w:hAnsi="Arial"/>
        <w:color w:val="003157"/>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AF4F" w14:textId="0463FD21" w:rsidR="00C27E46" w:rsidRDefault="00C27E46">
    <w:pPr>
      <w:pStyle w:val="Footer"/>
    </w:pPr>
  </w:p>
  <w:p w14:paraId="0AF664A3" w14:textId="77777777" w:rsidR="002B50D7" w:rsidRDefault="002B50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82562"/>
      <w:docPartObj>
        <w:docPartGallery w:val="Page Numbers (Bottom of Page)"/>
        <w:docPartUnique/>
      </w:docPartObj>
    </w:sdtPr>
    <w:sdtEndPr>
      <w:rPr>
        <w:noProof/>
      </w:rPr>
    </w:sdtEndPr>
    <w:sdtContent>
      <w:p w14:paraId="21564CF5" w14:textId="6DF93150" w:rsidR="00C27E46" w:rsidRDefault="00C27E46">
        <w:pPr>
          <w:pStyle w:val="Footer"/>
        </w:pPr>
        <w:r>
          <w:fldChar w:fldCharType="begin"/>
        </w:r>
        <w:r>
          <w:instrText xml:space="preserve"> PAGE   \* MERGEFORMAT </w:instrText>
        </w:r>
        <w:r>
          <w:fldChar w:fldCharType="separate"/>
        </w:r>
        <w:r w:rsidR="007265F0">
          <w:rPr>
            <w:noProof/>
          </w:rPr>
          <w:t>1</w:t>
        </w:r>
        <w:r>
          <w:rPr>
            <w:noProof/>
          </w:rPr>
          <w:fldChar w:fldCharType="end"/>
        </w:r>
      </w:p>
    </w:sdtContent>
  </w:sdt>
  <w:p w14:paraId="21FD9AF3" w14:textId="4E58021F" w:rsidR="00A1600C" w:rsidRDefault="00A1600C" w:rsidP="00365C6D">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65476"/>
      <w:docPartObj>
        <w:docPartGallery w:val="Page Numbers (Bottom of Page)"/>
        <w:docPartUnique/>
      </w:docPartObj>
    </w:sdtPr>
    <w:sdtEndPr>
      <w:rPr>
        <w:noProof/>
      </w:rPr>
    </w:sdtEndPr>
    <w:sdtContent>
      <w:p w14:paraId="20D47F8D" w14:textId="6A7AE689" w:rsidR="00C27E46" w:rsidRDefault="00C27E46">
        <w:pPr>
          <w:pStyle w:val="Footer"/>
        </w:pPr>
        <w:r>
          <w:fldChar w:fldCharType="begin"/>
        </w:r>
        <w:r>
          <w:instrText xml:space="preserve"> PAGE   \* MERGEFORMAT </w:instrText>
        </w:r>
        <w:r>
          <w:fldChar w:fldCharType="separate"/>
        </w:r>
        <w:r w:rsidR="007265F0">
          <w:rPr>
            <w:noProof/>
          </w:rPr>
          <w:t>27</w:t>
        </w:r>
        <w:r>
          <w:rPr>
            <w:noProof/>
          </w:rPr>
          <w:fldChar w:fldCharType="end"/>
        </w:r>
      </w:p>
    </w:sdtContent>
  </w:sdt>
  <w:p w14:paraId="4F646ED2" w14:textId="5032A9D8" w:rsidR="00C27E46" w:rsidRDefault="00C27E46" w:rsidP="00365C6D">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48DDC" w14:textId="77777777" w:rsidR="00A1600C" w:rsidRDefault="00A1600C" w:rsidP="005F100C">
      <w:pPr>
        <w:spacing w:after="0"/>
      </w:pPr>
      <w:r>
        <w:separator/>
      </w:r>
    </w:p>
  </w:footnote>
  <w:footnote w:type="continuationSeparator" w:id="0">
    <w:p w14:paraId="52655449" w14:textId="77777777" w:rsidR="00A1600C" w:rsidRDefault="00A1600C" w:rsidP="005F100C">
      <w:pPr>
        <w:spacing w:after="0"/>
      </w:pPr>
      <w:r>
        <w:continuationSeparator/>
      </w:r>
    </w:p>
  </w:footnote>
  <w:footnote w:type="continuationNotice" w:id="1">
    <w:p w14:paraId="2ACBE8E0" w14:textId="77777777" w:rsidR="00A1600C" w:rsidRDefault="00A1600C">
      <w:pPr>
        <w:spacing w:after="0"/>
      </w:pPr>
    </w:p>
  </w:footnote>
  <w:footnote w:id="2">
    <w:p w14:paraId="2AFB8E96" w14:textId="1BA938D0" w:rsidR="00A1600C" w:rsidRPr="00614F35" w:rsidRDefault="00A1600C" w:rsidP="00F012EA">
      <w:pPr>
        <w:pStyle w:val="FootnoteText"/>
      </w:pPr>
      <w:r w:rsidRPr="000464B6">
        <w:rPr>
          <w:rStyle w:val="FootnoteReference"/>
          <w:vertAlign w:val="baseline"/>
        </w:rPr>
        <w:footnoteRef/>
      </w:r>
      <w:r w:rsidRPr="000464B6">
        <w:t xml:space="preserve"> </w:t>
      </w:r>
      <w:r>
        <w:tab/>
        <w:t xml:space="preserve">Macroeconomic Modelling and Policy Division, Macroeconomic Group, </w:t>
      </w:r>
      <w:proofErr w:type="gramStart"/>
      <w:r>
        <w:t>The</w:t>
      </w:r>
      <w:proofErr w:type="gramEnd"/>
      <w:r>
        <w:t xml:space="preserve"> Treasury, Langton Crescent, Parkes ACT 2600, </w:t>
      </w:r>
      <w:r w:rsidRPr="006B4A87">
        <w:t xml:space="preserve">Australia. Correspondence: </w:t>
      </w:r>
      <w:r>
        <w:t>ben.ralston@treasury.gov.au</w:t>
      </w:r>
      <w:r w:rsidRPr="00614F35">
        <w:t xml:space="preserve">. </w:t>
      </w:r>
      <w:r>
        <w:t xml:space="preserve">I would like to </w:t>
      </w:r>
      <w:r w:rsidRPr="00614F35">
        <w:t>thank</w:t>
      </w:r>
      <w:r>
        <w:t xml:space="preserve"> John Swieringa, Laura Berger-Thomson, Bob </w:t>
      </w:r>
      <w:proofErr w:type="spellStart"/>
      <w:r>
        <w:t>Breunig</w:t>
      </w:r>
      <w:proofErr w:type="spellEnd"/>
      <w:r>
        <w:t xml:space="preserve">, Renee </w:t>
      </w:r>
      <w:proofErr w:type="spellStart"/>
      <w:r>
        <w:t>McKibbin</w:t>
      </w:r>
      <w:proofErr w:type="spellEnd"/>
      <w:r>
        <w:t xml:space="preserve">, David </w:t>
      </w:r>
      <w:proofErr w:type="spellStart"/>
      <w:r>
        <w:t>Hansell</w:t>
      </w:r>
      <w:proofErr w:type="spellEnd"/>
      <w:r>
        <w:t xml:space="preserve"> as well as helpful comments from seminar participants.</w:t>
      </w:r>
    </w:p>
  </w:footnote>
  <w:footnote w:id="3">
    <w:p w14:paraId="0F99D222" w14:textId="77777777" w:rsidR="00A1600C" w:rsidRDefault="00A1600C" w:rsidP="00F012EA">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r w:rsidRPr="00CE70EB">
        <w:t>.</w:t>
      </w:r>
      <w:r w:rsidRPr="00CE70EB">
        <w:rPr>
          <w:rFonts w:cs="Arial"/>
        </w:rPr>
        <w:t xml:space="preserve"> The results of these studies are based, in part, on ABR data supplied by the Registrar to the ABS under </w:t>
      </w:r>
      <w:r w:rsidRPr="00CE70EB">
        <w:rPr>
          <w:rFonts w:cs="Arial"/>
          <w:i/>
          <w:iCs/>
        </w:rPr>
        <w:t>A New Tax System (Australian Business Number) Act 1999</w:t>
      </w:r>
      <w:r w:rsidRPr="00CE70EB">
        <w:rPr>
          <w:rFonts w:cs="Arial"/>
        </w:rPr>
        <w:t xml:space="preserve"> and tax data supplied by the ATO to the ABS under the </w:t>
      </w:r>
      <w:r w:rsidRPr="00CE70EB">
        <w:rPr>
          <w:rFonts w:cs="Arial"/>
          <w:i/>
          <w:iCs/>
        </w:rPr>
        <w:t>Taxation Administration Act 1953</w:t>
      </w:r>
      <w:r w:rsidRPr="00CE70EB">
        <w:rPr>
          <w:rFonts w:cs="Arial"/>
        </w:rPr>
        <w:t xml:space="preserve">. These require that such data is only used for the purpose of carrying out functions of the ABS. No individual information collected under the </w:t>
      </w:r>
      <w:r w:rsidRPr="00CE70EB">
        <w:rPr>
          <w:rFonts w:cs="Arial"/>
          <w:i/>
          <w:iCs/>
        </w:rPr>
        <w:t>Census and Statistics Act 1905</w:t>
      </w:r>
      <w:proofErr w:type="gramStart"/>
      <w:r w:rsidRPr="00CE70EB">
        <w:rPr>
          <w:rFonts w:cs="Arial"/>
        </w:rPr>
        <w:t>  is</w:t>
      </w:r>
      <w:proofErr w:type="gramEnd"/>
      <w:r w:rsidRPr="00CE70EB">
        <w:rPr>
          <w:rFonts w:cs="Arial"/>
        </w:rPr>
        <w:t xml:space="preserve"> provided back to the Registrar or ATO for administrative or regulatory purposes. Any discussion of data limitations or weaknesses is in the context of using the data for statistical purposes, and is not related to the ability of the data to support the ABR or ATO’s core operational requirements. Legislative requirements to ensure privacy and secrecy of this data have been followed. Only people authorised under the Australian Bureau of Statistics Act 1975 have been allowed to view data about any particular firm in conducting these analyses. In accordance with the Census and Statistics Act 1905, results have been </w:t>
      </w:r>
      <w:proofErr w:type="spellStart"/>
      <w:r w:rsidRPr="00CE70EB">
        <w:rPr>
          <w:rFonts w:cs="Arial"/>
        </w:rPr>
        <w:t>confidentialised</w:t>
      </w:r>
      <w:proofErr w:type="spellEnd"/>
      <w:r w:rsidRPr="00CE70EB">
        <w:rPr>
          <w:rFonts w:cs="Arial"/>
        </w:rPr>
        <w:t xml:space="preserve"> to ensure that they are not likely to enable identification of a particular person or organisation.</w:t>
      </w:r>
    </w:p>
  </w:footnote>
  <w:footnote w:id="4">
    <w:p w14:paraId="1B1F1A53" w14:textId="29B9C2E8" w:rsidR="00A1600C" w:rsidRDefault="00A1600C" w:rsidP="00750168">
      <w:pPr>
        <w:pStyle w:val="FootnoteText"/>
      </w:pPr>
      <w:r w:rsidRPr="00750168">
        <w:rPr>
          <w:rStyle w:val="FootnoteReference"/>
          <w:vertAlign w:val="baseline"/>
        </w:rPr>
        <w:footnoteRef/>
      </w:r>
      <w:r>
        <w:t xml:space="preserve"> </w:t>
      </w:r>
      <w:r>
        <w:tab/>
        <w:t>Hereafter, “state and territory” is referred to as “state”.</w:t>
      </w:r>
    </w:p>
  </w:footnote>
  <w:footnote w:id="5">
    <w:p w14:paraId="1341AFEE" w14:textId="20B18E76" w:rsidR="00A1600C" w:rsidRDefault="00A1600C" w:rsidP="00750168">
      <w:pPr>
        <w:pStyle w:val="FootnoteText"/>
      </w:pPr>
      <w:r w:rsidRPr="00750168">
        <w:rPr>
          <w:rStyle w:val="FootnoteReference"/>
          <w:vertAlign w:val="baseline"/>
        </w:rPr>
        <w:footnoteRef/>
      </w:r>
      <w:r>
        <w:t xml:space="preserve"> </w:t>
      </w:r>
      <w:r>
        <w:tab/>
        <w:t xml:space="preserve">Labour hire firms in some states are considered the employer and are required to pay payroll tax, regardless of the total remuneration of the contracting firm. In some other states only the total wages bill of the contracting firm is taken into consideration and not the total wages bill of the labour hire firm. However, in these states the labour hire firm is still required to pay payroll tax. </w:t>
      </w:r>
    </w:p>
  </w:footnote>
  <w:footnote w:id="6">
    <w:p w14:paraId="5A0705C4" w14:textId="59BD4D8D" w:rsidR="00A1600C" w:rsidRDefault="00A1600C" w:rsidP="00750168">
      <w:pPr>
        <w:pStyle w:val="FootnoteText"/>
      </w:pPr>
      <w:r w:rsidRPr="00750168">
        <w:rPr>
          <w:rStyle w:val="FootnoteReference"/>
          <w:vertAlign w:val="baseline"/>
        </w:rPr>
        <w:footnoteRef/>
      </w:r>
      <w:r>
        <w:t xml:space="preserve"> </w:t>
      </w:r>
      <w:r>
        <w:tab/>
      </w:r>
      <w:proofErr w:type="gramStart"/>
      <w:r>
        <w:t>Reinhardt and Steel (2006).</w:t>
      </w:r>
      <w:proofErr w:type="gramEnd"/>
    </w:p>
  </w:footnote>
  <w:footnote w:id="7">
    <w:p w14:paraId="5A7514E8" w14:textId="2D20124C" w:rsidR="00A1600C" w:rsidRDefault="00A1600C" w:rsidP="00750168">
      <w:pPr>
        <w:pStyle w:val="FootnoteText"/>
      </w:pPr>
      <w:r w:rsidRPr="00750168">
        <w:rPr>
          <w:rStyle w:val="FootnoteReference"/>
          <w:vertAlign w:val="baseline"/>
        </w:rPr>
        <w:footnoteRef/>
      </w:r>
      <w:r>
        <w:t xml:space="preserve"> </w:t>
      </w:r>
      <w:r>
        <w:tab/>
        <w:t xml:space="preserve">For a detailed discussion of these processes, see </w:t>
      </w:r>
      <w:proofErr w:type="spellStart"/>
      <w:r>
        <w:t>Hansell</w:t>
      </w:r>
      <w:proofErr w:type="spellEnd"/>
      <w:r>
        <w:t xml:space="preserve"> and Rafi (2018). In addition, firms with turnover of less than $75,000 are removed.</w:t>
      </w:r>
    </w:p>
  </w:footnote>
  <w:footnote w:id="8">
    <w:p w14:paraId="58AFE6EA" w14:textId="771F3852" w:rsidR="00A1600C" w:rsidRDefault="00A1600C" w:rsidP="00750168">
      <w:pPr>
        <w:pStyle w:val="FootnoteText"/>
      </w:pPr>
      <w:r w:rsidRPr="00750168">
        <w:rPr>
          <w:rStyle w:val="FootnoteReference"/>
          <w:vertAlign w:val="baseline"/>
        </w:rPr>
        <w:footnoteRef/>
      </w:r>
      <w:r>
        <w:t xml:space="preserve"> </w:t>
      </w:r>
      <w:r>
        <w:tab/>
        <w:t>The rules for payroll tax liability are complicated when an employee is engaged in work outside the same state where wages are paid. See New South Wales Revenue Ruling no. PTA 001 as an example.</w:t>
      </w:r>
    </w:p>
  </w:footnote>
  <w:footnote w:id="9">
    <w:p w14:paraId="6F3A88A7" w14:textId="3AE1FDFB" w:rsidR="00A1600C" w:rsidRDefault="00A1600C" w:rsidP="00750168">
      <w:pPr>
        <w:pStyle w:val="FootnoteText"/>
      </w:pPr>
      <w:r w:rsidRPr="00750168">
        <w:rPr>
          <w:rStyle w:val="FootnoteReference"/>
          <w:vertAlign w:val="baseline"/>
        </w:rPr>
        <w:footnoteRef/>
      </w:r>
      <w:r>
        <w:t xml:space="preserve"> </w:t>
      </w:r>
      <w:r>
        <w:tab/>
        <w:t>SA4 was chosen because these are defined by the ABS as having a self-contained labour market. This would lessen the potential problems of workers crossing state borders.</w:t>
      </w:r>
    </w:p>
  </w:footnote>
  <w:footnote w:id="10">
    <w:p w14:paraId="33997338" w14:textId="4838589D" w:rsidR="00A1600C" w:rsidRDefault="00A1600C" w:rsidP="00750168">
      <w:pPr>
        <w:pStyle w:val="FootnoteText"/>
      </w:pPr>
      <w:r w:rsidRPr="00750168">
        <w:rPr>
          <w:rStyle w:val="FootnoteReference"/>
          <w:vertAlign w:val="baseline"/>
        </w:rPr>
        <w:footnoteRef/>
      </w:r>
      <w:r>
        <w:t xml:space="preserve"> </w:t>
      </w:r>
      <w:r>
        <w:tab/>
        <w:t xml:space="preserve">New South Wales Revenue ruling no. </w:t>
      </w:r>
      <w:proofErr w:type="gramStart"/>
      <w:r>
        <w:t>PTA 038.</w:t>
      </w:r>
      <w:proofErr w:type="gramEnd"/>
    </w:p>
  </w:footnote>
  <w:footnote w:id="11">
    <w:p w14:paraId="20E5EB43" w14:textId="148909BD" w:rsidR="00A1600C" w:rsidRDefault="00A1600C" w:rsidP="00750168">
      <w:pPr>
        <w:pStyle w:val="FootnoteText"/>
      </w:pPr>
      <w:r w:rsidRPr="00750168">
        <w:rPr>
          <w:rStyle w:val="FootnoteReference"/>
          <w:vertAlign w:val="baseline"/>
        </w:rPr>
        <w:footnoteRef/>
      </w:r>
      <w:r>
        <w:t xml:space="preserve"> </w:t>
      </w:r>
      <w:r>
        <w:tab/>
        <w:t>This method is not used as</w:t>
      </w:r>
      <w:r w:rsidRPr="00860040">
        <w:t xml:space="preserve"> there </w:t>
      </w:r>
      <w:r>
        <w:t>a</w:t>
      </w:r>
      <w:r w:rsidRPr="00860040">
        <w:t xml:space="preserve">re concerns with the McCrary test when </w:t>
      </w:r>
      <w:r>
        <w:t xml:space="preserve">the </w:t>
      </w:r>
      <w:r w:rsidRPr="00860040">
        <w:t xml:space="preserve">bandwidths </w:t>
      </w:r>
      <w:r>
        <w:t xml:space="preserve">have </w:t>
      </w:r>
      <w:r w:rsidRPr="00860040">
        <w:t>different length</w:t>
      </w:r>
      <w:r>
        <w:t>s.</w:t>
      </w:r>
    </w:p>
  </w:footnote>
  <w:footnote w:id="12">
    <w:p w14:paraId="2F7F1A7F" w14:textId="68476103" w:rsidR="00A1600C" w:rsidRDefault="00A1600C" w:rsidP="00750168">
      <w:pPr>
        <w:pStyle w:val="FootnoteText"/>
      </w:pPr>
      <w:r w:rsidRPr="00750168">
        <w:rPr>
          <w:rStyle w:val="FootnoteReference"/>
          <w:vertAlign w:val="baseline"/>
        </w:rPr>
        <w:footnoteRef/>
      </w:r>
      <w:r>
        <w:t xml:space="preserve"> </w:t>
      </w:r>
      <w:r>
        <w:tab/>
        <w:t xml:space="preserve">The tests conducted in this paper are one-tailed tests because the concern is whether bunching occurs below the threshold. </w:t>
      </w:r>
    </w:p>
  </w:footnote>
  <w:footnote w:id="13">
    <w:p w14:paraId="3A28339B" w14:textId="6729867D" w:rsidR="00A1600C" w:rsidRDefault="00A1600C" w:rsidP="00750168">
      <w:pPr>
        <w:pStyle w:val="FootnoteText"/>
      </w:pPr>
      <w:r w:rsidRPr="00750168">
        <w:rPr>
          <w:rStyle w:val="FootnoteReference"/>
          <w:vertAlign w:val="baseline"/>
        </w:rPr>
        <w:footnoteRef/>
      </w:r>
      <w:r>
        <w:t xml:space="preserve"> </w:t>
      </w:r>
      <w:r>
        <w:tab/>
        <w:t xml:space="preserve">The asymptotic mean squared error is defined as: </w:t>
      </w:r>
      <m:oMath>
        <m:r>
          <m:rPr>
            <m:sty m:val="p"/>
          </m:rPr>
          <w:rPr>
            <w:rFonts w:ascii="Cambria Math" w:hAnsi="Cambria Math"/>
          </w:rPr>
          <w:br/>
        </m:r>
      </m:oMath>
      <m:oMathPara>
        <m:oMath>
          <m:r>
            <w:rPr>
              <w:rFonts w:ascii="Cambria Math" w:hAnsi="Cambria Math"/>
            </w:rPr>
            <m:t>asymptotic</m:t>
          </m:r>
          <m:r>
            <m:rPr>
              <m:sty m:val="p"/>
            </m:rPr>
            <w:rPr>
              <w:rFonts w:ascii="Cambria Math" w:hAnsi="Cambria Math"/>
            </w:rPr>
            <m:t xml:space="preserve"> </m:t>
          </m:r>
          <m:r>
            <w:rPr>
              <w:rFonts w:ascii="Cambria Math" w:hAnsi="Cambria Math"/>
            </w:rPr>
            <m:t>mean</m:t>
          </m:r>
          <m:r>
            <m:rPr>
              <m:sty m:val="p"/>
            </m:rPr>
            <w:rPr>
              <w:rFonts w:ascii="Cambria Math" w:hAnsi="Cambria Math"/>
            </w:rPr>
            <m:t xml:space="preserve"> </m:t>
          </m:r>
          <m:r>
            <w:rPr>
              <w:rFonts w:ascii="Cambria Math" w:hAnsi="Cambria Math"/>
            </w:rPr>
            <m:t>squared</m:t>
          </m:r>
          <m:r>
            <m:rPr>
              <m:sty m:val="p"/>
            </m:rPr>
            <w:rPr>
              <w:rFonts w:ascii="Cambria Math" w:hAnsi="Cambria Math"/>
            </w:rPr>
            <m:t xml:space="preserve"> </m:t>
          </m:r>
          <m:r>
            <w:rPr>
              <w:rFonts w:ascii="Cambria Math" w:hAnsi="Cambria Math"/>
            </w:rPr>
            <m:t>error</m:t>
          </m:r>
          <m:r>
            <m:rPr>
              <m:sty m:val="p"/>
            </m:rPr>
            <w:rPr>
              <w:rFonts w:ascii="Cambria Math" w:hAnsi="Cambria Math"/>
            </w:rPr>
            <m:t>=</m:t>
          </m:r>
          <m:r>
            <w:rPr>
              <w:rFonts w:ascii="Cambria Math" w:hAnsi="Cambria Math"/>
            </w:rPr>
            <m:t>bia</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r>
            <m:rPr>
              <m:sty m:val="p"/>
            </m:rPr>
            <w:rPr>
              <w:rFonts w:ascii="Cambria Math" w:hAnsi="Cambria Math"/>
            </w:rPr>
            <m:t>+</m:t>
          </m:r>
          <m:r>
            <w:rPr>
              <w:rFonts w:ascii="Cambria Math" w:hAnsi="Cambria Math"/>
            </w:rPr>
            <m:t>variance</m:t>
          </m:r>
        </m:oMath>
      </m:oMathPara>
    </w:p>
  </w:footnote>
  <w:footnote w:id="14">
    <w:p w14:paraId="3350A75D" w14:textId="18AFFBC5" w:rsidR="00A1600C" w:rsidRDefault="00A1600C" w:rsidP="00750168">
      <w:pPr>
        <w:pStyle w:val="FootnoteText"/>
      </w:pPr>
      <w:r w:rsidRPr="00750168">
        <w:rPr>
          <w:rStyle w:val="FootnoteReference"/>
          <w:vertAlign w:val="baseline"/>
        </w:rPr>
        <w:footnoteRef/>
      </w:r>
      <w:r>
        <w:t xml:space="preserve"> </w:t>
      </w:r>
      <w:r>
        <w:tab/>
        <w:t>Western Australia announced the increase in the 2014-15 threshold in the 2013-14 Budget on 8 August 2013.</w:t>
      </w:r>
    </w:p>
  </w:footnote>
  <w:footnote w:id="15">
    <w:p w14:paraId="38315D66" w14:textId="34010796" w:rsidR="00A1600C" w:rsidRDefault="00A1600C" w:rsidP="00750168">
      <w:pPr>
        <w:pStyle w:val="FootnoteText"/>
      </w:pPr>
      <w:r w:rsidRPr="00750168">
        <w:rPr>
          <w:rStyle w:val="FootnoteReference"/>
          <w:vertAlign w:val="baseline"/>
        </w:rPr>
        <w:footnoteRef/>
      </w:r>
      <w:r>
        <w:t xml:space="preserve"> </w:t>
      </w:r>
      <w:r>
        <w:tab/>
        <w:t>The bandwidths for Victoria and Western Australia were also applied.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4CF5B" w14:textId="6C940BEC" w:rsidR="00A1600C" w:rsidRDefault="00A1600C" w:rsidP="00F60530">
    <w:pPr>
      <w:pStyle w:val="SecurityClassificationHeader"/>
    </w:pPr>
  </w:p>
  <w:p w14:paraId="64D3AE79" w14:textId="77777777" w:rsidR="00A1600C" w:rsidRPr="00F012EA" w:rsidRDefault="00A1600C" w:rsidP="00F012EA">
    <w:pPr>
      <w:pStyle w:val="Header"/>
    </w:pPr>
    <w:r>
      <w:rPr>
        <w:noProof/>
        <w:lang w:eastAsia="en-AU"/>
      </w:rPr>
      <w:drawing>
        <wp:anchor distT="0" distB="0" distL="114300" distR="114300" simplePos="0" relativeHeight="251658240" behindDoc="1" locked="0" layoutInCell="1" allowOverlap="1" wp14:anchorId="5A2AC16E" wp14:editId="354B7606">
          <wp:simplePos x="828136" y="612475"/>
          <wp:positionH relativeFrom="page">
            <wp:align>center</wp:align>
          </wp:positionH>
          <wp:positionV relativeFrom="page">
            <wp:posOffset>180340</wp:posOffset>
          </wp:positionV>
          <wp:extent cx="7200000" cy="99972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FBDB6" w14:textId="51EECC5D" w:rsidR="00A1600C" w:rsidRPr="00F012EA" w:rsidRDefault="00A1600C" w:rsidP="005E4841">
    <w:pPr>
      <w:pStyle w:val="SecurityClassification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BBFBC" w14:textId="5122E852" w:rsidR="00A1600C" w:rsidRPr="005E4841" w:rsidRDefault="00A1600C" w:rsidP="005E4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3D1645"/>
    <w:multiLevelType w:val="multilevel"/>
    <w:tmpl w:val="466059B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5">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8">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1">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45B0A7E"/>
    <w:multiLevelType w:val="multilevel"/>
    <w:tmpl w:val="EDEE4FB6"/>
    <w:numStyleLink w:val="RecommendationBulletList"/>
  </w:abstractNum>
  <w:abstractNum w:abstractNumId="23">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10D2021"/>
    <w:multiLevelType w:val="multilevel"/>
    <w:tmpl w:val="72F8140E"/>
    <w:numStyleLink w:val="OutlineList"/>
  </w:abstractNum>
  <w:abstractNum w:abstractNumId="27">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5F73129"/>
    <w:multiLevelType w:val="multilevel"/>
    <w:tmpl w:val="D9A8A212"/>
    <w:numStyleLink w:val="RomanNumeralList"/>
  </w:abstractNum>
  <w:abstractNum w:abstractNumId="29">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3">
    <w:nsid w:val="6A5F7B24"/>
    <w:multiLevelType w:val="multilevel"/>
    <w:tmpl w:val="5AACE894"/>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4">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89653B4"/>
    <w:multiLevelType w:val="multilevel"/>
    <w:tmpl w:val="3A6465F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9"/>
  </w:num>
  <w:num w:numId="2">
    <w:abstractNumId w:val="25"/>
  </w:num>
  <w:num w:numId="3">
    <w:abstractNumId w:val="14"/>
  </w:num>
  <w:num w:numId="4">
    <w:abstractNumId w:val="29"/>
  </w:num>
  <w:num w:numId="5">
    <w:abstractNumId w:val="24"/>
  </w:num>
  <w:num w:numId="6">
    <w:abstractNumId w:val="12"/>
  </w:num>
  <w:num w:numId="7">
    <w:abstractNumId w:val="35"/>
  </w:num>
  <w:num w:numId="8">
    <w:abstractNumId w:val="8"/>
  </w:num>
  <w:num w:numId="9">
    <w:abstractNumId w:val="17"/>
  </w:num>
  <w:num w:numId="10">
    <w:abstractNumId w:val="30"/>
  </w:num>
  <w:num w:numId="11">
    <w:abstractNumId w:val="13"/>
  </w:num>
  <w:num w:numId="12">
    <w:abstractNumId w:val="37"/>
  </w:num>
  <w:num w:numId="13">
    <w:abstractNumId w:val="31"/>
  </w:num>
  <w:num w:numId="14">
    <w:abstractNumId w:val="16"/>
  </w:num>
  <w:num w:numId="15">
    <w:abstractNumId w:val="3"/>
  </w:num>
  <w:num w:numId="16">
    <w:abstractNumId w:val="7"/>
  </w:num>
  <w:num w:numId="17">
    <w:abstractNumId w:val="23"/>
  </w:num>
  <w:num w:numId="18">
    <w:abstractNumId w:val="2"/>
  </w:num>
  <w:num w:numId="19">
    <w:abstractNumId w:val="19"/>
  </w:num>
  <w:num w:numId="20">
    <w:abstractNumId w:val="5"/>
  </w:num>
  <w:num w:numId="21">
    <w:abstractNumId w:val="9"/>
  </w:num>
  <w:num w:numId="22">
    <w:abstractNumId w:val="4"/>
  </w:num>
  <w:num w:numId="23">
    <w:abstractNumId w:val="6"/>
  </w:num>
  <w:num w:numId="24">
    <w:abstractNumId w:val="26"/>
  </w:num>
  <w:num w:numId="25">
    <w:abstractNumId w:val="22"/>
  </w:num>
  <w:num w:numId="26">
    <w:abstractNumId w:val="28"/>
  </w:num>
  <w:num w:numId="27">
    <w:abstractNumId w:val="18"/>
  </w:num>
  <w:num w:numId="28">
    <w:abstractNumId w:val="27"/>
  </w:num>
  <w:num w:numId="29">
    <w:abstractNumId w:val="1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num>
  <w:num w:numId="33">
    <w:abstractNumId w:val="21"/>
  </w:num>
  <w:num w:numId="34">
    <w:abstractNumId w:val="1"/>
  </w:num>
  <w:num w:numId="35">
    <w:abstractNumId w:val="1"/>
  </w:num>
  <w:num w:numId="36">
    <w:abstractNumId w:val="36"/>
  </w:num>
  <w:num w:numId="37">
    <w:abstractNumId w:val="1"/>
  </w:num>
  <w:num w:numId="38">
    <w:abstractNumId w:val="33"/>
  </w:num>
  <w:num w:numId="39">
    <w:abstractNumId w:val="1"/>
  </w:num>
  <w:num w:numId="40">
    <w:abstractNumId w:val="15"/>
  </w:num>
  <w:num w:numId="41">
    <w:abstractNumId w:val="32"/>
  </w:num>
  <w:num w:numId="42">
    <w:abstractNumId w:val="15"/>
  </w:num>
  <w:num w:numId="43">
    <w:abstractNumId w:val="15"/>
  </w:num>
  <w:num w:numId="44">
    <w:abstractNumId w:val="20"/>
  </w:num>
  <w:num w:numId="45">
    <w:abstractNumId w:val="33"/>
  </w:num>
  <w:num w:numId="46">
    <w:abstractNumId w:val="33"/>
  </w:num>
  <w:num w:numId="47">
    <w:abstractNumId w:val="34"/>
  </w:num>
  <w:num w:numId="48">
    <w:abstractNumId w:val="0"/>
  </w:num>
  <w:num w:numId="49">
    <w:abstractNumId w:val="38"/>
  </w:num>
  <w:num w:numId="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B0794C"/>
    <w:rsid w:val="00000BA6"/>
    <w:rsid w:val="00003ACD"/>
    <w:rsid w:val="00007CDE"/>
    <w:rsid w:val="00011F16"/>
    <w:rsid w:val="000167A9"/>
    <w:rsid w:val="0002527D"/>
    <w:rsid w:val="00025DAA"/>
    <w:rsid w:val="00025E4F"/>
    <w:rsid w:val="000273E0"/>
    <w:rsid w:val="0003472A"/>
    <w:rsid w:val="0003678D"/>
    <w:rsid w:val="000412AA"/>
    <w:rsid w:val="000464B6"/>
    <w:rsid w:val="00051C46"/>
    <w:rsid w:val="00055312"/>
    <w:rsid w:val="000562E7"/>
    <w:rsid w:val="000622B2"/>
    <w:rsid w:val="00070963"/>
    <w:rsid w:val="00077D52"/>
    <w:rsid w:val="00091054"/>
    <w:rsid w:val="00095C3F"/>
    <w:rsid w:val="000A3F5D"/>
    <w:rsid w:val="000A4843"/>
    <w:rsid w:val="000D726B"/>
    <w:rsid w:val="000F123A"/>
    <w:rsid w:val="000F3008"/>
    <w:rsid w:val="000F3408"/>
    <w:rsid w:val="000F3A05"/>
    <w:rsid w:val="0010021B"/>
    <w:rsid w:val="00103E00"/>
    <w:rsid w:val="00104FBE"/>
    <w:rsid w:val="00106DC8"/>
    <w:rsid w:val="001079E4"/>
    <w:rsid w:val="001146C0"/>
    <w:rsid w:val="001161B0"/>
    <w:rsid w:val="00116242"/>
    <w:rsid w:val="001212E4"/>
    <w:rsid w:val="001369F3"/>
    <w:rsid w:val="001424A6"/>
    <w:rsid w:val="001433FE"/>
    <w:rsid w:val="0014539C"/>
    <w:rsid w:val="00147046"/>
    <w:rsid w:val="00150451"/>
    <w:rsid w:val="00156DB4"/>
    <w:rsid w:val="0015720F"/>
    <w:rsid w:val="0015751E"/>
    <w:rsid w:val="00163C4E"/>
    <w:rsid w:val="001759E9"/>
    <w:rsid w:val="00175E66"/>
    <w:rsid w:val="0019016C"/>
    <w:rsid w:val="001A420D"/>
    <w:rsid w:val="001B2C33"/>
    <w:rsid w:val="001C11BC"/>
    <w:rsid w:val="001C188A"/>
    <w:rsid w:val="001C262E"/>
    <w:rsid w:val="001C50A2"/>
    <w:rsid w:val="001D22D1"/>
    <w:rsid w:val="001E1D66"/>
    <w:rsid w:val="001E4DDD"/>
    <w:rsid w:val="001E5B18"/>
    <w:rsid w:val="001E664D"/>
    <w:rsid w:val="0020111E"/>
    <w:rsid w:val="002015AB"/>
    <w:rsid w:val="0020422D"/>
    <w:rsid w:val="00206B9F"/>
    <w:rsid w:val="00211545"/>
    <w:rsid w:val="0021572E"/>
    <w:rsid w:val="002223E4"/>
    <w:rsid w:val="00222F39"/>
    <w:rsid w:val="002249D2"/>
    <w:rsid w:val="00226FEC"/>
    <w:rsid w:val="002271BB"/>
    <w:rsid w:val="00227F20"/>
    <w:rsid w:val="00232F7D"/>
    <w:rsid w:val="002330AC"/>
    <w:rsid w:val="0023421D"/>
    <w:rsid w:val="00246CD9"/>
    <w:rsid w:val="00257A2D"/>
    <w:rsid w:val="00260BD3"/>
    <w:rsid w:val="002768B3"/>
    <w:rsid w:val="00280D28"/>
    <w:rsid w:val="002879D9"/>
    <w:rsid w:val="00291937"/>
    <w:rsid w:val="00293D4E"/>
    <w:rsid w:val="00297C46"/>
    <w:rsid w:val="002A3A4F"/>
    <w:rsid w:val="002B11BE"/>
    <w:rsid w:val="002B50D7"/>
    <w:rsid w:val="002B53E2"/>
    <w:rsid w:val="002B5993"/>
    <w:rsid w:val="002C14C8"/>
    <w:rsid w:val="002C3075"/>
    <w:rsid w:val="002C3379"/>
    <w:rsid w:val="002C5398"/>
    <w:rsid w:val="002D316D"/>
    <w:rsid w:val="002E40B1"/>
    <w:rsid w:val="002E5F5C"/>
    <w:rsid w:val="002E7527"/>
    <w:rsid w:val="002E7BDD"/>
    <w:rsid w:val="002F3DFC"/>
    <w:rsid w:val="002F4C62"/>
    <w:rsid w:val="002F73DF"/>
    <w:rsid w:val="002F7C57"/>
    <w:rsid w:val="00301A52"/>
    <w:rsid w:val="00303ADE"/>
    <w:rsid w:val="003070C5"/>
    <w:rsid w:val="003267E2"/>
    <w:rsid w:val="003326C6"/>
    <w:rsid w:val="00334335"/>
    <w:rsid w:val="00334699"/>
    <w:rsid w:val="003406DF"/>
    <w:rsid w:val="00341EEE"/>
    <w:rsid w:val="003431D3"/>
    <w:rsid w:val="00352095"/>
    <w:rsid w:val="00357293"/>
    <w:rsid w:val="00361D28"/>
    <w:rsid w:val="003641BA"/>
    <w:rsid w:val="00365C6D"/>
    <w:rsid w:val="003660F4"/>
    <w:rsid w:val="00371D08"/>
    <w:rsid w:val="003750D0"/>
    <w:rsid w:val="00376699"/>
    <w:rsid w:val="003809EA"/>
    <w:rsid w:val="00390529"/>
    <w:rsid w:val="003905D5"/>
    <w:rsid w:val="003A1A88"/>
    <w:rsid w:val="003B0501"/>
    <w:rsid w:val="003B1327"/>
    <w:rsid w:val="003B6889"/>
    <w:rsid w:val="003C36A2"/>
    <w:rsid w:val="003C496C"/>
    <w:rsid w:val="003C720F"/>
    <w:rsid w:val="003D27B3"/>
    <w:rsid w:val="003D296C"/>
    <w:rsid w:val="003D3DC9"/>
    <w:rsid w:val="003E04B6"/>
    <w:rsid w:val="003E0E7B"/>
    <w:rsid w:val="003E3374"/>
    <w:rsid w:val="003E352D"/>
    <w:rsid w:val="003E6B90"/>
    <w:rsid w:val="003E7675"/>
    <w:rsid w:val="003E7E15"/>
    <w:rsid w:val="003F23C3"/>
    <w:rsid w:val="00406016"/>
    <w:rsid w:val="00410544"/>
    <w:rsid w:val="00416E7C"/>
    <w:rsid w:val="00417A0F"/>
    <w:rsid w:val="00420B7A"/>
    <w:rsid w:val="00422941"/>
    <w:rsid w:val="00426CC1"/>
    <w:rsid w:val="004272FE"/>
    <w:rsid w:val="004370F4"/>
    <w:rsid w:val="00457170"/>
    <w:rsid w:val="00457AC1"/>
    <w:rsid w:val="00460338"/>
    <w:rsid w:val="00460A29"/>
    <w:rsid w:val="00460C06"/>
    <w:rsid w:val="00460C65"/>
    <w:rsid w:val="004644F0"/>
    <w:rsid w:val="00471CD6"/>
    <w:rsid w:val="0048031D"/>
    <w:rsid w:val="00485133"/>
    <w:rsid w:val="004942A1"/>
    <w:rsid w:val="0049462B"/>
    <w:rsid w:val="00494DE6"/>
    <w:rsid w:val="004A001E"/>
    <w:rsid w:val="004A311C"/>
    <w:rsid w:val="004B07A5"/>
    <w:rsid w:val="004B65B4"/>
    <w:rsid w:val="004C167F"/>
    <w:rsid w:val="004C1D02"/>
    <w:rsid w:val="004C4092"/>
    <w:rsid w:val="004E75FD"/>
    <w:rsid w:val="004F2488"/>
    <w:rsid w:val="004F4601"/>
    <w:rsid w:val="004F4EE7"/>
    <w:rsid w:val="00500704"/>
    <w:rsid w:val="00504851"/>
    <w:rsid w:val="0051251F"/>
    <w:rsid w:val="00522E92"/>
    <w:rsid w:val="005272DA"/>
    <w:rsid w:val="005377CE"/>
    <w:rsid w:val="005414A2"/>
    <w:rsid w:val="0054156B"/>
    <w:rsid w:val="00542A1D"/>
    <w:rsid w:val="00546913"/>
    <w:rsid w:val="00550818"/>
    <w:rsid w:val="00555B0A"/>
    <w:rsid w:val="005613E4"/>
    <w:rsid w:val="00562EFB"/>
    <w:rsid w:val="0057074A"/>
    <w:rsid w:val="0057764E"/>
    <w:rsid w:val="005904CD"/>
    <w:rsid w:val="00595328"/>
    <w:rsid w:val="005A3FF8"/>
    <w:rsid w:val="005A4D57"/>
    <w:rsid w:val="005B52C6"/>
    <w:rsid w:val="005B537C"/>
    <w:rsid w:val="005C1DD6"/>
    <w:rsid w:val="005C4405"/>
    <w:rsid w:val="005C637C"/>
    <w:rsid w:val="005C7CED"/>
    <w:rsid w:val="005D39EA"/>
    <w:rsid w:val="005E4841"/>
    <w:rsid w:val="005F100C"/>
    <w:rsid w:val="005F3390"/>
    <w:rsid w:val="005F5653"/>
    <w:rsid w:val="005F66EC"/>
    <w:rsid w:val="005F6EA2"/>
    <w:rsid w:val="00600B15"/>
    <w:rsid w:val="006022A5"/>
    <w:rsid w:val="006146D6"/>
    <w:rsid w:val="00614BAC"/>
    <w:rsid w:val="006234F4"/>
    <w:rsid w:val="006271CF"/>
    <w:rsid w:val="00627470"/>
    <w:rsid w:val="006339B5"/>
    <w:rsid w:val="00643E78"/>
    <w:rsid w:val="006448EF"/>
    <w:rsid w:val="006457CC"/>
    <w:rsid w:val="00645CFF"/>
    <w:rsid w:val="00650040"/>
    <w:rsid w:val="00654844"/>
    <w:rsid w:val="00672387"/>
    <w:rsid w:val="0067244F"/>
    <w:rsid w:val="006736E9"/>
    <w:rsid w:val="00674400"/>
    <w:rsid w:val="00676B7F"/>
    <w:rsid w:val="00694B25"/>
    <w:rsid w:val="006954D5"/>
    <w:rsid w:val="006A30A5"/>
    <w:rsid w:val="006A6E59"/>
    <w:rsid w:val="006B40C6"/>
    <w:rsid w:val="006C0C0E"/>
    <w:rsid w:val="006C2ECD"/>
    <w:rsid w:val="006D6023"/>
    <w:rsid w:val="006E2B99"/>
    <w:rsid w:val="006E3A3C"/>
    <w:rsid w:val="006E4318"/>
    <w:rsid w:val="006F3E0E"/>
    <w:rsid w:val="00700F23"/>
    <w:rsid w:val="00714153"/>
    <w:rsid w:val="0071639E"/>
    <w:rsid w:val="00716F45"/>
    <w:rsid w:val="00717F79"/>
    <w:rsid w:val="007265F0"/>
    <w:rsid w:val="007306A1"/>
    <w:rsid w:val="00735E8B"/>
    <w:rsid w:val="00745236"/>
    <w:rsid w:val="007475AD"/>
    <w:rsid w:val="00750168"/>
    <w:rsid w:val="007530A4"/>
    <w:rsid w:val="007646DA"/>
    <w:rsid w:val="00765295"/>
    <w:rsid w:val="00767F36"/>
    <w:rsid w:val="00770B6A"/>
    <w:rsid w:val="00771EED"/>
    <w:rsid w:val="0078304B"/>
    <w:rsid w:val="007871DA"/>
    <w:rsid w:val="00794CA7"/>
    <w:rsid w:val="007A067E"/>
    <w:rsid w:val="007A2286"/>
    <w:rsid w:val="007A2ACB"/>
    <w:rsid w:val="007A55E1"/>
    <w:rsid w:val="007A5B0C"/>
    <w:rsid w:val="007A669A"/>
    <w:rsid w:val="007B0C23"/>
    <w:rsid w:val="007C17B8"/>
    <w:rsid w:val="007C48F0"/>
    <w:rsid w:val="007C5D60"/>
    <w:rsid w:val="007E1B2C"/>
    <w:rsid w:val="007E310A"/>
    <w:rsid w:val="007F1B61"/>
    <w:rsid w:val="00803B2A"/>
    <w:rsid w:val="008052DC"/>
    <w:rsid w:val="0081187D"/>
    <w:rsid w:val="00812433"/>
    <w:rsid w:val="00813D25"/>
    <w:rsid w:val="00816277"/>
    <w:rsid w:val="00816CB0"/>
    <w:rsid w:val="0082097D"/>
    <w:rsid w:val="00820C9E"/>
    <w:rsid w:val="00821874"/>
    <w:rsid w:val="00822460"/>
    <w:rsid w:val="0082464E"/>
    <w:rsid w:val="00833945"/>
    <w:rsid w:val="008367D4"/>
    <w:rsid w:val="008400E9"/>
    <w:rsid w:val="0084552B"/>
    <w:rsid w:val="0085429A"/>
    <w:rsid w:val="0086096D"/>
    <w:rsid w:val="008627B1"/>
    <w:rsid w:val="00864D1D"/>
    <w:rsid w:val="00877FE2"/>
    <w:rsid w:val="008802D8"/>
    <w:rsid w:val="00880ADB"/>
    <w:rsid w:val="00881550"/>
    <w:rsid w:val="008847CC"/>
    <w:rsid w:val="00897071"/>
    <w:rsid w:val="008A5512"/>
    <w:rsid w:val="008A7EDB"/>
    <w:rsid w:val="008B2562"/>
    <w:rsid w:val="008B531F"/>
    <w:rsid w:val="008C0793"/>
    <w:rsid w:val="008C1101"/>
    <w:rsid w:val="008C5057"/>
    <w:rsid w:val="008C5AEE"/>
    <w:rsid w:val="008C7390"/>
    <w:rsid w:val="008D08BE"/>
    <w:rsid w:val="008E4935"/>
    <w:rsid w:val="008F1ACC"/>
    <w:rsid w:val="008F373B"/>
    <w:rsid w:val="008F4690"/>
    <w:rsid w:val="008F5CA1"/>
    <w:rsid w:val="00902B00"/>
    <w:rsid w:val="0090339D"/>
    <w:rsid w:val="00915B11"/>
    <w:rsid w:val="0092354D"/>
    <w:rsid w:val="00936238"/>
    <w:rsid w:val="00952502"/>
    <w:rsid w:val="0095322E"/>
    <w:rsid w:val="0095562B"/>
    <w:rsid w:val="00955F84"/>
    <w:rsid w:val="00956E89"/>
    <w:rsid w:val="00956EC2"/>
    <w:rsid w:val="0096782A"/>
    <w:rsid w:val="0097280B"/>
    <w:rsid w:val="00977A94"/>
    <w:rsid w:val="00983BBA"/>
    <w:rsid w:val="00985E19"/>
    <w:rsid w:val="009862D1"/>
    <w:rsid w:val="00986C3E"/>
    <w:rsid w:val="009959B3"/>
    <w:rsid w:val="009A0791"/>
    <w:rsid w:val="009B6F05"/>
    <w:rsid w:val="009C02E0"/>
    <w:rsid w:val="009C1116"/>
    <w:rsid w:val="009C57C2"/>
    <w:rsid w:val="009C7E17"/>
    <w:rsid w:val="009D0790"/>
    <w:rsid w:val="009E122C"/>
    <w:rsid w:val="009E58F2"/>
    <w:rsid w:val="009F52E0"/>
    <w:rsid w:val="009F68B8"/>
    <w:rsid w:val="00A00498"/>
    <w:rsid w:val="00A0329E"/>
    <w:rsid w:val="00A14CD9"/>
    <w:rsid w:val="00A1600C"/>
    <w:rsid w:val="00A1658C"/>
    <w:rsid w:val="00A21E19"/>
    <w:rsid w:val="00A2599E"/>
    <w:rsid w:val="00A3513E"/>
    <w:rsid w:val="00A42C13"/>
    <w:rsid w:val="00A42F49"/>
    <w:rsid w:val="00A44201"/>
    <w:rsid w:val="00A47444"/>
    <w:rsid w:val="00A53197"/>
    <w:rsid w:val="00A537E0"/>
    <w:rsid w:val="00A57848"/>
    <w:rsid w:val="00A72EF1"/>
    <w:rsid w:val="00A73C49"/>
    <w:rsid w:val="00A75F04"/>
    <w:rsid w:val="00A81553"/>
    <w:rsid w:val="00A825CD"/>
    <w:rsid w:val="00A9572D"/>
    <w:rsid w:val="00AA0DE6"/>
    <w:rsid w:val="00AA28FF"/>
    <w:rsid w:val="00AA4528"/>
    <w:rsid w:val="00AA66C7"/>
    <w:rsid w:val="00AB525B"/>
    <w:rsid w:val="00AD27DF"/>
    <w:rsid w:val="00AD479A"/>
    <w:rsid w:val="00AE336A"/>
    <w:rsid w:val="00AF68BE"/>
    <w:rsid w:val="00B0628F"/>
    <w:rsid w:val="00B06AB9"/>
    <w:rsid w:val="00B0794C"/>
    <w:rsid w:val="00B12BC3"/>
    <w:rsid w:val="00B21A69"/>
    <w:rsid w:val="00B33DC9"/>
    <w:rsid w:val="00B42F44"/>
    <w:rsid w:val="00B4335C"/>
    <w:rsid w:val="00B44D6B"/>
    <w:rsid w:val="00B52FE8"/>
    <w:rsid w:val="00B5417D"/>
    <w:rsid w:val="00B55137"/>
    <w:rsid w:val="00B57867"/>
    <w:rsid w:val="00B660E5"/>
    <w:rsid w:val="00B73D2A"/>
    <w:rsid w:val="00B7780E"/>
    <w:rsid w:val="00B7794B"/>
    <w:rsid w:val="00B804EF"/>
    <w:rsid w:val="00B81DDA"/>
    <w:rsid w:val="00B97E53"/>
    <w:rsid w:val="00BA160F"/>
    <w:rsid w:val="00BA18DA"/>
    <w:rsid w:val="00BA6BF3"/>
    <w:rsid w:val="00BB3278"/>
    <w:rsid w:val="00BC3F1A"/>
    <w:rsid w:val="00BC4ADF"/>
    <w:rsid w:val="00BC5A10"/>
    <w:rsid w:val="00BC6527"/>
    <w:rsid w:val="00BD08FF"/>
    <w:rsid w:val="00BD491D"/>
    <w:rsid w:val="00BD59D3"/>
    <w:rsid w:val="00BD7B20"/>
    <w:rsid w:val="00BE0512"/>
    <w:rsid w:val="00BE59DB"/>
    <w:rsid w:val="00BF0E3A"/>
    <w:rsid w:val="00BF70D7"/>
    <w:rsid w:val="00C07F94"/>
    <w:rsid w:val="00C11898"/>
    <w:rsid w:val="00C25C62"/>
    <w:rsid w:val="00C26351"/>
    <w:rsid w:val="00C27E46"/>
    <w:rsid w:val="00C33B67"/>
    <w:rsid w:val="00C4206B"/>
    <w:rsid w:val="00C43412"/>
    <w:rsid w:val="00C43B5D"/>
    <w:rsid w:val="00C53DA6"/>
    <w:rsid w:val="00C60F68"/>
    <w:rsid w:val="00C63763"/>
    <w:rsid w:val="00C71AA9"/>
    <w:rsid w:val="00C7618D"/>
    <w:rsid w:val="00C7763D"/>
    <w:rsid w:val="00C82609"/>
    <w:rsid w:val="00C86465"/>
    <w:rsid w:val="00C8767F"/>
    <w:rsid w:val="00C90461"/>
    <w:rsid w:val="00C911C1"/>
    <w:rsid w:val="00C95F07"/>
    <w:rsid w:val="00CB1E5D"/>
    <w:rsid w:val="00CB2127"/>
    <w:rsid w:val="00CB224A"/>
    <w:rsid w:val="00CB6AA7"/>
    <w:rsid w:val="00CC086B"/>
    <w:rsid w:val="00CC0ADB"/>
    <w:rsid w:val="00CC0E73"/>
    <w:rsid w:val="00CC1A8A"/>
    <w:rsid w:val="00CC67EF"/>
    <w:rsid w:val="00CC755F"/>
    <w:rsid w:val="00CE0D62"/>
    <w:rsid w:val="00CE70EB"/>
    <w:rsid w:val="00CF0660"/>
    <w:rsid w:val="00CF3BCA"/>
    <w:rsid w:val="00CF4AED"/>
    <w:rsid w:val="00D11517"/>
    <w:rsid w:val="00D207B4"/>
    <w:rsid w:val="00D22AF2"/>
    <w:rsid w:val="00D3047C"/>
    <w:rsid w:val="00D319FB"/>
    <w:rsid w:val="00D31DEA"/>
    <w:rsid w:val="00D3529A"/>
    <w:rsid w:val="00D4005D"/>
    <w:rsid w:val="00D45133"/>
    <w:rsid w:val="00D461AF"/>
    <w:rsid w:val="00D46334"/>
    <w:rsid w:val="00D50BA7"/>
    <w:rsid w:val="00D56A52"/>
    <w:rsid w:val="00D61906"/>
    <w:rsid w:val="00D6257B"/>
    <w:rsid w:val="00D70526"/>
    <w:rsid w:val="00D706A9"/>
    <w:rsid w:val="00D83627"/>
    <w:rsid w:val="00D9645D"/>
    <w:rsid w:val="00DA3EDF"/>
    <w:rsid w:val="00DC0500"/>
    <w:rsid w:val="00DC6201"/>
    <w:rsid w:val="00DC6798"/>
    <w:rsid w:val="00DE15B9"/>
    <w:rsid w:val="00DE2B14"/>
    <w:rsid w:val="00DF40B5"/>
    <w:rsid w:val="00DF4F94"/>
    <w:rsid w:val="00DF512A"/>
    <w:rsid w:val="00E07ACE"/>
    <w:rsid w:val="00E12E6E"/>
    <w:rsid w:val="00E13392"/>
    <w:rsid w:val="00E13B71"/>
    <w:rsid w:val="00E177C9"/>
    <w:rsid w:val="00E2197E"/>
    <w:rsid w:val="00E21C89"/>
    <w:rsid w:val="00E22F5D"/>
    <w:rsid w:val="00E2425F"/>
    <w:rsid w:val="00E35D78"/>
    <w:rsid w:val="00E44260"/>
    <w:rsid w:val="00E51953"/>
    <w:rsid w:val="00E54BA2"/>
    <w:rsid w:val="00E54DB4"/>
    <w:rsid w:val="00E66F52"/>
    <w:rsid w:val="00E75A2E"/>
    <w:rsid w:val="00E80550"/>
    <w:rsid w:val="00E857E7"/>
    <w:rsid w:val="00E85DA2"/>
    <w:rsid w:val="00E96C21"/>
    <w:rsid w:val="00E97758"/>
    <w:rsid w:val="00EA4FD7"/>
    <w:rsid w:val="00EA666C"/>
    <w:rsid w:val="00EB169C"/>
    <w:rsid w:val="00ED17CA"/>
    <w:rsid w:val="00EE6F94"/>
    <w:rsid w:val="00EF155A"/>
    <w:rsid w:val="00EF378B"/>
    <w:rsid w:val="00EF3E90"/>
    <w:rsid w:val="00EF5D56"/>
    <w:rsid w:val="00F012EA"/>
    <w:rsid w:val="00F026D5"/>
    <w:rsid w:val="00F036EF"/>
    <w:rsid w:val="00F10822"/>
    <w:rsid w:val="00F12EE0"/>
    <w:rsid w:val="00F165E8"/>
    <w:rsid w:val="00F16B90"/>
    <w:rsid w:val="00F1719C"/>
    <w:rsid w:val="00F264DD"/>
    <w:rsid w:val="00F30ADA"/>
    <w:rsid w:val="00F324E6"/>
    <w:rsid w:val="00F33A6A"/>
    <w:rsid w:val="00F41E30"/>
    <w:rsid w:val="00F47385"/>
    <w:rsid w:val="00F54E8B"/>
    <w:rsid w:val="00F60530"/>
    <w:rsid w:val="00F613A4"/>
    <w:rsid w:val="00F66490"/>
    <w:rsid w:val="00F703DE"/>
    <w:rsid w:val="00F73064"/>
    <w:rsid w:val="00F74714"/>
    <w:rsid w:val="00F805AB"/>
    <w:rsid w:val="00F81046"/>
    <w:rsid w:val="00F8150F"/>
    <w:rsid w:val="00F82448"/>
    <w:rsid w:val="00F82D72"/>
    <w:rsid w:val="00F8675B"/>
    <w:rsid w:val="00F87048"/>
    <w:rsid w:val="00F90417"/>
    <w:rsid w:val="00F913A3"/>
    <w:rsid w:val="00F97F73"/>
    <w:rsid w:val="00FA0D2B"/>
    <w:rsid w:val="00FB3FED"/>
    <w:rsid w:val="00FB59AE"/>
    <w:rsid w:val="00FC0480"/>
    <w:rsid w:val="00FC1363"/>
    <w:rsid w:val="00FD0833"/>
    <w:rsid w:val="00FD4982"/>
    <w:rsid w:val="00FE1D26"/>
    <w:rsid w:val="00FE210B"/>
    <w:rsid w:val="00FF4F3B"/>
    <w:rsid w:val="00FF4FD6"/>
    <w:rsid w:val="00FF5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B8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AD479A"/>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54156B"/>
    <w:pPr>
      <w:numPr>
        <w:ilvl w:val="2"/>
        <w:numId w:val="46"/>
      </w:numPr>
      <w:tabs>
        <w:tab w:val="left" w:pos="680"/>
      </w:tabs>
      <w:spacing w:before="120"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AD479A"/>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54156B"/>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TableMainHeading"/>
    <w:next w:val="ChartGraphic"/>
    <w:rsid w:val="004272FE"/>
  </w:style>
  <w:style w:type="paragraph" w:customStyle="1" w:styleId="ChartorTableNote">
    <w:name w:val="Chart or Table Note"/>
    <w:next w:val="Normal"/>
    <w:rsid w:val="00A1600C"/>
    <w:pPr>
      <w:spacing w:before="40" w:after="240" w:line="240" w:lineRule="auto"/>
      <w:ind w:left="113" w:hanging="113"/>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816CB0"/>
    <w:pPr>
      <w:spacing w:after="40"/>
      <w:jc w:val="center"/>
    </w:pPr>
    <w:rPr>
      <w:b/>
      <w:sz w:val="21"/>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645CFF"/>
    <w:pPr>
      <w:tabs>
        <w:tab w:val="left" w:pos="340"/>
      </w:tabs>
      <w:spacing w:after="0"/>
      <w:ind w:left="340" w:hanging="340"/>
    </w:pPr>
    <w:rPr>
      <w:sz w:val="20"/>
    </w:rPr>
  </w:style>
  <w:style w:type="character" w:customStyle="1" w:styleId="FootnoteTextChar">
    <w:name w:val="Footnote Text Char"/>
    <w:basedOn w:val="DefaultParagraphFont"/>
    <w:link w:val="FootnoteText"/>
    <w:uiPriority w:val="99"/>
    <w:rsid w:val="00645CFF"/>
    <w:rPr>
      <w:rFonts w:ascii="Calibri" w:hAnsi="Calibri"/>
      <w:color w:val="000000" w:themeColor="text1"/>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DF40B5"/>
    <w:rPr>
      <w:b/>
      <w:color w:val="1F497D" w:themeColor="text2"/>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ColumnHeadingCentred"/>
    <w:rsid w:val="00816CB0"/>
    <w:pPr>
      <w:jc w:val="right"/>
    </w:p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A1600C"/>
    <w:pPr>
      <w:widowControl w:val="0"/>
      <w:tabs>
        <w:tab w:val="left" w:pos="397"/>
        <w:tab w:val="right" w:leader="dot" w:pos="9299"/>
      </w:tabs>
      <w:adjustRightInd w:val="0"/>
      <w:spacing w:before="180" w:after="0"/>
      <w:ind w:left="397" w:right="567" w:hanging="397"/>
      <w:textAlignment w:val="baseline"/>
    </w:pPr>
    <w:rPr>
      <w:rFonts w:ascii="Arial" w:hAnsi="Arial"/>
      <w:smallCaps/>
      <w:color w:val="003157"/>
    </w:rPr>
  </w:style>
  <w:style w:type="paragraph" w:styleId="TOC2">
    <w:name w:val="toc 2"/>
    <w:basedOn w:val="Normal"/>
    <w:next w:val="Normal"/>
    <w:uiPriority w:val="39"/>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uiPriority w:val="39"/>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E80550"/>
    <w:pPr>
      <w:spacing w:after="320"/>
      <w:outlineLvl w:val="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1079E4"/>
    <w:pPr>
      <w:spacing w:before="120" w:after="1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basedOn w:val="DefaultParagraphFont"/>
    <w:link w:val="Bullet"/>
    <w:rsid w:val="00B0794C"/>
    <w:rPr>
      <w:rFonts w:ascii="Calibri" w:hAnsi="Calibri"/>
      <w:color w:val="000000" w:themeColor="text1"/>
    </w:rPr>
  </w:style>
  <w:style w:type="table" w:styleId="MediumShading1-Accent1">
    <w:name w:val="Medium Shading 1 Accent 1"/>
    <w:basedOn w:val="TableNormal"/>
    <w:uiPriority w:val="63"/>
    <w:rsid w:val="00B0794C"/>
    <w:pPr>
      <w:spacing w:after="0" w:line="240" w:lineRule="auto"/>
    </w:pPr>
    <w:tblPr>
      <w:tblStyleRowBandSize w:val="1"/>
      <w:tblStyleColBandSize w:val="1"/>
      <w:tbl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single" w:sz="8" w:space="0" w:color="0061BE" w:themeColor="accent1" w:themeTint="BF"/>
      </w:tblBorders>
    </w:tblPr>
    <w:tblStylePr w:type="firstRow">
      <w:pPr>
        <w:spacing w:before="0" w:after="0" w:line="240" w:lineRule="auto"/>
      </w:pPr>
      <w:rPr>
        <w:b/>
        <w:bCs/>
        <w:color w:val="FFFFFF" w:themeColor="background1"/>
      </w:rPr>
      <w:tblPr/>
      <w:tcPr>
        <w:tc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shd w:val="clear" w:color="auto" w:fill="002B54" w:themeFill="accent1"/>
      </w:tcPr>
    </w:tblStylePr>
    <w:tblStylePr w:type="lastRow">
      <w:pPr>
        <w:spacing w:before="0" w:after="0" w:line="240" w:lineRule="auto"/>
      </w:pPr>
      <w:rPr>
        <w:b/>
        <w:bCs/>
      </w:rPr>
      <w:tblPr/>
      <w:tcPr>
        <w:tcBorders>
          <w:top w:val="double" w:sz="6"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CBFF" w:themeFill="accent1" w:themeFillTint="3F"/>
      </w:tcPr>
    </w:tblStylePr>
    <w:tblStylePr w:type="band1Horz">
      <w:tblPr/>
      <w:tcPr>
        <w:tcBorders>
          <w:insideH w:val="nil"/>
          <w:insideV w:val="nil"/>
        </w:tcBorders>
        <w:shd w:val="clear" w:color="auto" w:fill="95CBFF"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8400E9"/>
    <w:pPr>
      <w:keepLines/>
      <w:spacing w:after="0" w:line="276" w:lineRule="auto"/>
      <w:jc w:val="left"/>
      <w:outlineLvl w:val="9"/>
    </w:pPr>
    <w:rPr>
      <w:rFonts w:asciiTheme="majorHAnsi" w:eastAsiaTheme="majorEastAsia" w:hAnsiTheme="majorHAnsi" w:cstheme="majorBidi"/>
      <w:bCs/>
      <w:smallCaps w:val="0"/>
      <w:color w:val="001F3E"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AD479A"/>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54156B"/>
    <w:pPr>
      <w:numPr>
        <w:ilvl w:val="2"/>
        <w:numId w:val="46"/>
      </w:numPr>
      <w:tabs>
        <w:tab w:val="left" w:pos="680"/>
      </w:tabs>
      <w:spacing w:before="120"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AD479A"/>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54156B"/>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TableMainHeading"/>
    <w:next w:val="ChartGraphic"/>
    <w:rsid w:val="004272FE"/>
  </w:style>
  <w:style w:type="paragraph" w:customStyle="1" w:styleId="ChartorTableNote">
    <w:name w:val="Chart or Table Note"/>
    <w:next w:val="Normal"/>
    <w:rsid w:val="00A1600C"/>
    <w:pPr>
      <w:spacing w:before="40" w:after="240" w:line="240" w:lineRule="auto"/>
      <w:ind w:left="113" w:hanging="113"/>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816CB0"/>
    <w:pPr>
      <w:spacing w:after="40"/>
      <w:jc w:val="center"/>
    </w:pPr>
    <w:rPr>
      <w:b/>
      <w:sz w:val="21"/>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645CFF"/>
    <w:pPr>
      <w:tabs>
        <w:tab w:val="left" w:pos="340"/>
      </w:tabs>
      <w:spacing w:after="0"/>
      <w:ind w:left="340" w:hanging="340"/>
    </w:pPr>
    <w:rPr>
      <w:sz w:val="20"/>
    </w:rPr>
  </w:style>
  <w:style w:type="character" w:customStyle="1" w:styleId="FootnoteTextChar">
    <w:name w:val="Footnote Text Char"/>
    <w:basedOn w:val="DefaultParagraphFont"/>
    <w:link w:val="FootnoteText"/>
    <w:uiPriority w:val="99"/>
    <w:rsid w:val="00645CFF"/>
    <w:rPr>
      <w:rFonts w:ascii="Calibri" w:hAnsi="Calibri"/>
      <w:color w:val="000000" w:themeColor="text1"/>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DF40B5"/>
    <w:rPr>
      <w:b/>
      <w:color w:val="1F497D" w:themeColor="text2"/>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ColumnHeadingCentred"/>
    <w:rsid w:val="00816CB0"/>
    <w:pPr>
      <w:jc w:val="right"/>
    </w:p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A1600C"/>
    <w:pPr>
      <w:widowControl w:val="0"/>
      <w:tabs>
        <w:tab w:val="left" w:pos="397"/>
        <w:tab w:val="right" w:leader="dot" w:pos="9299"/>
      </w:tabs>
      <w:adjustRightInd w:val="0"/>
      <w:spacing w:before="180" w:after="0"/>
      <w:ind w:left="397" w:right="567" w:hanging="397"/>
      <w:textAlignment w:val="baseline"/>
    </w:pPr>
    <w:rPr>
      <w:rFonts w:ascii="Arial" w:hAnsi="Arial"/>
      <w:smallCaps/>
      <w:color w:val="003157"/>
    </w:rPr>
  </w:style>
  <w:style w:type="paragraph" w:styleId="TOC2">
    <w:name w:val="toc 2"/>
    <w:basedOn w:val="Normal"/>
    <w:next w:val="Normal"/>
    <w:uiPriority w:val="39"/>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uiPriority w:val="39"/>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E80550"/>
    <w:pPr>
      <w:spacing w:after="320"/>
      <w:outlineLvl w:val="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1079E4"/>
    <w:pPr>
      <w:spacing w:before="120" w:after="1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basedOn w:val="DefaultParagraphFont"/>
    <w:link w:val="Bullet"/>
    <w:rsid w:val="00B0794C"/>
    <w:rPr>
      <w:rFonts w:ascii="Calibri" w:hAnsi="Calibri"/>
      <w:color w:val="000000" w:themeColor="text1"/>
    </w:rPr>
  </w:style>
  <w:style w:type="table" w:styleId="MediumShading1-Accent1">
    <w:name w:val="Medium Shading 1 Accent 1"/>
    <w:basedOn w:val="TableNormal"/>
    <w:uiPriority w:val="63"/>
    <w:rsid w:val="00B0794C"/>
    <w:pPr>
      <w:spacing w:after="0" w:line="240" w:lineRule="auto"/>
    </w:pPr>
    <w:tblPr>
      <w:tblStyleRowBandSize w:val="1"/>
      <w:tblStyleColBandSize w:val="1"/>
      <w:tbl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single" w:sz="8" w:space="0" w:color="0061BE" w:themeColor="accent1" w:themeTint="BF"/>
      </w:tblBorders>
    </w:tblPr>
    <w:tblStylePr w:type="firstRow">
      <w:pPr>
        <w:spacing w:before="0" w:after="0" w:line="240" w:lineRule="auto"/>
      </w:pPr>
      <w:rPr>
        <w:b/>
        <w:bCs/>
        <w:color w:val="FFFFFF" w:themeColor="background1"/>
      </w:rPr>
      <w:tblPr/>
      <w:tcPr>
        <w:tc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shd w:val="clear" w:color="auto" w:fill="002B54" w:themeFill="accent1"/>
      </w:tcPr>
    </w:tblStylePr>
    <w:tblStylePr w:type="lastRow">
      <w:pPr>
        <w:spacing w:before="0" w:after="0" w:line="240" w:lineRule="auto"/>
      </w:pPr>
      <w:rPr>
        <w:b/>
        <w:bCs/>
      </w:rPr>
      <w:tblPr/>
      <w:tcPr>
        <w:tcBorders>
          <w:top w:val="double" w:sz="6"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CBFF" w:themeFill="accent1" w:themeFillTint="3F"/>
      </w:tcPr>
    </w:tblStylePr>
    <w:tblStylePr w:type="band1Horz">
      <w:tblPr/>
      <w:tcPr>
        <w:tcBorders>
          <w:insideH w:val="nil"/>
          <w:insideV w:val="nil"/>
        </w:tcBorders>
        <w:shd w:val="clear" w:color="auto" w:fill="95CBFF"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8400E9"/>
    <w:pPr>
      <w:keepLines/>
      <w:spacing w:after="0" w:line="276" w:lineRule="auto"/>
      <w:jc w:val="left"/>
      <w:outlineLvl w:val="9"/>
    </w:pPr>
    <w:rPr>
      <w:rFonts w:asciiTheme="majorHAnsi" w:eastAsiaTheme="majorEastAsia" w:hAnsiTheme="majorHAnsi" w:cstheme="majorBidi"/>
      <w:bCs/>
      <w:smallCaps w:val="0"/>
      <w:color w:val="001F3E"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2735">
      <w:bodyDiv w:val="1"/>
      <w:marLeft w:val="0"/>
      <w:marRight w:val="0"/>
      <w:marTop w:val="0"/>
      <w:marBottom w:val="0"/>
      <w:divBdr>
        <w:top w:val="none" w:sz="0" w:space="0" w:color="auto"/>
        <w:left w:val="none" w:sz="0" w:space="0" w:color="auto"/>
        <w:bottom w:val="none" w:sz="0" w:space="0" w:color="auto"/>
        <w:right w:val="none" w:sz="0" w:space="0" w:color="auto"/>
      </w:divBdr>
    </w:div>
    <w:div w:id="126169313">
      <w:bodyDiv w:val="1"/>
      <w:marLeft w:val="0"/>
      <w:marRight w:val="0"/>
      <w:marTop w:val="0"/>
      <w:marBottom w:val="0"/>
      <w:divBdr>
        <w:top w:val="none" w:sz="0" w:space="0" w:color="auto"/>
        <w:left w:val="none" w:sz="0" w:space="0" w:color="auto"/>
        <w:bottom w:val="none" w:sz="0" w:space="0" w:color="auto"/>
        <w:right w:val="none" w:sz="0" w:space="0" w:color="auto"/>
      </w:divBdr>
    </w:div>
    <w:div w:id="428548071">
      <w:bodyDiv w:val="1"/>
      <w:marLeft w:val="0"/>
      <w:marRight w:val="0"/>
      <w:marTop w:val="0"/>
      <w:marBottom w:val="0"/>
      <w:divBdr>
        <w:top w:val="none" w:sz="0" w:space="0" w:color="auto"/>
        <w:left w:val="none" w:sz="0" w:space="0" w:color="auto"/>
        <w:bottom w:val="none" w:sz="0" w:space="0" w:color="auto"/>
        <w:right w:val="none" w:sz="0" w:space="0" w:color="auto"/>
      </w:divBdr>
    </w:div>
    <w:div w:id="509225393">
      <w:bodyDiv w:val="1"/>
      <w:marLeft w:val="0"/>
      <w:marRight w:val="0"/>
      <w:marTop w:val="0"/>
      <w:marBottom w:val="0"/>
      <w:divBdr>
        <w:top w:val="none" w:sz="0" w:space="0" w:color="auto"/>
        <w:left w:val="none" w:sz="0" w:space="0" w:color="auto"/>
        <w:bottom w:val="none" w:sz="0" w:space="0" w:color="auto"/>
        <w:right w:val="none" w:sz="0" w:space="0" w:color="auto"/>
      </w:divBdr>
    </w:div>
    <w:div w:id="1020473877">
      <w:bodyDiv w:val="1"/>
      <w:marLeft w:val="0"/>
      <w:marRight w:val="0"/>
      <w:marTop w:val="0"/>
      <w:marBottom w:val="0"/>
      <w:divBdr>
        <w:top w:val="none" w:sz="0" w:space="0" w:color="auto"/>
        <w:left w:val="none" w:sz="0" w:space="0" w:color="auto"/>
        <w:bottom w:val="none" w:sz="0" w:space="0" w:color="auto"/>
        <w:right w:val="none" w:sz="0" w:space="0" w:color="auto"/>
      </w:divBdr>
    </w:div>
    <w:div w:id="1102843729">
      <w:bodyDiv w:val="1"/>
      <w:marLeft w:val="0"/>
      <w:marRight w:val="0"/>
      <w:marTop w:val="0"/>
      <w:marBottom w:val="0"/>
      <w:divBdr>
        <w:top w:val="none" w:sz="0" w:space="0" w:color="auto"/>
        <w:left w:val="none" w:sz="0" w:space="0" w:color="auto"/>
        <w:bottom w:val="none" w:sz="0" w:space="0" w:color="auto"/>
        <w:right w:val="none" w:sz="0" w:space="0" w:color="auto"/>
      </w:divBdr>
    </w:div>
    <w:div w:id="1231229511">
      <w:bodyDiv w:val="1"/>
      <w:marLeft w:val="0"/>
      <w:marRight w:val="0"/>
      <w:marTop w:val="0"/>
      <w:marBottom w:val="0"/>
      <w:divBdr>
        <w:top w:val="none" w:sz="0" w:space="0" w:color="auto"/>
        <w:left w:val="none" w:sz="0" w:space="0" w:color="auto"/>
        <w:bottom w:val="none" w:sz="0" w:space="0" w:color="auto"/>
        <w:right w:val="none" w:sz="0" w:space="0" w:color="auto"/>
      </w:divBdr>
    </w:div>
    <w:div w:id="1304241158">
      <w:bodyDiv w:val="1"/>
      <w:marLeft w:val="0"/>
      <w:marRight w:val="0"/>
      <w:marTop w:val="0"/>
      <w:marBottom w:val="0"/>
      <w:divBdr>
        <w:top w:val="none" w:sz="0" w:space="0" w:color="auto"/>
        <w:left w:val="none" w:sz="0" w:space="0" w:color="auto"/>
        <w:bottom w:val="none" w:sz="0" w:space="0" w:color="auto"/>
        <w:right w:val="none" w:sz="0" w:space="0" w:color="auto"/>
      </w:divBdr>
    </w:div>
    <w:div w:id="1391922440">
      <w:bodyDiv w:val="1"/>
      <w:marLeft w:val="0"/>
      <w:marRight w:val="0"/>
      <w:marTop w:val="0"/>
      <w:marBottom w:val="0"/>
      <w:divBdr>
        <w:top w:val="none" w:sz="0" w:space="0" w:color="auto"/>
        <w:left w:val="none" w:sz="0" w:space="0" w:color="auto"/>
        <w:bottom w:val="none" w:sz="0" w:space="0" w:color="auto"/>
        <w:right w:val="none" w:sz="0" w:space="0" w:color="auto"/>
      </w:divBdr>
    </w:div>
    <w:div w:id="1512794212">
      <w:bodyDiv w:val="1"/>
      <w:marLeft w:val="0"/>
      <w:marRight w:val="0"/>
      <w:marTop w:val="0"/>
      <w:marBottom w:val="0"/>
      <w:divBdr>
        <w:top w:val="none" w:sz="0" w:space="0" w:color="auto"/>
        <w:left w:val="none" w:sz="0" w:space="0" w:color="auto"/>
        <w:bottom w:val="none" w:sz="0" w:space="0" w:color="auto"/>
        <w:right w:val="none" w:sz="0" w:space="0" w:color="auto"/>
      </w:divBdr>
    </w:div>
    <w:div w:id="1660963808">
      <w:bodyDiv w:val="1"/>
      <w:marLeft w:val="0"/>
      <w:marRight w:val="0"/>
      <w:marTop w:val="0"/>
      <w:marBottom w:val="0"/>
      <w:divBdr>
        <w:top w:val="none" w:sz="0" w:space="0" w:color="auto"/>
        <w:left w:val="none" w:sz="0" w:space="0" w:color="auto"/>
        <w:bottom w:val="none" w:sz="0" w:space="0" w:color="auto"/>
        <w:right w:val="none" w:sz="0" w:space="0" w:color="auto"/>
      </w:divBdr>
    </w:div>
    <w:div w:id="20875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3.0/au/deed.en" TargetMode="External"/><Relationship Id="rId18" Type="http://schemas.openxmlformats.org/officeDocument/2006/relationships/hyperlink" Target="mailto:medialiaison@treasury.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itsanhonour.gov.au" TargetMode="External"/><Relationship Id="rId25" Type="http://schemas.openxmlformats.org/officeDocument/2006/relationships/header" Target="header3.xml"/><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creativecommons.org/licenses/by/3.0/au/deed.en" TargetMode="External"/><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reativecommons.org/licenses/by/3.0/au/legalcode" TargetMode="Externa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image" Target="media/image1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7A36-8688-4130-883B-EC217938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9735</Words>
  <Characters>55496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Does payroll tax affect firm behaviour?</vt:lpstr>
    </vt:vector>
  </TitlesOfParts>
  <LinksUpToDate>false</LinksUpToDate>
  <CharactersWithSpaces>65101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payroll tax affect firm behaviour?</dc:title>
  <dc:creator/>
  <cp:lastModifiedBy/>
  <cp:revision>1</cp:revision>
  <dcterms:created xsi:type="dcterms:W3CDTF">2018-04-12T23:56:00Z</dcterms:created>
  <dcterms:modified xsi:type="dcterms:W3CDTF">2018-04-13T00:07:00Z</dcterms:modified>
</cp:coreProperties>
</file>